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Regulatory Reporting</w:t>
      </w:r>
    </w:p>
    <w:p>
      <w:r>
        <w:rPr>
          <w:b/>
        </w:rPr>
        <w:t>1.</w:t>
        <w:tab/>
        <w:t>Purpose</w:t>
      </w:r>
    </w:p>
    <w:p>
      <w:r>
        <w:t>This Standard Operating Procedure establishes the process for meeting regulatory reporting requirements with the NYS Office of Cannabis Management (OCM) and other applicable regulatory agencies.</w:t>
      </w:r>
    </w:p>
    <w:p>
      <w:r>
        <w:rPr>
          <w:b/>
        </w:rPr>
        <w:t>2.</w:t>
        <w:tab/>
        <w:t>Scope</w:t>
      </w:r>
    </w:p>
    <w:p>
      <w:r>
        <w:t>This SOP applies to all regulatory reporting activities at licensed cannabis facilities in New York State, including routine reports, event-driven notifications, and responses to regulatory inquiries.</w:t>
      </w:r>
    </w:p>
    <w:p>
      <w:r>
        <w:rPr>
          <w:b/>
        </w:rPr>
        <w:t>3.</w:t>
        <w:tab/>
        <w:t>Prerequisites</w:t>
      </w:r>
    </w:p>
    <w:p>
      <w:r>
        <w:t>• Understanding of OCM reporting requirements</w:t>
        <w:br/>
        <w:t>• Knowledge of seed-to-sale tracking</w:t>
        <w:br/>
        <w:t>• Access to regulatory submission systems</w:t>
        <w:br/>
        <w:t>• Familiarity with reporting deadlines</w:t>
        <w:br/>
        <w:t>• Training on report preparation</w:t>
      </w:r>
    </w:p>
    <w:p>
      <w:r>
        <w:rPr>
          <w:b/>
        </w:rPr>
        <w:t>4.</w:t>
        <w:tab/>
        <w:t>Responsibilities</w:t>
      </w:r>
    </w:p>
    <w:p>
      <w:r>
        <w:t>Compliance Officer/Manager:</w:t>
        <w:br/>
        <w:t>• Oversee regulatory reporting program</w:t>
        <w:br/>
        <w:t>• Ensure timely submissions</w:t>
        <w:br/>
        <w:t>• Review reports for accuracy</w:t>
        <w:br/>
        <w:t>• Communicate with regulators</w:t>
        <w:br/>
        <w:br/>
        <w:t>Regulatory Affairs Staff:</w:t>
        <w:br/>
        <w:t>• Prepare regulatory reports</w:t>
        <w:br/>
        <w:t>• Submit reports through proper channels</w:t>
        <w:br/>
        <w:t>• Track submission deadlines</w:t>
        <w:br/>
        <w:t>• Maintain submission records</w:t>
        <w:br/>
        <w:br/>
        <w:t>Quality Assurance:</w:t>
        <w:br/>
        <w:t>• Provide quality-related data</w:t>
        <w:br/>
        <w:t>• Review quality reports</w:t>
        <w:br/>
        <w:t>• Report adverse events</w:t>
        <w:br/>
        <w:t>• Support compliance activities</w:t>
        <w:br/>
        <w:br/>
        <w:t>Department Managers:</w:t>
        <w:br/>
        <w:t>• Provide accurate data for reports</w:t>
        <w:br/>
        <w:t>• Meet internal deadlines</w:t>
        <w:br/>
        <w:t>• Review department-specific reports</w:t>
        <w:br/>
        <w:t>• Support regulatory requests</w:t>
      </w:r>
    </w:p>
    <w:p>
      <w:r>
        <w:rPr>
          <w:b/>
        </w:rPr>
        <w:t>5.</w:t>
        <w:tab/>
        <w:t>Materials</w:t>
      </w:r>
    </w:p>
    <w:p>
      <w:r>
        <w:t>• OCM reporting templates and forms</w:t>
        <w:br/>
        <w:t>• Seed-to-sale tracking system</w:t>
        <w:br/>
        <w:t>• Reporting calendar/schedule</w:t>
        <w:br/>
        <w:t>• Regulatory submission portal access</w:t>
        <w:br/>
        <w:t>• Report archive system</w:t>
        <w:br/>
        <w:t>• Contact lists for regulatory agencies</w:t>
      </w:r>
    </w:p>
    <w:p>
      <w:r>
        <w:rPr>
          <w:b/>
        </w:rPr>
        <w:t>6.</w:t>
        <w:tab/>
        <w:t>Procedure</w:t>
      </w:r>
    </w:p>
    <w:p>
      <w:r>
        <w:t>6.1 Types of Required Reports</w:t>
        <w:br/>
        <w:t>• ROUTINE REPORTS:</w:t>
        <w:br/>
        <w:t xml:space="preserve">  - Production/cultivation reports</w:t>
        <w:br/>
        <w:t xml:space="preserve">  - Inventory reports</w:t>
        <w:br/>
        <w:t xml:space="preserve">  - Sales reports</w:t>
        <w:br/>
        <w:t xml:space="preserve">  - Waste disposal reports</w:t>
        <w:br/>
        <w:t xml:space="preserve">  - Energy usage reports (Environmental Plan)</w:t>
        <w:br/>
        <w:t xml:space="preserve">  </w:t>
        <w:br/>
        <w:t>• EVENT-DRIVEN REPORTS:</w:t>
        <w:br/>
        <w:t xml:space="preserve">  - Adverse events</w:t>
        <w:br/>
        <w:t xml:space="preserve">  - Security incidents</w:t>
        <w:br/>
        <w:t xml:space="preserve">  - Product recalls</w:t>
        <w:br/>
        <w:t xml:space="preserve">  - Significant deviations</w:t>
        <w:br/>
        <w:t xml:space="preserve">  - License modifications</w:t>
        <w:br/>
        <w:t xml:space="preserve">  </w:t>
        <w:br/>
        <w:t>• ANNUAL REPORTS:</w:t>
        <w:br/>
        <w:t xml:space="preserve">  - License renewal applications</w:t>
        <w:br/>
        <w:t xml:space="preserve">  - Environmental Plan updates</w:t>
        <w:br/>
        <w:t xml:space="preserve">  - Annual compliance reports</w:t>
        <w:br/>
        <w:br/>
        <w:t>6.2 Reporting Calendar</w:t>
        <w:br/>
        <w:t>• Maintain calendar of all reporting deadlines</w:t>
        <w:br/>
        <w:t>• Include:</w:t>
        <w:br/>
        <w:t xml:space="preserve">  - Report name</w:t>
        <w:br/>
        <w:t xml:space="preserve">  - Frequency</w:t>
        <w:br/>
        <w:t xml:space="preserve">  - Due date</w:t>
        <w:br/>
        <w:t xml:space="preserve">  - Responsible party</w:t>
        <w:br/>
        <w:t xml:space="preserve">  - Submission method</w:t>
        <w:br/>
        <w:t>• Review calendar weekly</w:t>
        <w:br/>
        <w:t>• Set reminders before deadlines</w:t>
        <w:br/>
        <w:t>• Update when regulations change</w:t>
        <w:br/>
        <w:br/>
        <w:t>6.3 Seed-to-Sale Tracking Reports</w:t>
        <w:br/>
        <w:t>• Maintain accurate seed-to-sale data daily</w:t>
        <w:br/>
        <w:t>• Reconcile inventory regularly</w:t>
        <w:br/>
        <w:t>• Submit tracking data per OCM requirements</w:t>
        <w:br/>
        <w:t>• Correct discrepancies promptly</w:t>
        <w:br/>
        <w:t>• Generate reports from tracking system</w:t>
        <w:br/>
        <w:t>• Verify data accuracy before submission</w:t>
        <w:br/>
        <w:br/>
        <w:t>6.4 Report Preparation</w:t>
        <w:br/>
        <w:t>• Gather required data from all sources</w:t>
        <w:br/>
        <w:t>• Verify data accuracy</w:t>
        <w:br/>
        <w:t>• Prepare report using required format</w:t>
        <w:br/>
        <w:t>• Review for completeness</w:t>
        <w:br/>
        <w:t>• Obtain required approvals</w:t>
        <w:br/>
        <w:t>• Retain copy for records</w:t>
        <w:br/>
        <w:br/>
        <w:t>6.5 Report Review and Approval</w:t>
        <w:br/>
        <w:t>• Reports reviewed by:</w:t>
        <w:br/>
        <w:t xml:space="preserve">  - Preparer (initial check)</w:t>
        <w:br/>
        <w:t xml:space="preserve">  - Department manager (data accuracy)</w:t>
        <w:br/>
        <w:t xml:space="preserve">  - Compliance officer (regulatory accuracy)</w:t>
        <w:br/>
        <w:t xml:space="preserve">  - Quality Assurance (quality data)</w:t>
        <w:br/>
        <w:t>• Document approval prior to submission</w:t>
        <w:br/>
        <w:t>• Maintain review trail</w:t>
        <w:br/>
        <w:br/>
        <w:t>6.6 Report Submission</w:t>
        <w:br/>
        <w:t>• Submit through required channels:</w:t>
        <w:br/>
        <w:t xml:space="preserve">  - OCM online portal</w:t>
        <w:br/>
        <w:t xml:space="preserve">  - Email (if permitted)</w:t>
        <w:br/>
        <w:t xml:space="preserve">  - Mail (if required)</w:t>
        <w:br/>
        <w:t>• Confirm receipt of submission</w:t>
        <w:br/>
        <w:t>• Retain submission confirmation</w:t>
        <w:br/>
        <w:t>• Document date and method of submission</w:t>
        <w:br/>
        <w:br/>
        <w:t>6.7 Adverse Event Reporting</w:t>
        <w:br/>
        <w:t>• Report adverse events to OCM:</w:t>
        <w:br/>
        <w:t xml:space="preserve">  - Serious adverse health events</w:t>
        <w:br/>
        <w:t xml:space="preserve">  - Product safety concerns</w:t>
        <w:br/>
        <w:t xml:space="preserve">  - Contamination events</w:t>
        <w:br/>
        <w:t>• Report within required timeframe (typically 24-72 hours)</w:t>
        <w:br/>
        <w:t>• Use required reporting format</w:t>
        <w:br/>
        <w:t>• Follow up with additional information as needed</w:t>
        <w:br/>
        <w:t>• Maintain complete adverse event file</w:t>
        <w:br/>
        <w:br/>
        <w:t>6.8 Security Incident Reporting</w:t>
        <w:br/>
        <w:t>• Report security incidents:</w:t>
        <w:br/>
        <w:t xml:space="preserve">  - Theft or attempted theft</w:t>
        <w:br/>
        <w:t xml:space="preserve">  - Diversion</w:t>
        <w:br/>
        <w:t xml:space="preserve">  - Unauthorized access</w:t>
        <w:br/>
        <w:t xml:space="preserve">  - System breaches</w:t>
        <w:br/>
        <w:t>• Report to OCM within required timeframe</w:t>
        <w:br/>
        <w:t>• Coordinate with law enforcement</w:t>
        <w:br/>
        <w:t>• Document all communications</w:t>
        <w:br/>
        <w:br/>
        <w:t>6.9 License Modifications</w:t>
        <w:br/>
        <w:t>• Report changes requiring notification:</w:t>
        <w:br/>
        <w:t xml:space="preserve">  - Ownership changes</w:t>
        <w:br/>
        <w:t xml:space="preserve">  - Location changes</w:t>
        <w:br/>
        <w:t xml:space="preserve">  - Key personnel changes</w:t>
        <w:br/>
        <w:t xml:space="preserve">  - Operational changes</w:t>
        <w:br/>
        <w:t>• Submit modification requests per OCM procedures</w:t>
        <w:br/>
        <w:t>• Obtain approval before implementing changes</w:t>
        <w:br/>
        <w:t>• Update license documentation</w:t>
        <w:br/>
        <w:br/>
        <w:t>6.10 Responding to Regulatory Inquiries</w:t>
        <w:br/>
        <w:t>• Respond to OCM inquiries promptly</w:t>
        <w:br/>
        <w:t>• Designate authorized responders</w:t>
        <w:br/>
        <w:t>• Gather requested information</w:t>
        <w:br/>
        <w:t>• Review response for accuracy</w:t>
        <w:br/>
        <w:t>• Submit within requested timeframe</w:t>
        <w:br/>
        <w:t>• Document all communications</w:t>
        <w:br/>
        <w:t>• Escalate significant inquiries to management</w:t>
        <w:br/>
        <w:br/>
        <w:t>6.11 Record Retention</w:t>
        <w:br/>
        <w:t>• Retain all regulatory submissions for minimum 5 years</w:t>
        <w:br/>
        <w:t>• Maintain:</w:t>
        <w:br/>
        <w:t xml:space="preserve">  - Copies of submitted reports</w:t>
        <w:br/>
        <w:t xml:space="preserve">  - Supporting documentation</w:t>
        <w:br/>
        <w:t xml:space="preserve">  - Submission confirmations</w:t>
        <w:br/>
        <w:t xml:space="preserve">  - Regulatory correspondence</w:t>
        <w:br/>
        <w:t>• Organize records for easy retrieval</w:t>
        <w:br/>
        <w:t>• Make available for inspection</w:t>
      </w:r>
    </w:p>
    <w:p>
      <w:r>
        <w:rPr>
          <w:b/>
        </w:rPr>
        <w:t>7.</w:t>
        <w:tab/>
        <w:t>References</w:t>
      </w:r>
    </w:p>
    <w:p>
      <w:r>
        <w:t>• NYS OCM Regulations and Reporting Requirements</w:t>
        <w:br/>
        <w:t>• NYS Cannabis Law</w:t>
        <w:br/>
        <w:t>• OCM Guidance Documents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Seed-to-Sale Tracking: A system that tracks cannabis products from cultivation through final sale, documenting all movements and transactions.</w:t>
        <w:br/>
        <w:br/>
        <w:t>Adverse Event: An undesirable experience associated with the use of a cannabis product.</w:t>
        <w:br/>
        <w:br/>
        <w:t>License Modification: A change to the terms of a cannabis license that requires regulatory approval.</w:t>
        <w:br/>
        <w:br/>
        <w:t>Routine Report: A regularly scheduled report required by regulation.</w:t>
        <w:br/>
        <w:br/>
        <w:t>Event-Driven Report: A report triggered by a specific occurrence rather than a schedule.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GEN-020: Seed to Sale</w:t>
      </w:r>
      <w:r>
        <w:t xml:space="preserve"> - Track-trace reporting</w:t>
      </w:r>
    </w:p>
    <w:p>
      <w:pPr>
        <w:pStyle w:val="ListBullet"/>
      </w:pPr>
      <w:r>
        <w:rPr>
          <w:b/>
        </w:rPr>
        <w:t>GEN-024: License Renewal</w:t>
      </w:r>
      <w:r>
        <w:t xml:space="preserve"> - Regulatory submissions</w:t>
      </w:r>
    </w:p>
    <w:p>
      <w:pPr>
        <w:pStyle w:val="ListBullet"/>
      </w:pPr>
      <w:r>
        <w:rPr>
          <w:b/>
        </w:rPr>
        <w:t>GEN-047: Financial Statements (OTHER STATES) (OTHER STATES)</w:t>
      </w:r>
      <w:r>
        <w:t xml:space="preserve"> - Financial reporting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