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Manager Training for Impairment Response</w:t>
      </w:r>
    </w:p>
    <w:p/>
    <w:p>
      <w:r>
        <w:rPr>
          <w:b/>
        </w:rPr>
        <w:t>1.</w:t>
        <w:tab/>
        <w:t>Purpose</w:t>
      </w:r>
    </w:p>
    <w:p>
      <w:r>
        <w:t>This SOP establishes training requirements for managers and supervisors on identifying, documenting, and responding to potential workplace impairment while respecting employee rights under NYS Cannabis Law and Labor Law.</w:t>
      </w:r>
    </w:p>
    <w:p>
      <w:r>
        <w:rPr>
          <w:b/>
        </w:rPr>
        <w:t>2.</w:t>
        <w:tab/>
        <w:t>Scope</w:t>
      </w:r>
    </w:p>
    <w:p>
      <w:r>
        <w:t>This procedure applies to all supervisors, managers, and lead personnel who may observe employees and make employment-related decisions at NYS licensed cannabis facilities.</w:t>
      </w:r>
    </w:p>
    <w:p>
      <w:r>
        <w:rPr>
          <w:b/>
        </w:rPr>
        <w:t>3.</w:t>
        <w:tab/>
        <w:t>Prerequisites</w:t>
      </w:r>
    </w:p>
    <w:p>
      <w:r>
        <w:t>• Appointed supervisory or management role</w:t>
        <w:br/>
        <w:t>• Understanding of workplace cannabis policy</w:t>
        <w:br/>
        <w:t>• Knowledge of NYS employee protections</w:t>
        <w:br/>
        <w:t>• HR department support and guidance</w:t>
        <w:br/>
        <w:t>• Documentation systems in place</w:t>
      </w:r>
    </w:p>
    <w:p>
      <w:r>
        <w:rPr>
          <w:b/>
        </w:rPr>
        <w:t>4.</w:t>
        <w:tab/>
        <w:t>Responsibilities</w:t>
      </w:r>
    </w:p>
    <w:p>
      <w:r>
        <w:t>• Human Resources: Develop and deliver training; update materials</w:t>
        <w:br/>
        <w:t>• Managers/Supervisors: Complete training; follow proper procedures</w:t>
        <w:br/>
        <w:t>• Senior Management: Ensure all supervisors are trained</w:t>
        <w:br/>
        <w:t>• Legal/Compliance: Review training content for accuracy</w:t>
        <w:br/>
        <w:t>• Training Department: Track completion; maintain records</w:t>
      </w:r>
    </w:p>
    <w:p>
      <w:r>
        <w:rPr>
          <w:b/>
        </w:rPr>
        <w:t>5.</w:t>
        <w:tab/>
        <w:t>Materials and Equipment</w:t>
      </w:r>
    </w:p>
    <w:p>
      <w:r>
        <w:t>• Manager training presentation materials</w:t>
        <w:br/>
        <w:t>• Observable behavior checklists</w:t>
        <w:br/>
        <w:t>• Documentation forms and templates</w:t>
        <w:br/>
        <w:t>• Role-play scenarios</w:t>
        <w:br/>
        <w:t>• Training completion certificates</w:t>
        <w:br/>
        <w:t>• Reference cards for quick guidance</w:t>
      </w:r>
    </w:p>
    <w:p>
      <w:r>
        <w:rPr>
          <w:b/>
        </w:rPr>
        <w:t>6.</w:t>
        <w:tab/>
        <w:t>Procedure</w:t>
      </w:r>
    </w:p>
    <w:p>
      <w:r>
        <w:t>1. Training Program Overview</w:t>
        <w:br/>
        <w:t xml:space="preserve">   a. Schedule mandatory training for all supervisors</w:t>
        <w:br/>
        <w:t xml:space="preserve">   b. Require completion within 30 days of promotion</w:t>
        <w:br/>
        <w:t xml:space="preserve">   c. Provide annual refresher training</w:t>
        <w:br/>
        <w:t xml:space="preserve">   d. Document attendance and completion</w:t>
        <w:br/>
        <w:t xml:space="preserve">   e. Test comprehension through assessment</w:t>
        <w:br/>
        <w:br/>
        <w:t>2. Legal Framework Training</w:t>
        <w:br/>
        <w:t xml:space="preserve">   a. NYS Labor Law Section 201-d protections</w:t>
        <w:br/>
        <w:t xml:space="preserve">   b. Cannabis Law Section 17(2) requirements</w:t>
        <w:br/>
        <w:t xml:space="preserve">   c. What constitutes unlawful discrimination</w:t>
        <w:br/>
        <w:t xml:space="preserve">   d. Permitted employer actions</w:t>
        <w:br/>
        <w:t xml:space="preserve">   e. Documentation requirements for compliance</w:t>
        <w:br/>
        <w:br/>
        <w:t>3. Observable Impairment Indicators</w:t>
        <w:br/>
        <w:t xml:space="preserve">   a. Difficulty with coordination or balance</w:t>
        <w:br/>
        <w:t xml:space="preserve">   b. Slurred or slow speech patterns</w:t>
        <w:br/>
        <w:t xml:space="preserve">   c. Bloodshot or glassy eyes</w:t>
        <w:br/>
        <w:t xml:space="preserve">   d. Unusual behavior changes</w:t>
        <w:br/>
        <w:t xml:space="preserve">   e. Decreased work performance</w:t>
        <w:br/>
        <w:t xml:space="preserve">   f. Inability to follow instructions</w:t>
        <w:br/>
        <w:t xml:space="preserve">   Note: No single indicator confirms impairment</w:t>
        <w:br/>
        <w:br/>
        <w:t>4. What NOT to Consider</w:t>
        <w:br/>
        <w:t xml:space="preserve">   a. Odor alone (not evidence of impairment)</w:t>
        <w:br/>
        <w:t xml:space="preserve">   b. Previous off-duty use</w:t>
        <w:br/>
        <w:t xml:space="preserve">   c. Medical cannabis patient status</w:t>
        <w:br/>
        <w:t xml:space="preserve">   d. Positive drug test results alone</w:t>
        <w:br/>
        <w:t xml:space="preserve">   e. Rumors or third-party reports without observation</w:t>
        <w:br/>
        <w:br/>
        <w:t>5. Response Protocol Training</w:t>
        <w:br/>
        <w:t xml:space="preserve">   a. Step 1: Observe and document specific behaviors</w:t>
        <w:br/>
        <w:t xml:space="preserve">   b. Step 2: Seek second supervisor if available</w:t>
        <w:br/>
        <w:t xml:space="preserve">   c. Step 3: Meet privately with employee</w:t>
        <w:br/>
        <w:t xml:space="preserve">   d. Step 4: Contact HR before decisions</w:t>
        <w:br/>
        <w:t xml:space="preserve">   e. Step 5: Ensure employee safety (transportation)</w:t>
        <w:br/>
        <w:t xml:space="preserve">   f. Step 6: Complete documentation within 24 hours</w:t>
        <w:br/>
        <w:br/>
        <w:t>6. Documentation Training</w:t>
        <w:br/>
        <w:t xml:space="preserve">   a. Use objective, specific language</w:t>
        <w:br/>
        <w:t xml:space="preserve">   b. Record only observable facts</w:t>
        <w:br/>
        <w:t xml:space="preserve">   c. Avoid conclusions or assumptions</w:t>
        <w:br/>
        <w:t xml:space="preserve">   d. Note date, time, location, witnesses</w:t>
        <w:br/>
        <w:t xml:space="preserve">   e. Include employee statements</w:t>
        <w:br/>
        <w:t xml:space="preserve">   f. Submit to HR promptly</w:t>
        <w:br/>
        <w:br/>
        <w:t>7. Role-Play Scenarios</w:t>
        <w:br/>
        <w:t xml:space="preserve">   a. Practice observation techniques</w:t>
        <w:br/>
        <w:t xml:space="preserve">   b. Practice documentation writing</w:t>
        <w:br/>
        <w:t xml:space="preserve">   c. Practice employee conversations</w:t>
        <w:br/>
        <w:t xml:space="preserve">   d. Review common mistakes</w:t>
        <w:br/>
        <w:t xml:space="preserve">   e. Discuss challenging situations</w:t>
        <w:br/>
        <w:br/>
        <w:t>8. Training Certification</w:t>
        <w:br/>
        <w:t xml:space="preserve">   a. Complete written assessment</w:t>
        <w:br/>
        <w:t xml:space="preserve">   b. Demonstrate competency in role-play</w:t>
        <w:br/>
        <w:t xml:space="preserve">   c. Sign acknowledgment of responsibilities</w:t>
        <w:br/>
        <w:t xml:space="preserve">   d. Receive certification documentation</w:t>
        <w:br/>
        <w:t xml:space="preserve">   e. Schedule refresher training date</w:t>
      </w:r>
    </w:p>
    <w:p>
      <w:r>
        <w:rPr>
          <w:b/>
        </w:rPr>
        <w:t>7.</w:t>
        <w:tab/>
        <w:t>References</w:t>
      </w:r>
    </w:p>
    <w:p>
      <w:r>
        <w:t>• NYS Labor Law Section 201-d</w:t>
        <w:br/>
        <w:t>• NYS Cannabis Law Section 17(2)</w:t>
        <w:br/>
        <w:t>• Company Workplace Cannabis Policy</w:t>
        <w:br/>
        <w:t>• OSHA workplace safety guidelines</w:t>
        <w:br/>
        <w:t>• cannabis.ny.gov - Employer Guidance</w:t>
      </w:r>
    </w:p>
    <w:p>
      <w:r>
        <w:rPr>
          <w:b/>
        </w:rPr>
        <w:t>8.</w:t>
        <w:tab/>
        <w:t>Definitions</w:t>
      </w:r>
    </w:p>
    <w:p>
      <w:r>
        <w:t>• Observable Impairment: Behavior or performance deficits visible to trained observer</w:t>
        <w:br/>
        <w:t>• Articulable Symptoms: Specific, documentable signs of impairment</w:t>
        <w:br/>
        <w:t>• Performance-Based Assessment: Evaluation using observable work behaviors</w:t>
        <w:br/>
        <w:t>• Reasonable Suspicion: Objective basis for concern based on observations</w:t>
        <w:br/>
        <w:t>• Fit for Duty: Capable of safely performing job responsibilities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HR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GEN-027: Cannabis Use Policy</w:t>
      </w:r>
      <w:r>
        <w:t xml:space="preserve"> - Policy framework</w:t>
      </w:r>
    </w:p>
    <w:p>
      <w:pPr>
        <w:pStyle w:val="ListBullet"/>
      </w:pPr>
      <w:r>
        <w:rPr>
          <w:b/>
        </w:rPr>
        <w:t>GEN-002: Training Program</w:t>
      </w:r>
      <w:r>
        <w:t xml:space="preserve"> - Training program</w:t>
      </w:r>
    </w:p>
    <w:p>
      <w:pPr>
        <w:pStyle w:val="ListBullet"/>
      </w:pPr>
      <w:r>
        <w:rPr>
          <w:b/>
        </w:rPr>
        <w:t>GEN-029: Drug Testing</w:t>
      </w:r>
      <w:r>
        <w:t xml:space="preserve"> - Testing triggers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