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Standard Operating Procedure: Tincture Manufacturing</w:t>
      </w:r>
    </w:p>
    <w:p>
      <w:r>
        <w:rPr>
          <w:b/>
        </w:rPr>
        <w:t>1.</w:t>
        <w:tab/>
        <w:t>Purpose</w:t>
      </w:r>
    </w:p>
    <w:p>
      <w:r>
        <w:t>This Standard Operating Procedure establishes guidelines for manufacturing cannabis tinctures in compliance with NYS Office of Cannabis Management (OCM) regulations.</w:t>
      </w:r>
    </w:p>
    <w:p>
      <w:r>
        <w:rPr>
          <w:b/>
        </w:rPr>
        <w:t>2.</w:t>
        <w:tab/>
        <w:t>Scope</w:t>
      </w:r>
    </w:p>
    <w:p>
      <w:r>
        <w:t>This SOP applies to all cannabis tincture manufacturing operations at licensed facilities in New York State.</w:t>
      </w:r>
    </w:p>
    <w:p>
      <w:r>
        <w:rPr>
          <w:b/>
        </w:rPr>
        <w:t>3.</w:t>
        <w:tab/>
        <w:t>Prerequisites</w:t>
      </w:r>
    </w:p>
    <w:p>
      <w:r>
        <w:t>• Training on tincture formulation</w:t>
        <w:br/>
        <w:t>• Understanding of extraction and infusion</w:t>
        <w:br/>
        <w:t>• Knowledge of dosing calculations</w:t>
        <w:br/>
        <w:t>• Familiarity with carrier oils/alcohols</w:t>
        <w:br/>
        <w:t>• Quality control training</w:t>
      </w:r>
    </w:p>
    <w:p>
      <w:r>
        <w:rPr>
          <w:b/>
        </w:rPr>
        <w:t>4.</w:t>
        <w:tab/>
        <w:t>Responsibilities</w:t>
      </w:r>
    </w:p>
    <w:p>
      <w:r>
        <w:t>Production Manager:</w:t>
        <w:br/>
        <w:t>• Oversee tincture manufacturing</w:t>
        <w:br/>
        <w:t>• Approve formulations</w:t>
        <w:br/>
        <w:t>• Ensure compliance</w:t>
        <w:br/>
        <w:t>• Monitor quality</w:t>
        <w:br/>
        <w:br/>
        <w:t>Production Staff:</w:t>
        <w:br/>
        <w:t>• Prepare formulations</w:t>
        <w:br/>
        <w:t>• Execute manufacturing</w:t>
        <w:br/>
        <w:t>• Package products</w:t>
        <w:br/>
        <w:t>• Document production</w:t>
        <w:br/>
        <w:br/>
        <w:t>Quality Assurance:</w:t>
        <w:br/>
        <w:t>• Test formulations</w:t>
        <w:br/>
        <w:t>• Verify potency and dosing</w:t>
        <w:br/>
        <w:t>• Approve batch release</w:t>
        <w:br/>
        <w:t>• Monitor for contaminants</w:t>
      </w:r>
    </w:p>
    <w:p>
      <w:r>
        <w:rPr>
          <w:b/>
        </w:rPr>
        <w:t>5.</w:t>
        <w:tab/>
        <w:t>Materials</w:t>
      </w:r>
    </w:p>
    <w:p>
      <w:r>
        <w:t>• Cannabis extract or distillate</w:t>
        <w:br/>
        <w:t>• Carrier medium (MCT oil, alcohol, etc.)</w:t>
        <w:br/>
        <w:t>• Flavoring agents (if applicable)</w:t>
        <w:br/>
        <w:t>• Mixing vessels</w:t>
        <w:br/>
        <w:t>• Heating equipment</w:t>
        <w:br/>
        <w:t>• Precision scales</w:t>
        <w:br/>
        <w:t>• Homogenizer or mixer</w:t>
        <w:br/>
        <w:t>• Dropper bottles</w:t>
        <w:br/>
        <w:t>• Filling equipment</w:t>
        <w:br/>
        <w:t>• Labels and packaging</w:t>
      </w:r>
    </w:p>
    <w:p>
      <w:r>
        <w:rPr>
          <w:b/>
        </w:rPr>
        <w:t>6.</w:t>
        <w:tab/>
        <w:t>Procedure</w:t>
      </w:r>
    </w:p>
    <w:p>
      <w:r>
        <w:t>6.1 Formulation Design</w:t>
        <w:br/>
        <w:t>• Define tincture specifications:</w:t>
        <w:br/>
        <w:t xml:space="preserve">  - Target potency (mg/mL)</w:t>
        <w:br/>
        <w:t xml:space="preserve">  - Serving size (dropper)</w:t>
        <w:br/>
        <w:t xml:space="preserve">  - Total bottle volume</w:t>
        <w:br/>
        <w:t xml:space="preserve">  - Carrier type</w:t>
        <w:br/>
        <w:t>• Calculate cannabinoid amounts:</w:t>
        <w:br/>
        <w:t xml:space="preserve">  - Total mg per bottle</w:t>
        <w:br/>
        <w:t xml:space="preserve">  - Extract amount needed</w:t>
        <w:br/>
        <w:t xml:space="preserve">  - Carrier volume</w:t>
        <w:br/>
        <w:t>• Document formulation</w:t>
        <w:br/>
        <w:br/>
        <w:t>6.2 Carrier Selection</w:t>
        <w:br/>
        <w:t>• Select appropriate carrier:</w:t>
        <w:br/>
        <w:t xml:space="preserve">  MCT OIL:</w:t>
        <w:br/>
        <w:t xml:space="preserve">  - Good absorption</w:t>
        <w:br/>
        <w:t xml:space="preserve">  - Neutral flavor</w:t>
        <w:br/>
        <w:t xml:space="preserve">  - Long shelf life</w:t>
        <w:br/>
        <w:t xml:space="preserve">  </w:t>
        <w:br/>
        <w:t xml:space="preserve">  ALCOHOL (if permitted):</w:t>
        <w:br/>
        <w:t xml:space="preserve">  - Rapid sublingual absorption</w:t>
        <w:br/>
        <w:t xml:space="preserve">  - Preservative properties</w:t>
        <w:br/>
        <w:t xml:space="preserve">  - 60-80% ethanol typical</w:t>
        <w:br/>
        <w:t xml:space="preserve">  </w:t>
        <w:br/>
        <w:t xml:space="preserve">  VEGETABLE GLYCERIN:</w:t>
        <w:br/>
        <w:t xml:space="preserve">  - Sweet taste</w:t>
        <w:br/>
        <w:t xml:space="preserve">  - Slower absorption</w:t>
        <w:br/>
        <w:t>• Verify carrier quality and source</w:t>
        <w:br/>
        <w:br/>
        <w:t>6.3 Extract Preparation</w:t>
        <w:br/>
        <w:t>• Verify extract quality:</w:t>
        <w:br/>
        <w:t xml:space="preserve">  - Tested and approved</w:t>
        <w:br/>
        <w:t xml:space="preserve">  - Known potency</w:t>
        <w:br/>
        <w:t xml:space="preserve">  - Appropriate for tinctures</w:t>
        <w:br/>
        <w:t>• Weigh extract precisely</w:t>
        <w:br/>
        <w:t>• Document lot and weight</w:t>
        <w:br/>
        <w:t>• Warm if needed for viscosity</w:t>
        <w:br/>
        <w:br/>
        <w:t>6.4 Blending Process</w:t>
        <w:br/>
        <w:t>• Combine extract with carrier:</w:t>
        <w:br/>
        <w:t xml:space="preserve">  - Warm carrier slightly (120-140°F)</w:t>
        <w:br/>
        <w:t xml:space="preserve">  - Add extract</w:t>
        <w:br/>
        <w:t xml:space="preserve">  - Mix thoroughly</w:t>
        <w:br/>
        <w:t>• Ensure homogeneity:</w:t>
        <w:br/>
        <w:t xml:space="preserve">  - Use homogenizer for large batches</w:t>
        <w:br/>
        <w:t xml:space="preserve">  - Mix until uniform</w:t>
        <w:br/>
        <w:t xml:space="preserve">  - No visible separation</w:t>
        <w:br/>
        <w:t>• Add flavoring if applicable</w:t>
        <w:br/>
        <w:br/>
        <w:t>6.5 Potency Verification</w:t>
        <w:br/>
        <w:t>• Sample for testing:</w:t>
        <w:br/>
        <w:t xml:space="preserve">  - Multiple points in batch</w:t>
        <w:br/>
        <w:t xml:space="preserve">  - Submit for potency analysis</w:t>
        <w:br/>
        <w:t>• Verify target potency achieved</w:t>
        <w:br/>
        <w:t>• Calculate actual mg/mL</w:t>
        <w:br/>
        <w:t>• Document results</w:t>
        <w:br/>
        <w:br/>
        <w:t>6.6 Filling Operations</w:t>
        <w:br/>
        <w:t>• Set up filling equipment:</w:t>
        <w:br/>
        <w:t xml:space="preserve">  - Calibrate volume</w:t>
        <w:br/>
        <w:t xml:space="preserve">  - Verify accuracy</w:t>
        <w:br/>
        <w:t xml:space="preserve">  - Clean and sanitize</w:t>
        <w:br/>
        <w:t>• Fill bottles:</w:t>
        <w:br/>
        <w:t xml:space="preserve">  - Consistent fill volume</w:t>
        <w:br/>
        <w:t xml:space="preserve">  - Minimize air incorporation</w:t>
        <w:br/>
        <w:t xml:space="preserve">  - Avoid spillage</w:t>
        <w:br/>
        <w:t>• Attach droppers/closures</w:t>
        <w:br/>
        <w:br/>
        <w:t>6.7 Fill Accuracy</w:t>
        <w:br/>
        <w:t>• Verify fill volume:</w:t>
        <w:br/>
        <w:t xml:space="preserve">  - Weigh samples</w:t>
        <w:br/>
        <w:t xml:space="preserve">  - Calculate variance</w:t>
        <w:br/>
        <w:t xml:space="preserve">  - Target: ±5% of specified volume</w:t>
        <w:br/>
        <w:t>• Document fill weights</w:t>
        <w:br/>
        <w:t>• Segregate out-of-spec units</w:t>
        <w:br/>
        <w:br/>
        <w:t>6.8 Labeling Requirements</w:t>
        <w:br/>
        <w:t>• Labels must include:</w:t>
        <w:br/>
        <w:t xml:space="preserve">  - Product name</w:t>
        <w:br/>
        <w:t xml:space="preserve">  - Total cannabinoid content</w:t>
        <w:br/>
        <w:t xml:space="preserve">  - Serving size and servings per container</w:t>
        <w:br/>
        <w:t xml:space="preserve">  - Suggested use instructions</w:t>
        <w:br/>
        <w:t xml:space="preserve">  - Ingredient list</w:t>
        <w:br/>
        <w:t xml:space="preserve">  - Required warnings</w:t>
        <w:br/>
        <w:t xml:space="preserve">  - Batch/lot number</w:t>
        <w:br/>
        <w:t>• Verify label accuracy</w:t>
        <w:br/>
        <w:t>• Apply labels properly</w:t>
        <w:br/>
        <w:br/>
        <w:t>6.9 Packaging</w:t>
        <w:br/>
        <w:t>• Package per OCM requirements:</w:t>
        <w:br/>
        <w:t xml:space="preserve">  - Child-resistant closure</w:t>
        <w:br/>
        <w:t xml:space="preserve">  - Measured dropper</w:t>
        <w:br/>
        <w:t xml:space="preserve">  - Required warnings</w:t>
        <w:br/>
        <w:t>• Include dosing guide if applicable</w:t>
        <w:br/>
        <w:t>• Secondary packaging as needed</w:t>
        <w:br/>
        <w:br/>
        <w:t>6.10 Quality Control</w:t>
        <w:br/>
        <w:t>• Test finished product:</w:t>
        <w:br/>
        <w:t xml:space="preserve">  - Potency verification</w:t>
        <w:br/>
        <w:t xml:space="preserve">  - Homogeneity testing</w:t>
        <w:br/>
        <w:t xml:space="preserve">  - Microbial testing</w:t>
        <w:br/>
        <w:t xml:space="preserve">  - Visual inspection</w:t>
        <w:br/>
        <w:t>• Hold until results received</w:t>
        <w:br/>
        <w:t>• Document all testing</w:t>
        <w:br/>
        <w:br/>
        <w:t>6.11 Stability Considerations</w:t>
        <w:br/>
        <w:t>• Protect from:</w:t>
        <w:br/>
        <w:t xml:space="preserve">  - Light exposure</w:t>
        <w:br/>
        <w:t xml:space="preserve">  - Heat</w:t>
        <w:br/>
        <w:t xml:space="preserve">  - Oxidation</w:t>
        <w:br/>
        <w:t>• Consider shelf life:</w:t>
        <w:br/>
        <w:t xml:space="preserve">  - Typical: 12-24 months</w:t>
        <w:br/>
        <w:t xml:space="preserve">  - Establish expiration dates</w:t>
        <w:br/>
        <w:t>• Document storage requirements</w:t>
        <w:br/>
        <w:br/>
        <w:t>6.12 Batch Documentation</w:t>
        <w:br/>
        <w:t>• Complete batch record:</w:t>
        <w:br/>
        <w:t xml:space="preserve">  - Formulation details</w:t>
        <w:br/>
        <w:t xml:space="preserve">  - Materials used (lots)</w:t>
        <w:br/>
        <w:t xml:space="preserve">  - Process parameters</w:t>
        <w:br/>
        <w:t xml:space="preserve">  - Fill data</w:t>
        <w:br/>
        <w:t xml:space="preserve">  - Test results</w:t>
        <w:br/>
        <w:t xml:space="preserve">  - Yield</w:t>
        <w:br/>
        <w:t>• Update tracking system</w:t>
      </w:r>
    </w:p>
    <w:p>
      <w:r>
        <w:rPr>
          <w:b/>
        </w:rPr>
        <w:t>7.</w:t>
        <w:tab/>
        <w:t>References</w:t>
      </w:r>
    </w:p>
    <w:p>
      <w:r>
        <w:t>• NYS OCM Processing Regulations</w:t>
        <w:br/>
        <w:t>• NYS OCM Packaging Requirements</w:t>
        <w:br/>
        <w:t>• Source: https://cannabis.ny.gov/</w:t>
      </w:r>
    </w:p>
    <w:p>
      <w:r>
        <w:rPr>
          <w:b/>
        </w:rPr>
        <w:t>8.</w:t>
        <w:tab/>
        <w:t>Definitions</w:t>
      </w:r>
    </w:p>
    <w:p>
      <w:r>
        <w:t>Tincture: A liquid cannabis product typically administered sublingually using a dropper.</w:t>
        <w:br/>
        <w:br/>
        <w:t>MCT Oil: Medium-chain triglyceride oil, commonly derived from coconut, used as a carrier.</w:t>
        <w:br/>
        <w:br/>
        <w:t>Sublingual: Administration under the tongue for absorption through oral mucosa.</w:t>
        <w:br/>
        <w:br/>
        <w:t>Homogeneity: Uniform distribution of cannabinoids throughout the product.</w:t>
        <w:br/>
        <w:br/>
        <w:t>Potency: The concentration of cannabinoids, typically expressed as mg/mL for tinctures.</w:t>
      </w:r>
    </w:p>
    <w:p/>
    <w:p>
      <w:r>
        <w:rPr>
          <w:b/>
          <w:sz w:val="24"/>
        </w:rPr>
        <w:t>Related SOPs and Cross-References</w:t>
      </w:r>
    </w:p>
    <w:p>
      <w:r>
        <w:rPr>
          <w:b/>
        </w:rPr>
        <w:t xml:space="preserve">Category: </w:t>
      </w:r>
      <w:r>
        <w:t>INFUSION - NYS OCM</w:t>
      </w:r>
    </w:p>
    <w:p>
      <w:r>
        <w:t>The following SOPs are related to this procedure:</w:t>
      </w:r>
    </w:p>
    <w:p>
      <w:pPr>
        <w:pStyle w:val="ListBullet"/>
      </w:pPr>
      <w:r>
        <w:rPr>
          <w:b/>
        </w:rPr>
        <w:t>PROC-005: Ethanol Extraction</w:t>
      </w:r>
      <w:r>
        <w:t xml:space="preserve"> - Extract production</w:t>
      </w:r>
    </w:p>
    <w:p>
      <w:pPr>
        <w:pStyle w:val="ListBullet"/>
      </w:pPr>
      <w:r>
        <w:rPr>
          <w:b/>
        </w:rPr>
        <w:t>PROC-026: Infused Product Formulation</w:t>
      </w:r>
      <w:r>
        <w:t xml:space="preserve"> - Formulation</w:t>
      </w:r>
    </w:p>
    <w:p>
      <w:pPr>
        <w:pStyle w:val="ListBullet"/>
      </w:pPr>
      <w:r>
        <w:rPr>
          <w:b/>
        </w:rPr>
        <w:t>GEN-019: Packaging Labeling</w:t>
      </w:r>
      <w:r>
        <w:t xml:space="preserve"> - Tincture labeling</w:t>
      </w:r>
    </w:p>
    <w:p/>
    <w:p>
      <w:r>
        <w:rPr>
          <w:b/>
        </w:rPr>
        <w:t xml:space="preserve">Note: </w:t>
      </w:r>
      <w:r>
        <w:t>This SOP is part of a comprehensive cannabis compliance system. SOPs marked "(OTHER STATES)" contain recommendations from other state programs and are suggestions, not NYS OCM requirements.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