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0E6E4" w14:textId="77777777" w:rsidR="00FF48A9" w:rsidRDefault="00000000">
      <w:pPr>
        <w:spacing w:after="40"/>
      </w:pPr>
      <w:r>
        <w:rPr>
          <w:b/>
          <w:bCs/>
          <w:color w:val="0F2318"/>
          <w:sz w:val="64"/>
          <w:szCs w:val="64"/>
        </w:rPr>
        <w:t>LIFE</w:t>
      </w:r>
    </w:p>
    <w:p w14:paraId="3F965EE4" w14:textId="77777777" w:rsidR="00FF48A9" w:rsidRDefault="00000000">
      <w:pPr>
        <w:spacing w:after="40"/>
      </w:pPr>
      <w:r>
        <w:rPr>
          <w:color w:val="3A5035"/>
          <w:sz w:val="24"/>
          <w:szCs w:val="24"/>
        </w:rPr>
        <w:t>Longevity Initiative for Food &amp; Education</w:t>
      </w:r>
    </w:p>
    <w:p w14:paraId="06C33529" w14:textId="77777777" w:rsidR="00FF48A9" w:rsidRDefault="00000000">
      <w:r>
        <w:rPr>
          <w:color w:val="5C7A48"/>
          <w:spacing w:val="40"/>
          <w:sz w:val="18"/>
          <w:szCs w:val="18"/>
        </w:rPr>
        <w:t>The Six Pillars Framework · Pilot Overview · 2026</w:t>
      </w:r>
    </w:p>
    <w:p w14:paraId="09DB21B1" w14:textId="77777777" w:rsidR="00FF48A9" w:rsidRDefault="00FF48A9">
      <w:pPr>
        <w:spacing w:before="80"/>
      </w:pPr>
    </w:p>
    <w:p w14:paraId="36A834D4" w14:textId="77777777" w:rsidR="00FF48A9" w:rsidRDefault="00FF48A9">
      <w:pPr>
        <w:pBdr>
          <w:bottom w:val="single" w:sz="4" w:space="1" w:color="0F2318"/>
        </w:pBdr>
      </w:pPr>
    </w:p>
    <w:p w14:paraId="6DFF8553" w14:textId="77777777" w:rsidR="00FF48A9" w:rsidRDefault="00FF48A9">
      <w:pPr>
        <w:spacing w:before="160"/>
      </w:pPr>
    </w:p>
    <w:p w14:paraId="7EAAB8F6" w14:textId="77777777" w:rsidR="00FF48A9" w:rsidRDefault="00000000">
      <w:pPr>
        <w:spacing w:before="200" w:after="80"/>
      </w:pPr>
      <w:r>
        <w:rPr>
          <w:b/>
          <w:bCs/>
          <w:color w:val="5C7A48"/>
          <w:spacing w:val="80"/>
          <w:sz w:val="16"/>
          <w:szCs w:val="16"/>
        </w:rPr>
        <w:t>THE PROBLEM</w:t>
      </w:r>
    </w:p>
    <w:p w14:paraId="7686A049" w14:textId="77777777" w:rsidR="00FF48A9" w:rsidRDefault="00000000">
      <w:pPr>
        <w:spacing w:before="80" w:after="120"/>
      </w:pPr>
      <w:r>
        <w:rPr>
          <w:b/>
          <w:bCs/>
          <w:color w:val="0F2318"/>
          <w:sz w:val="36"/>
          <w:szCs w:val="36"/>
        </w:rPr>
        <w:t>American life expectancy is falling—for the first time in a century.</w:t>
      </w:r>
    </w:p>
    <w:p w14:paraId="25C01884" w14:textId="77777777" w:rsidR="00FF48A9" w:rsidRDefault="00000000">
      <w:pPr>
        <w:spacing w:before="60" w:after="80"/>
      </w:pPr>
      <w:r>
        <w:rPr>
          <w:color w:val="080E08"/>
        </w:rPr>
        <w:t>The Danish Twin Study established that only 20% of how long we live is determined by our genes. The remaining 80% is shaped by daily habits and environment. Yet chronic disease, social isolation, and sedentary behavior have become the American default. We are the first generation projected to live shorter lives than our parents—not because of biology, but because of behavior.</w:t>
      </w:r>
    </w:p>
    <w:p w14:paraId="55794D81" w14:textId="77777777" w:rsidR="00FF48A9" w:rsidRDefault="00FF48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F48A9" w14:paraId="5E438A67" w14:textId="77777777">
        <w:tblPrEx>
          <w:tblCellMar>
            <w:top w:w="0" w:type="dxa"/>
            <w:bottom w:w="0" w:type="dxa"/>
          </w:tblCellMar>
        </w:tblPrEx>
        <w:tc>
          <w:tcPr>
            <w:tcW w:w="3120" w:type="dxa"/>
            <w:tcBorders>
              <w:top w:val="single" w:sz="1" w:space="0" w:color="B8C4B0"/>
              <w:left w:val="single" w:sz="1" w:space="0" w:color="B8C4B0"/>
              <w:bottom w:val="single" w:sz="1" w:space="0" w:color="B8C4B0"/>
              <w:right w:val="single" w:sz="1" w:space="0" w:color="B8C4B0"/>
            </w:tcBorders>
            <w:shd w:val="clear" w:color="auto" w:fill="EDE8DD"/>
            <w:tcMar>
              <w:top w:w="160" w:type="dxa"/>
              <w:left w:w="180" w:type="dxa"/>
              <w:bottom w:w="160" w:type="dxa"/>
              <w:right w:w="180" w:type="dxa"/>
            </w:tcMar>
          </w:tcPr>
          <w:p w14:paraId="299F27A1" w14:textId="77777777" w:rsidR="00FF48A9" w:rsidRDefault="00000000">
            <w:pPr>
              <w:spacing w:after="60"/>
            </w:pPr>
            <w:r>
              <w:rPr>
                <w:b/>
                <w:bCs/>
                <w:color w:val="0F2318"/>
                <w:sz w:val="52"/>
                <w:szCs w:val="52"/>
              </w:rPr>
              <w:t>80%</w:t>
            </w:r>
          </w:p>
          <w:p w14:paraId="59C01631" w14:textId="77777777" w:rsidR="00FF48A9" w:rsidRDefault="00000000">
            <w:pPr>
              <w:spacing w:after="60"/>
            </w:pPr>
            <w:r>
              <w:rPr>
                <w:b/>
                <w:bCs/>
                <w:color w:val="080E08"/>
                <w:sz w:val="18"/>
                <w:szCs w:val="18"/>
              </w:rPr>
              <w:t>of lifespan is lifestyle</w:t>
            </w:r>
          </w:p>
          <w:p w14:paraId="39203350" w14:textId="77777777" w:rsidR="00FF48A9" w:rsidRDefault="00000000">
            <w:pPr>
              <w:spacing w:after="60"/>
            </w:pPr>
            <w:r>
              <w:rPr>
                <w:color w:val="3A5035"/>
                <w:sz w:val="16"/>
                <w:szCs w:val="16"/>
              </w:rPr>
              <w:t>Not genetics. Daily habits, environment, and social connection determine how long we live.</w:t>
            </w:r>
          </w:p>
          <w:p w14:paraId="235D51EA" w14:textId="77777777" w:rsidR="00FF48A9" w:rsidRDefault="00000000">
            <w:pPr>
              <w:spacing w:before="40"/>
            </w:pPr>
            <w:r>
              <w:rPr>
                <w:i/>
                <w:iCs/>
                <w:color w:val="B8C4B0"/>
                <w:sz w:val="13"/>
                <w:szCs w:val="13"/>
              </w:rPr>
              <w:t>Danish Twin Study, NEJM 1996</w:t>
            </w:r>
          </w:p>
        </w:tc>
        <w:tc>
          <w:tcPr>
            <w:tcW w:w="3120" w:type="dxa"/>
            <w:tcBorders>
              <w:top w:val="single" w:sz="1" w:space="0" w:color="B8C4B0"/>
              <w:left w:val="single" w:sz="1" w:space="0" w:color="B8C4B0"/>
              <w:bottom w:val="single" w:sz="1" w:space="0" w:color="B8C4B0"/>
              <w:right w:val="single" w:sz="1" w:space="0" w:color="B8C4B0"/>
            </w:tcBorders>
            <w:shd w:val="clear" w:color="auto" w:fill="EDE8DD"/>
            <w:tcMar>
              <w:top w:w="160" w:type="dxa"/>
              <w:left w:w="180" w:type="dxa"/>
              <w:bottom w:w="160" w:type="dxa"/>
              <w:right w:w="180" w:type="dxa"/>
            </w:tcMar>
          </w:tcPr>
          <w:p w14:paraId="4E1C4D48" w14:textId="77777777" w:rsidR="00FF48A9" w:rsidRDefault="00000000">
            <w:pPr>
              <w:spacing w:after="60"/>
            </w:pPr>
            <w:r>
              <w:rPr>
                <w:b/>
                <w:bCs/>
                <w:color w:val="0F2318"/>
                <w:sz w:val="52"/>
                <w:szCs w:val="52"/>
              </w:rPr>
              <w:t>20+</w:t>
            </w:r>
          </w:p>
          <w:p w14:paraId="2ECDA3BD" w14:textId="77777777" w:rsidR="00FF48A9" w:rsidRDefault="00000000">
            <w:pPr>
              <w:spacing w:after="60"/>
            </w:pPr>
            <w:r>
              <w:rPr>
                <w:b/>
                <w:bCs/>
                <w:color w:val="080E08"/>
                <w:sz w:val="18"/>
                <w:szCs w:val="18"/>
              </w:rPr>
              <w:t>years of additional life</w:t>
            </w:r>
          </w:p>
          <w:p w14:paraId="220F68AC" w14:textId="77777777" w:rsidR="00FF48A9" w:rsidRDefault="00000000">
            <w:pPr>
              <w:spacing w:after="60"/>
            </w:pPr>
            <w:r>
              <w:rPr>
                <w:color w:val="3A5035"/>
                <w:sz w:val="16"/>
                <w:szCs w:val="16"/>
              </w:rPr>
              <w:t>Communities practicing the six longevity pillars consistently outlive the average American by two decades.</w:t>
            </w:r>
          </w:p>
          <w:p w14:paraId="442F4E40" w14:textId="77777777" w:rsidR="00FF48A9" w:rsidRDefault="00000000">
            <w:pPr>
              <w:spacing w:before="40"/>
            </w:pPr>
            <w:r>
              <w:rPr>
                <w:i/>
                <w:iCs/>
                <w:color w:val="B8C4B0"/>
                <w:sz w:val="13"/>
                <w:szCs w:val="13"/>
              </w:rPr>
              <w:t>Buettner D. Blue Zones, 2005</w:t>
            </w:r>
          </w:p>
        </w:tc>
        <w:tc>
          <w:tcPr>
            <w:tcW w:w="3120" w:type="dxa"/>
            <w:tcBorders>
              <w:top w:val="single" w:sz="1" w:space="0" w:color="B8C4B0"/>
              <w:left w:val="single" w:sz="1" w:space="0" w:color="B8C4B0"/>
              <w:bottom w:val="single" w:sz="1" w:space="0" w:color="B8C4B0"/>
              <w:right w:val="single" w:sz="1" w:space="0" w:color="B8C4B0"/>
            </w:tcBorders>
            <w:shd w:val="clear" w:color="auto" w:fill="EDE8DD"/>
            <w:tcMar>
              <w:top w:w="160" w:type="dxa"/>
              <w:left w:w="180" w:type="dxa"/>
              <w:bottom w:w="160" w:type="dxa"/>
              <w:right w:w="180" w:type="dxa"/>
            </w:tcMar>
          </w:tcPr>
          <w:p w14:paraId="65D9B6D4" w14:textId="77777777" w:rsidR="00FF48A9" w:rsidRDefault="00000000">
            <w:pPr>
              <w:spacing w:after="60"/>
            </w:pPr>
            <w:r>
              <w:rPr>
                <w:b/>
                <w:bCs/>
                <w:color w:val="0F2318"/>
                <w:sz w:val="52"/>
                <w:szCs w:val="52"/>
              </w:rPr>
              <w:t>15</w:t>
            </w:r>
          </w:p>
          <w:p w14:paraId="6C47CB17" w14:textId="77777777" w:rsidR="00FF48A9" w:rsidRDefault="00000000">
            <w:pPr>
              <w:spacing w:after="60"/>
            </w:pPr>
            <w:r>
              <w:rPr>
                <w:b/>
                <w:bCs/>
                <w:color w:val="080E08"/>
                <w:sz w:val="18"/>
                <w:szCs w:val="18"/>
              </w:rPr>
              <w:t>cigarettes — cost of loneliness</w:t>
            </w:r>
          </w:p>
          <w:p w14:paraId="194716A9" w14:textId="77777777" w:rsidR="00FF48A9" w:rsidRDefault="00000000">
            <w:pPr>
              <w:spacing w:after="60"/>
            </w:pPr>
            <w:r>
              <w:rPr>
                <w:color w:val="3A5035"/>
                <w:sz w:val="16"/>
                <w:szCs w:val="16"/>
              </w:rPr>
              <w:t>The U.S. Surgeon General declared loneliness a public health epidemic with mortality risk equal to smoking 15 cigarettes daily.</w:t>
            </w:r>
          </w:p>
          <w:p w14:paraId="573D1B0C" w14:textId="77777777" w:rsidR="00FF48A9" w:rsidRDefault="00000000">
            <w:pPr>
              <w:spacing w:before="40"/>
            </w:pPr>
            <w:r>
              <w:rPr>
                <w:i/>
                <w:iCs/>
                <w:color w:val="B8C4B0"/>
                <w:sz w:val="13"/>
                <w:szCs w:val="13"/>
              </w:rPr>
              <w:t>U.S. Surgeon General Advisory, 2023</w:t>
            </w:r>
          </w:p>
        </w:tc>
      </w:tr>
    </w:tbl>
    <w:p w14:paraId="60217299" w14:textId="77777777" w:rsidR="00FF48A9" w:rsidRDefault="00FF48A9">
      <w:pPr>
        <w:spacing w:before="200"/>
      </w:pPr>
    </w:p>
    <w:p w14:paraId="7E3647F9" w14:textId="77777777" w:rsidR="00FF48A9" w:rsidRDefault="00000000">
      <w:pPr>
        <w:pBdr>
          <w:bottom w:val="single" w:sz="3" w:space="4" w:color="1E3A28"/>
        </w:pBdr>
        <w:spacing w:before="240" w:after="80"/>
      </w:pPr>
      <w:r>
        <w:rPr>
          <w:b/>
          <w:bCs/>
          <w:color w:val="0F2318"/>
          <w:sz w:val="24"/>
          <w:szCs w:val="24"/>
        </w:rPr>
        <w:t>The Six Pillars Framework</w:t>
      </w:r>
    </w:p>
    <w:p w14:paraId="037406FC" w14:textId="77777777" w:rsidR="00FF48A9" w:rsidRDefault="00000000">
      <w:pPr>
        <w:spacing w:before="60" w:after="80"/>
      </w:pPr>
      <w:r>
        <w:rPr>
          <w:color w:val="080E08"/>
        </w:rPr>
        <w:t>Through decades of demographic research across the world’s longest-lived populations—Sardinia, Okinawa, Nicoya, Ikaria—six shared habits emerge without exception. LIFE has organized these into a practical, accessible framework that any family can begin implementing tonight.</w:t>
      </w:r>
    </w:p>
    <w:p w14:paraId="153C97D7" w14:textId="77777777" w:rsidR="00FF48A9" w:rsidRDefault="00FF48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780"/>
        <w:gridCol w:w="4380"/>
      </w:tblGrid>
      <w:tr w:rsidR="00FF48A9" w14:paraId="026861A8" w14:textId="77777777">
        <w:tblPrEx>
          <w:tblCellMar>
            <w:top w:w="0" w:type="dxa"/>
            <w:bottom w:w="0" w:type="dxa"/>
          </w:tblCellMar>
        </w:tblPrEx>
        <w:tc>
          <w:tcPr>
            <w:tcW w:w="1200" w:type="dxa"/>
            <w:tcBorders>
              <w:top w:val="single" w:sz="1" w:space="0" w:color="B8C4B0"/>
              <w:left w:val="single" w:sz="1" w:space="0" w:color="B8C4B0"/>
              <w:bottom w:val="single" w:sz="1" w:space="0" w:color="B8C4B0"/>
              <w:right w:val="single" w:sz="1" w:space="0" w:color="B8C4B0"/>
            </w:tcBorders>
            <w:shd w:val="clear" w:color="auto" w:fill="0F2318"/>
            <w:tcMar>
              <w:top w:w="100" w:type="dxa"/>
              <w:left w:w="140" w:type="dxa"/>
              <w:bottom w:w="100" w:type="dxa"/>
              <w:right w:w="100" w:type="dxa"/>
            </w:tcMar>
          </w:tcPr>
          <w:p w14:paraId="5099BF9D" w14:textId="77777777" w:rsidR="00FF48A9" w:rsidRDefault="00000000">
            <w:proofErr w:type="gramStart"/>
            <w:r>
              <w:rPr>
                <w:b/>
                <w:bCs/>
                <w:color w:val="FFFFFF"/>
                <w:sz w:val="17"/>
                <w:szCs w:val="17"/>
              </w:rPr>
              <w:t>01  Food</w:t>
            </w:r>
            <w:proofErr w:type="gramEnd"/>
          </w:p>
        </w:tc>
        <w:tc>
          <w:tcPr>
            <w:tcW w:w="378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3558BFD4" w14:textId="77777777" w:rsidR="00FF48A9" w:rsidRDefault="00000000">
            <w:r>
              <w:rPr>
                <w:color w:val="080E08"/>
                <w:sz w:val="17"/>
                <w:szCs w:val="17"/>
              </w:rPr>
              <w:t>Cook from scratch · Whole ingredients · Shared meals</w:t>
            </w:r>
          </w:p>
        </w:tc>
        <w:tc>
          <w:tcPr>
            <w:tcW w:w="4380" w:type="dxa"/>
            <w:tcBorders>
              <w:top w:val="single" w:sz="1" w:space="0" w:color="B8C4B0"/>
              <w:left w:val="single" w:sz="1" w:space="0" w:color="B8C4B0"/>
              <w:bottom w:val="single" w:sz="1" w:space="0" w:color="B8C4B0"/>
              <w:right w:val="single" w:sz="1" w:space="0" w:color="B8C4B0"/>
            </w:tcBorders>
            <w:shd w:val="clear" w:color="auto" w:fill="FFFFFF"/>
            <w:tcMar>
              <w:top w:w="100" w:type="dxa"/>
              <w:left w:w="140" w:type="dxa"/>
              <w:bottom w:w="100" w:type="dxa"/>
              <w:right w:w="100" w:type="dxa"/>
            </w:tcMar>
          </w:tcPr>
          <w:p w14:paraId="28C40108" w14:textId="77777777" w:rsidR="00FF48A9" w:rsidRDefault="00000000">
            <w:r>
              <w:rPr>
                <w:i/>
                <w:iCs/>
                <w:color w:val="3A5035"/>
                <w:sz w:val="15"/>
                <w:szCs w:val="15"/>
              </w:rPr>
              <w:t>Ultra-processed food consumption linked to 62% higher all-cause mortality risk. Schnabel et al., JAMA 2019.</w:t>
            </w:r>
          </w:p>
        </w:tc>
      </w:tr>
      <w:tr w:rsidR="00FF48A9" w14:paraId="51161913" w14:textId="77777777">
        <w:tblPrEx>
          <w:tblCellMar>
            <w:top w:w="0" w:type="dxa"/>
            <w:bottom w:w="0" w:type="dxa"/>
          </w:tblCellMar>
        </w:tblPrEx>
        <w:tc>
          <w:tcPr>
            <w:tcW w:w="1200" w:type="dxa"/>
            <w:tcBorders>
              <w:top w:val="single" w:sz="1" w:space="0" w:color="B8C4B0"/>
              <w:left w:val="single" w:sz="1" w:space="0" w:color="B8C4B0"/>
              <w:bottom w:val="single" w:sz="1" w:space="0" w:color="B8C4B0"/>
              <w:right w:val="single" w:sz="1" w:space="0" w:color="B8C4B0"/>
            </w:tcBorders>
            <w:shd w:val="clear" w:color="auto" w:fill="0F2318"/>
            <w:tcMar>
              <w:top w:w="100" w:type="dxa"/>
              <w:left w:w="140" w:type="dxa"/>
              <w:bottom w:w="100" w:type="dxa"/>
              <w:right w:w="100" w:type="dxa"/>
            </w:tcMar>
          </w:tcPr>
          <w:p w14:paraId="79772406" w14:textId="77777777" w:rsidR="00FF48A9" w:rsidRDefault="00000000">
            <w:proofErr w:type="gramStart"/>
            <w:r>
              <w:rPr>
                <w:b/>
                <w:bCs/>
                <w:color w:val="FFFFFF"/>
                <w:sz w:val="17"/>
                <w:szCs w:val="17"/>
              </w:rPr>
              <w:t>02  Movement</w:t>
            </w:r>
            <w:proofErr w:type="gramEnd"/>
          </w:p>
        </w:tc>
        <w:tc>
          <w:tcPr>
            <w:tcW w:w="378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6AADEAA6" w14:textId="77777777" w:rsidR="00FF48A9" w:rsidRDefault="00000000">
            <w:r>
              <w:rPr>
                <w:color w:val="080E08"/>
                <w:sz w:val="17"/>
                <w:szCs w:val="17"/>
              </w:rPr>
              <w:t>Natural daily motion · Walking · No gym required</w:t>
            </w:r>
          </w:p>
        </w:tc>
        <w:tc>
          <w:tcPr>
            <w:tcW w:w="4380" w:type="dxa"/>
            <w:tcBorders>
              <w:top w:val="single" w:sz="1" w:space="0" w:color="B8C4B0"/>
              <w:left w:val="single" w:sz="1" w:space="0" w:color="B8C4B0"/>
              <w:bottom w:val="single" w:sz="1" w:space="0" w:color="B8C4B0"/>
              <w:right w:val="single" w:sz="1" w:space="0" w:color="B8C4B0"/>
            </w:tcBorders>
            <w:shd w:val="clear" w:color="auto" w:fill="FFFFFF"/>
            <w:tcMar>
              <w:top w:w="100" w:type="dxa"/>
              <w:left w:w="140" w:type="dxa"/>
              <w:bottom w:w="100" w:type="dxa"/>
              <w:right w:w="100" w:type="dxa"/>
            </w:tcMar>
          </w:tcPr>
          <w:p w14:paraId="2D0FC570" w14:textId="77777777" w:rsidR="00FF48A9" w:rsidRDefault="00000000">
            <w:r>
              <w:rPr>
                <w:i/>
                <w:iCs/>
                <w:color w:val="3A5035"/>
                <w:sz w:val="15"/>
                <w:szCs w:val="15"/>
              </w:rPr>
              <w:t xml:space="preserve">30 minutes daily walking reduces cardiovascular mortality by up to 35%. </w:t>
            </w:r>
            <w:proofErr w:type="spellStart"/>
            <w:r>
              <w:rPr>
                <w:i/>
                <w:iCs/>
                <w:color w:val="3A5035"/>
                <w:sz w:val="15"/>
                <w:szCs w:val="15"/>
              </w:rPr>
              <w:t>Samitz</w:t>
            </w:r>
            <w:proofErr w:type="spellEnd"/>
            <w:r>
              <w:rPr>
                <w:i/>
                <w:iCs/>
                <w:color w:val="3A5035"/>
                <w:sz w:val="15"/>
                <w:szCs w:val="15"/>
              </w:rPr>
              <w:t xml:space="preserve"> et al., Int J Epidemiology 2011.</w:t>
            </w:r>
          </w:p>
        </w:tc>
      </w:tr>
      <w:tr w:rsidR="00FF48A9" w14:paraId="7AC6B7A7" w14:textId="77777777">
        <w:tblPrEx>
          <w:tblCellMar>
            <w:top w:w="0" w:type="dxa"/>
            <w:bottom w:w="0" w:type="dxa"/>
          </w:tblCellMar>
        </w:tblPrEx>
        <w:tc>
          <w:tcPr>
            <w:tcW w:w="1200" w:type="dxa"/>
            <w:tcBorders>
              <w:top w:val="single" w:sz="1" w:space="0" w:color="B8C4B0"/>
              <w:left w:val="single" w:sz="1" w:space="0" w:color="B8C4B0"/>
              <w:bottom w:val="single" w:sz="1" w:space="0" w:color="B8C4B0"/>
              <w:right w:val="single" w:sz="1" w:space="0" w:color="B8C4B0"/>
            </w:tcBorders>
            <w:shd w:val="clear" w:color="auto" w:fill="0F2318"/>
            <w:tcMar>
              <w:top w:w="100" w:type="dxa"/>
              <w:left w:w="140" w:type="dxa"/>
              <w:bottom w:w="100" w:type="dxa"/>
              <w:right w:w="100" w:type="dxa"/>
            </w:tcMar>
          </w:tcPr>
          <w:p w14:paraId="57CCE15E" w14:textId="77777777" w:rsidR="00FF48A9" w:rsidRDefault="00000000">
            <w:proofErr w:type="gramStart"/>
            <w:r>
              <w:rPr>
                <w:b/>
                <w:bCs/>
                <w:color w:val="FFFFFF"/>
                <w:sz w:val="17"/>
                <w:szCs w:val="17"/>
              </w:rPr>
              <w:t>03  Sleep</w:t>
            </w:r>
            <w:proofErr w:type="gramEnd"/>
          </w:p>
        </w:tc>
        <w:tc>
          <w:tcPr>
            <w:tcW w:w="378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69EEA977" w14:textId="77777777" w:rsidR="00FF48A9" w:rsidRDefault="00000000">
            <w:r>
              <w:rPr>
                <w:color w:val="080E08"/>
                <w:sz w:val="17"/>
                <w:szCs w:val="17"/>
              </w:rPr>
              <w:t>Consistent rest · Circadian rhythm · Recovery</w:t>
            </w:r>
          </w:p>
        </w:tc>
        <w:tc>
          <w:tcPr>
            <w:tcW w:w="4380" w:type="dxa"/>
            <w:tcBorders>
              <w:top w:val="single" w:sz="1" w:space="0" w:color="B8C4B0"/>
              <w:left w:val="single" w:sz="1" w:space="0" w:color="B8C4B0"/>
              <w:bottom w:val="single" w:sz="1" w:space="0" w:color="B8C4B0"/>
              <w:right w:val="single" w:sz="1" w:space="0" w:color="B8C4B0"/>
            </w:tcBorders>
            <w:shd w:val="clear" w:color="auto" w:fill="FFFFFF"/>
            <w:tcMar>
              <w:top w:w="100" w:type="dxa"/>
              <w:left w:w="140" w:type="dxa"/>
              <w:bottom w:w="100" w:type="dxa"/>
              <w:right w:w="100" w:type="dxa"/>
            </w:tcMar>
          </w:tcPr>
          <w:p w14:paraId="03E81DAA" w14:textId="77777777" w:rsidR="00FF48A9" w:rsidRDefault="00000000">
            <w:r>
              <w:rPr>
                <w:i/>
                <w:iCs/>
                <w:color w:val="3A5035"/>
                <w:sz w:val="15"/>
                <w:szCs w:val="15"/>
              </w:rPr>
              <w:t>Under 7 hours of sleep associated with 12% higher mortality risk. Liu et al., CDC MMWR 2016.</w:t>
            </w:r>
          </w:p>
        </w:tc>
      </w:tr>
      <w:tr w:rsidR="00FF48A9" w14:paraId="41979F96" w14:textId="77777777">
        <w:tblPrEx>
          <w:tblCellMar>
            <w:top w:w="0" w:type="dxa"/>
            <w:bottom w:w="0" w:type="dxa"/>
          </w:tblCellMar>
        </w:tblPrEx>
        <w:tc>
          <w:tcPr>
            <w:tcW w:w="1200" w:type="dxa"/>
            <w:tcBorders>
              <w:top w:val="single" w:sz="1" w:space="0" w:color="B8C4B0"/>
              <w:left w:val="single" w:sz="1" w:space="0" w:color="B8C4B0"/>
              <w:bottom w:val="single" w:sz="1" w:space="0" w:color="B8C4B0"/>
              <w:right w:val="single" w:sz="1" w:space="0" w:color="B8C4B0"/>
            </w:tcBorders>
            <w:shd w:val="clear" w:color="auto" w:fill="0F2318"/>
            <w:tcMar>
              <w:top w:w="100" w:type="dxa"/>
              <w:left w:w="140" w:type="dxa"/>
              <w:bottom w:w="100" w:type="dxa"/>
              <w:right w:w="100" w:type="dxa"/>
            </w:tcMar>
          </w:tcPr>
          <w:p w14:paraId="34808B03" w14:textId="77777777" w:rsidR="00FF48A9" w:rsidRDefault="00000000">
            <w:proofErr w:type="gramStart"/>
            <w:r>
              <w:rPr>
                <w:b/>
                <w:bCs/>
                <w:color w:val="FFFFFF"/>
                <w:sz w:val="17"/>
                <w:szCs w:val="17"/>
              </w:rPr>
              <w:t>04  Connection</w:t>
            </w:r>
            <w:proofErr w:type="gramEnd"/>
          </w:p>
        </w:tc>
        <w:tc>
          <w:tcPr>
            <w:tcW w:w="378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4261C9FB" w14:textId="77777777" w:rsidR="00FF48A9" w:rsidRDefault="00000000">
            <w:r>
              <w:rPr>
                <w:color w:val="080E08"/>
                <w:sz w:val="17"/>
                <w:szCs w:val="17"/>
              </w:rPr>
              <w:t>Social belonging · Community · Shared table</w:t>
            </w:r>
          </w:p>
        </w:tc>
        <w:tc>
          <w:tcPr>
            <w:tcW w:w="4380" w:type="dxa"/>
            <w:tcBorders>
              <w:top w:val="single" w:sz="1" w:space="0" w:color="B8C4B0"/>
              <w:left w:val="single" w:sz="1" w:space="0" w:color="B8C4B0"/>
              <w:bottom w:val="single" w:sz="1" w:space="0" w:color="B8C4B0"/>
              <w:right w:val="single" w:sz="1" w:space="0" w:color="B8C4B0"/>
            </w:tcBorders>
            <w:shd w:val="clear" w:color="auto" w:fill="FFFFFF"/>
            <w:tcMar>
              <w:top w:w="100" w:type="dxa"/>
              <w:left w:w="140" w:type="dxa"/>
              <w:bottom w:w="100" w:type="dxa"/>
              <w:right w:w="100" w:type="dxa"/>
            </w:tcMar>
          </w:tcPr>
          <w:p w14:paraId="3C8E7E7F" w14:textId="77777777" w:rsidR="00FF48A9" w:rsidRDefault="00000000">
            <w:r>
              <w:rPr>
                <w:i/>
                <w:iCs/>
                <w:color w:val="3A5035"/>
                <w:sz w:val="15"/>
                <w:szCs w:val="15"/>
              </w:rPr>
              <w:t>Strong social relationships increase survival odds by 50%. Holt-</w:t>
            </w:r>
            <w:proofErr w:type="spellStart"/>
            <w:r>
              <w:rPr>
                <w:i/>
                <w:iCs/>
                <w:color w:val="3A5035"/>
                <w:sz w:val="15"/>
                <w:szCs w:val="15"/>
              </w:rPr>
              <w:t>Lunstad</w:t>
            </w:r>
            <w:proofErr w:type="spellEnd"/>
            <w:r>
              <w:rPr>
                <w:i/>
                <w:iCs/>
                <w:color w:val="3A5035"/>
                <w:sz w:val="15"/>
                <w:szCs w:val="15"/>
              </w:rPr>
              <w:t xml:space="preserve"> et al., PLOS Medicine 2010.</w:t>
            </w:r>
          </w:p>
        </w:tc>
      </w:tr>
      <w:tr w:rsidR="00FF48A9" w14:paraId="379EAE58" w14:textId="77777777">
        <w:tblPrEx>
          <w:tblCellMar>
            <w:top w:w="0" w:type="dxa"/>
            <w:bottom w:w="0" w:type="dxa"/>
          </w:tblCellMar>
        </w:tblPrEx>
        <w:tc>
          <w:tcPr>
            <w:tcW w:w="1200" w:type="dxa"/>
            <w:tcBorders>
              <w:top w:val="single" w:sz="1" w:space="0" w:color="B8C4B0"/>
              <w:left w:val="single" w:sz="1" w:space="0" w:color="B8C4B0"/>
              <w:bottom w:val="single" w:sz="1" w:space="0" w:color="B8C4B0"/>
              <w:right w:val="single" w:sz="1" w:space="0" w:color="B8C4B0"/>
            </w:tcBorders>
            <w:shd w:val="clear" w:color="auto" w:fill="0F2318"/>
            <w:tcMar>
              <w:top w:w="100" w:type="dxa"/>
              <w:left w:w="140" w:type="dxa"/>
              <w:bottom w:w="100" w:type="dxa"/>
              <w:right w:w="100" w:type="dxa"/>
            </w:tcMar>
          </w:tcPr>
          <w:p w14:paraId="70D201F9" w14:textId="77777777" w:rsidR="00FF48A9" w:rsidRDefault="00000000">
            <w:proofErr w:type="gramStart"/>
            <w:r>
              <w:rPr>
                <w:b/>
                <w:bCs/>
                <w:color w:val="FFFFFF"/>
                <w:sz w:val="17"/>
                <w:szCs w:val="17"/>
              </w:rPr>
              <w:t>05  Purpose</w:t>
            </w:r>
            <w:proofErr w:type="gramEnd"/>
          </w:p>
        </w:tc>
        <w:tc>
          <w:tcPr>
            <w:tcW w:w="378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43A2AE69" w14:textId="77777777" w:rsidR="00FF48A9" w:rsidRDefault="00000000">
            <w:r>
              <w:rPr>
                <w:color w:val="080E08"/>
                <w:sz w:val="17"/>
                <w:szCs w:val="17"/>
              </w:rPr>
              <w:t>Reason to wake up · Meaning · Contribution</w:t>
            </w:r>
          </w:p>
        </w:tc>
        <w:tc>
          <w:tcPr>
            <w:tcW w:w="4380" w:type="dxa"/>
            <w:tcBorders>
              <w:top w:val="single" w:sz="1" w:space="0" w:color="B8C4B0"/>
              <w:left w:val="single" w:sz="1" w:space="0" w:color="B8C4B0"/>
              <w:bottom w:val="single" w:sz="1" w:space="0" w:color="B8C4B0"/>
              <w:right w:val="single" w:sz="1" w:space="0" w:color="B8C4B0"/>
            </w:tcBorders>
            <w:shd w:val="clear" w:color="auto" w:fill="FFFFFF"/>
            <w:tcMar>
              <w:top w:w="100" w:type="dxa"/>
              <w:left w:w="140" w:type="dxa"/>
              <w:bottom w:w="100" w:type="dxa"/>
              <w:right w:w="100" w:type="dxa"/>
            </w:tcMar>
          </w:tcPr>
          <w:p w14:paraId="5309BCD9" w14:textId="77777777" w:rsidR="00FF48A9" w:rsidRDefault="00000000">
            <w:r>
              <w:rPr>
                <w:i/>
                <w:iCs/>
                <w:color w:val="3A5035"/>
                <w:sz w:val="15"/>
                <w:szCs w:val="15"/>
              </w:rPr>
              <w:t>Strong sense of purpose associated with 15-20% reduction in all-cause mortality. Cohen et al., JAMA 2016.</w:t>
            </w:r>
          </w:p>
        </w:tc>
      </w:tr>
      <w:tr w:rsidR="00FF48A9" w14:paraId="6FD21246" w14:textId="77777777">
        <w:tblPrEx>
          <w:tblCellMar>
            <w:top w:w="0" w:type="dxa"/>
            <w:bottom w:w="0" w:type="dxa"/>
          </w:tblCellMar>
        </w:tblPrEx>
        <w:tc>
          <w:tcPr>
            <w:tcW w:w="1200" w:type="dxa"/>
            <w:tcBorders>
              <w:top w:val="single" w:sz="1" w:space="0" w:color="B8C4B0"/>
              <w:left w:val="single" w:sz="1" w:space="0" w:color="B8C4B0"/>
              <w:bottom w:val="single" w:sz="1" w:space="0" w:color="B8C4B0"/>
              <w:right w:val="single" w:sz="1" w:space="0" w:color="B8C4B0"/>
            </w:tcBorders>
            <w:shd w:val="clear" w:color="auto" w:fill="0F2318"/>
            <w:tcMar>
              <w:top w:w="100" w:type="dxa"/>
              <w:left w:w="140" w:type="dxa"/>
              <w:bottom w:w="100" w:type="dxa"/>
              <w:right w:w="100" w:type="dxa"/>
            </w:tcMar>
          </w:tcPr>
          <w:p w14:paraId="5D9333D1" w14:textId="77777777" w:rsidR="00FF48A9" w:rsidRDefault="00000000">
            <w:proofErr w:type="gramStart"/>
            <w:r>
              <w:rPr>
                <w:b/>
                <w:bCs/>
                <w:color w:val="FFFFFF"/>
                <w:sz w:val="17"/>
                <w:szCs w:val="17"/>
              </w:rPr>
              <w:t>06  Stress</w:t>
            </w:r>
            <w:proofErr w:type="gramEnd"/>
          </w:p>
        </w:tc>
        <w:tc>
          <w:tcPr>
            <w:tcW w:w="378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7337CE8F" w14:textId="77777777" w:rsidR="00FF48A9" w:rsidRDefault="00000000">
            <w:r>
              <w:rPr>
                <w:color w:val="080E08"/>
                <w:sz w:val="17"/>
                <w:szCs w:val="17"/>
              </w:rPr>
              <w:t>Daily downshifting · Rest · Presence</w:t>
            </w:r>
          </w:p>
        </w:tc>
        <w:tc>
          <w:tcPr>
            <w:tcW w:w="4380" w:type="dxa"/>
            <w:tcBorders>
              <w:top w:val="single" w:sz="1" w:space="0" w:color="B8C4B0"/>
              <w:left w:val="single" w:sz="1" w:space="0" w:color="B8C4B0"/>
              <w:bottom w:val="single" w:sz="1" w:space="0" w:color="B8C4B0"/>
              <w:right w:val="single" w:sz="1" w:space="0" w:color="B8C4B0"/>
            </w:tcBorders>
            <w:shd w:val="clear" w:color="auto" w:fill="FFFFFF"/>
            <w:tcMar>
              <w:top w:w="100" w:type="dxa"/>
              <w:left w:w="140" w:type="dxa"/>
              <w:bottom w:w="100" w:type="dxa"/>
              <w:right w:w="100" w:type="dxa"/>
            </w:tcMar>
          </w:tcPr>
          <w:p w14:paraId="3EFC4AE5" w14:textId="77777777" w:rsidR="00FF48A9" w:rsidRDefault="00000000">
            <w:r>
              <w:rPr>
                <w:i/>
                <w:iCs/>
                <w:color w:val="3A5035"/>
                <w:sz w:val="15"/>
                <w:szCs w:val="15"/>
              </w:rPr>
              <w:t>Chronic stress increases mortality risk by up to 43%. Kivimäki et al., Lancet 2012.</w:t>
            </w:r>
          </w:p>
        </w:tc>
      </w:tr>
    </w:tbl>
    <w:p w14:paraId="6913F486" w14:textId="77777777" w:rsidR="00FF48A9" w:rsidRDefault="00FF48A9">
      <w:pPr>
        <w:spacing w:before="200"/>
      </w:pPr>
    </w:p>
    <w:p w14:paraId="3D98A481" w14:textId="77777777" w:rsidR="00FF48A9" w:rsidRDefault="00000000">
      <w:pPr>
        <w:pBdr>
          <w:bottom w:val="single" w:sz="3" w:space="4" w:color="1E3A28"/>
        </w:pBdr>
        <w:spacing w:before="240" w:after="80"/>
      </w:pPr>
      <w:r>
        <w:rPr>
          <w:b/>
          <w:bCs/>
          <w:color w:val="0F2318"/>
          <w:sz w:val="24"/>
          <w:szCs w:val="24"/>
        </w:rPr>
        <w:lastRenderedPageBreak/>
        <w:t>The LIFE Model — How the Framework Is Delivered</w:t>
      </w:r>
    </w:p>
    <w:p w14:paraId="23EBAAF4" w14:textId="77777777" w:rsidR="00FF48A9" w:rsidRDefault="00000000">
      <w:pPr>
        <w:spacing w:before="60" w:after="80"/>
      </w:pPr>
      <w:r>
        <w:rPr>
          <w:color w:val="080E08"/>
        </w:rPr>
        <w:t>LIFE delivers the Six Pillars Framework through the most effective behavior change mechanism available: lived experience. Not a book, a podcast, or a corporate wellness program. A shared meal, made from scratch, eaten together without phones, in someone’s home.</w:t>
      </w:r>
    </w:p>
    <w:p w14:paraId="230A0E10" w14:textId="77777777" w:rsidR="00FF48A9" w:rsidRDefault="00FF48A9">
      <w:pPr>
        <w:spacing w:before="80"/>
      </w:pPr>
    </w:p>
    <w:p w14:paraId="53CA30DC" w14:textId="77777777" w:rsidR="00FF48A9" w:rsidRDefault="00000000">
      <w:pPr>
        <w:pStyle w:val="ListParagraph"/>
        <w:numPr>
          <w:ilvl w:val="0"/>
          <w:numId w:val="2"/>
        </w:numPr>
        <w:spacing w:before="60" w:after="60"/>
      </w:pPr>
      <w:r>
        <w:rPr>
          <w:b/>
          <w:bCs/>
          <w:color w:val="0F2318"/>
        </w:rPr>
        <w:t xml:space="preserve">The Gathering — </w:t>
      </w:r>
      <w:r>
        <w:rPr>
          <w:color w:val="080E08"/>
        </w:rPr>
        <w:t>A host opens their kitchen. 4–8 guests cook a real meal from scratch together, eat at the table without phones, and receive the LIFE habit library before leaving.</w:t>
      </w:r>
    </w:p>
    <w:p w14:paraId="0EC158D8" w14:textId="77777777" w:rsidR="00FF48A9" w:rsidRDefault="00000000">
      <w:pPr>
        <w:pStyle w:val="ListParagraph"/>
        <w:numPr>
          <w:ilvl w:val="0"/>
          <w:numId w:val="2"/>
        </w:numPr>
        <w:spacing w:before="60" w:after="60"/>
      </w:pPr>
      <w:r>
        <w:rPr>
          <w:b/>
          <w:bCs/>
          <w:color w:val="0F2318"/>
        </w:rPr>
        <w:t xml:space="preserve">The Promise — </w:t>
      </w:r>
      <w:r>
        <w:rPr>
          <w:color w:val="080E08"/>
        </w:rPr>
        <w:t>Every guest commits to hosting their own table within 30 days — passing the framework to an entirely new group of families.</w:t>
      </w:r>
    </w:p>
    <w:p w14:paraId="2A79FFAE" w14:textId="77777777" w:rsidR="00FF48A9" w:rsidRDefault="00000000">
      <w:pPr>
        <w:pStyle w:val="ListParagraph"/>
        <w:numPr>
          <w:ilvl w:val="0"/>
          <w:numId w:val="2"/>
        </w:numPr>
        <w:spacing w:before="60" w:after="60"/>
      </w:pPr>
      <w:r>
        <w:rPr>
          <w:b/>
          <w:bCs/>
          <w:color w:val="0F2318"/>
        </w:rPr>
        <w:t xml:space="preserve">The </w:t>
      </w:r>
      <w:proofErr w:type="gramStart"/>
      <w:r>
        <w:rPr>
          <w:b/>
          <w:bCs/>
          <w:color w:val="0F2318"/>
        </w:rPr>
        <w:t>Library</w:t>
      </w:r>
      <w:proofErr w:type="gramEnd"/>
      <w:r>
        <w:rPr>
          <w:b/>
          <w:bCs/>
          <w:color w:val="0F2318"/>
        </w:rPr>
        <w:t xml:space="preserve"> — </w:t>
      </w:r>
      <w:r>
        <w:rPr>
          <w:color w:val="080E08"/>
        </w:rPr>
        <w:t>Guests leave with a practical habit library organized across all six pillars, plus access to a digital habit tracker and longevity assessment.</w:t>
      </w:r>
    </w:p>
    <w:p w14:paraId="25528C4E" w14:textId="77777777" w:rsidR="00FF48A9" w:rsidRDefault="00000000">
      <w:pPr>
        <w:pStyle w:val="ListParagraph"/>
        <w:numPr>
          <w:ilvl w:val="0"/>
          <w:numId w:val="2"/>
        </w:numPr>
        <w:spacing w:before="60" w:after="60"/>
      </w:pPr>
      <w:r>
        <w:rPr>
          <w:b/>
          <w:bCs/>
          <w:color w:val="0F2318"/>
        </w:rPr>
        <w:t xml:space="preserve">The Ripple — </w:t>
      </w:r>
      <w:r>
        <w:rPr>
          <w:color w:val="080E08"/>
        </w:rPr>
        <w:t xml:space="preserve">Each table of 4–6 guests </w:t>
      </w:r>
      <w:proofErr w:type="gramStart"/>
      <w:r>
        <w:rPr>
          <w:color w:val="080E08"/>
        </w:rPr>
        <w:t>generates</w:t>
      </w:r>
      <w:proofErr w:type="gramEnd"/>
      <w:r>
        <w:rPr>
          <w:color w:val="080E08"/>
        </w:rPr>
        <w:t xml:space="preserve"> 4–6 potential new hosts. The framework spreads person to person, kitchen to kitchen, without advertising.</w:t>
      </w:r>
    </w:p>
    <w:p w14:paraId="6ADD5ADC" w14:textId="77777777" w:rsidR="00FF48A9" w:rsidRDefault="00FF48A9">
      <w:pPr>
        <w:spacing w:before="200"/>
      </w:pPr>
    </w:p>
    <w:p w14:paraId="48F3918C" w14:textId="77777777" w:rsidR="00FF48A9" w:rsidRDefault="00000000">
      <w:pPr>
        <w:pBdr>
          <w:bottom w:val="single" w:sz="3" w:space="4" w:color="1E3A28"/>
        </w:pBdr>
        <w:spacing w:before="240" w:after="80"/>
      </w:pPr>
      <w:r>
        <w:rPr>
          <w:b/>
          <w:bCs/>
          <w:color w:val="0F2318"/>
          <w:sz w:val="24"/>
          <w:szCs w:val="24"/>
        </w:rPr>
        <w:t>Pilot Results — Atlanta, GA &amp; Austin, TX</w:t>
      </w:r>
    </w:p>
    <w:p w14:paraId="432389CA" w14:textId="77777777" w:rsidR="00FF48A9" w:rsidRDefault="00000000">
      <w:pPr>
        <w:spacing w:before="60" w:after="80"/>
      </w:pPr>
      <w:r>
        <w:rPr>
          <w:color w:val="080E08"/>
        </w:rPr>
        <w:t>LIFE launched its pilot program in 2024 across two cities. The following outcomes have been observed in the initial phase:</w:t>
      </w:r>
    </w:p>
    <w:p w14:paraId="4569F3BB" w14:textId="77777777" w:rsidR="00FF48A9" w:rsidRDefault="00FF48A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FF48A9" w14:paraId="5D3B12AF" w14:textId="77777777">
        <w:tblPrEx>
          <w:tblCellMar>
            <w:top w:w="0" w:type="dxa"/>
            <w:bottom w:w="0" w:type="dxa"/>
          </w:tblCellMar>
        </w:tblPrEx>
        <w:tc>
          <w:tcPr>
            <w:tcW w:w="240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0CB8359D" w14:textId="77777777" w:rsidR="00FF48A9" w:rsidRDefault="00000000">
            <w:r>
              <w:rPr>
                <w:b/>
                <w:bCs/>
                <w:color w:val="0F2318"/>
                <w:sz w:val="18"/>
                <w:szCs w:val="18"/>
              </w:rPr>
              <w:t>Gatherings hosted</w:t>
            </w:r>
          </w:p>
        </w:tc>
        <w:tc>
          <w:tcPr>
            <w:tcW w:w="6960" w:type="dxa"/>
            <w:tcBorders>
              <w:top w:val="single" w:sz="1" w:space="0" w:color="B8C4B0"/>
              <w:left w:val="single" w:sz="1" w:space="0" w:color="B8C4B0"/>
              <w:bottom w:val="single" w:sz="1" w:space="0" w:color="B8C4B0"/>
              <w:right w:val="single" w:sz="1" w:space="0" w:color="B8C4B0"/>
            </w:tcBorders>
            <w:tcMar>
              <w:top w:w="100" w:type="dxa"/>
              <w:left w:w="140" w:type="dxa"/>
              <w:bottom w:w="100" w:type="dxa"/>
              <w:right w:w="100" w:type="dxa"/>
            </w:tcMar>
          </w:tcPr>
          <w:p w14:paraId="11ED7200" w14:textId="77777777" w:rsidR="00FF48A9" w:rsidRDefault="00000000">
            <w:r>
              <w:rPr>
                <w:color w:val="080E08"/>
                <w:sz w:val="18"/>
                <w:szCs w:val="18"/>
              </w:rPr>
              <w:t>Initial pilot gatherings conducted in private homes across Atlanta, GA and Austin, TX</w:t>
            </w:r>
          </w:p>
        </w:tc>
      </w:tr>
      <w:tr w:rsidR="00FF48A9" w14:paraId="7FFD01C8" w14:textId="77777777">
        <w:tblPrEx>
          <w:tblCellMar>
            <w:top w:w="0" w:type="dxa"/>
            <w:bottom w:w="0" w:type="dxa"/>
          </w:tblCellMar>
        </w:tblPrEx>
        <w:tc>
          <w:tcPr>
            <w:tcW w:w="240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3E48B59E" w14:textId="77777777" w:rsidR="00FF48A9" w:rsidRDefault="00000000">
            <w:r>
              <w:rPr>
                <w:b/>
                <w:bCs/>
                <w:color w:val="0F2318"/>
                <w:sz w:val="18"/>
                <w:szCs w:val="18"/>
              </w:rPr>
              <w:t>Host conversion</w:t>
            </w:r>
          </w:p>
        </w:tc>
        <w:tc>
          <w:tcPr>
            <w:tcW w:w="6960" w:type="dxa"/>
            <w:tcBorders>
              <w:top w:val="single" w:sz="1" w:space="0" w:color="B8C4B0"/>
              <w:left w:val="single" w:sz="1" w:space="0" w:color="B8C4B0"/>
              <w:bottom w:val="single" w:sz="1" w:space="0" w:color="B8C4B0"/>
              <w:right w:val="single" w:sz="1" w:space="0" w:color="B8C4B0"/>
            </w:tcBorders>
            <w:tcMar>
              <w:top w:w="100" w:type="dxa"/>
              <w:left w:w="140" w:type="dxa"/>
              <w:bottom w:w="100" w:type="dxa"/>
              <w:right w:w="100" w:type="dxa"/>
            </w:tcMar>
          </w:tcPr>
          <w:p w14:paraId="066C3369" w14:textId="77777777" w:rsidR="00FF48A9" w:rsidRDefault="00000000">
            <w:r>
              <w:rPr>
                <w:color w:val="080E08"/>
                <w:sz w:val="18"/>
                <w:szCs w:val="18"/>
              </w:rPr>
              <w:t>Multiple guests went on to host their own LIFE tables within 30 days, validating the peer-to-peer model</w:t>
            </w:r>
          </w:p>
        </w:tc>
      </w:tr>
      <w:tr w:rsidR="00FF48A9" w14:paraId="1B44D2CB" w14:textId="77777777">
        <w:tblPrEx>
          <w:tblCellMar>
            <w:top w:w="0" w:type="dxa"/>
            <w:bottom w:w="0" w:type="dxa"/>
          </w:tblCellMar>
        </w:tblPrEx>
        <w:tc>
          <w:tcPr>
            <w:tcW w:w="240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283A502A" w14:textId="77777777" w:rsidR="00FF48A9" w:rsidRDefault="00000000">
            <w:r>
              <w:rPr>
                <w:b/>
                <w:bCs/>
                <w:color w:val="0F2318"/>
                <w:sz w:val="18"/>
                <w:szCs w:val="18"/>
              </w:rPr>
              <w:t>Key finding</w:t>
            </w:r>
          </w:p>
        </w:tc>
        <w:tc>
          <w:tcPr>
            <w:tcW w:w="6960" w:type="dxa"/>
            <w:tcBorders>
              <w:top w:val="single" w:sz="1" w:space="0" w:color="B8C4B0"/>
              <w:left w:val="single" w:sz="1" w:space="0" w:color="B8C4B0"/>
              <w:bottom w:val="single" w:sz="1" w:space="0" w:color="B8C4B0"/>
              <w:right w:val="single" w:sz="1" w:space="0" w:color="B8C4B0"/>
            </w:tcBorders>
            <w:tcMar>
              <w:top w:w="100" w:type="dxa"/>
              <w:left w:w="140" w:type="dxa"/>
              <w:bottom w:w="100" w:type="dxa"/>
              <w:right w:w="100" w:type="dxa"/>
            </w:tcMar>
          </w:tcPr>
          <w:p w14:paraId="6022347F" w14:textId="77777777" w:rsidR="00FF48A9" w:rsidRDefault="00000000">
            <w:r>
              <w:rPr>
                <w:color w:val="080E08"/>
                <w:sz w:val="18"/>
                <w:szCs w:val="18"/>
              </w:rPr>
              <w:t>The peer-to-peer spread model is functioning as designed — guests become hosts without organizational recruitment or advertising</w:t>
            </w:r>
          </w:p>
        </w:tc>
      </w:tr>
      <w:tr w:rsidR="00FF48A9" w14:paraId="3237FC28" w14:textId="77777777">
        <w:tblPrEx>
          <w:tblCellMar>
            <w:top w:w="0" w:type="dxa"/>
            <w:bottom w:w="0" w:type="dxa"/>
          </w:tblCellMar>
        </w:tblPrEx>
        <w:tc>
          <w:tcPr>
            <w:tcW w:w="2400" w:type="dxa"/>
            <w:tcBorders>
              <w:top w:val="single" w:sz="1" w:space="0" w:color="B8C4B0"/>
              <w:left w:val="single" w:sz="1" w:space="0" w:color="B8C4B0"/>
              <w:bottom w:val="single" w:sz="1" w:space="0" w:color="B8C4B0"/>
              <w:right w:val="single" w:sz="1" w:space="0" w:color="B8C4B0"/>
            </w:tcBorders>
            <w:shd w:val="clear" w:color="auto" w:fill="EDE8DD"/>
            <w:tcMar>
              <w:top w:w="100" w:type="dxa"/>
              <w:left w:w="140" w:type="dxa"/>
              <w:bottom w:w="100" w:type="dxa"/>
              <w:right w:w="100" w:type="dxa"/>
            </w:tcMar>
          </w:tcPr>
          <w:p w14:paraId="3A576361" w14:textId="77777777" w:rsidR="00FF48A9" w:rsidRDefault="00000000">
            <w:r>
              <w:rPr>
                <w:b/>
                <w:bCs/>
                <w:color w:val="0F2318"/>
                <w:sz w:val="18"/>
                <w:szCs w:val="18"/>
              </w:rPr>
              <w:t>Next milestone</w:t>
            </w:r>
          </w:p>
        </w:tc>
        <w:tc>
          <w:tcPr>
            <w:tcW w:w="6960" w:type="dxa"/>
            <w:tcBorders>
              <w:top w:val="single" w:sz="1" w:space="0" w:color="B8C4B0"/>
              <w:left w:val="single" w:sz="1" w:space="0" w:color="B8C4B0"/>
              <w:bottom w:val="single" w:sz="1" w:space="0" w:color="B8C4B0"/>
              <w:right w:val="single" w:sz="1" w:space="0" w:color="B8C4B0"/>
            </w:tcBorders>
            <w:tcMar>
              <w:top w:w="100" w:type="dxa"/>
              <w:left w:w="140" w:type="dxa"/>
              <w:bottom w:w="100" w:type="dxa"/>
              <w:right w:w="100" w:type="dxa"/>
            </w:tcMar>
          </w:tcPr>
          <w:p w14:paraId="458C4B77" w14:textId="77777777" w:rsidR="00FF48A9" w:rsidRDefault="00000000">
            <w:r>
              <w:rPr>
                <w:color w:val="080E08"/>
                <w:sz w:val="18"/>
                <w:szCs w:val="18"/>
              </w:rPr>
              <w:t>Scale to 50 gatherings across both cities and formalize habit adoption tracking with pre/post assessment data</w:t>
            </w:r>
          </w:p>
        </w:tc>
      </w:tr>
    </w:tbl>
    <w:p w14:paraId="28D161E6" w14:textId="77777777" w:rsidR="00FF48A9" w:rsidRDefault="00FF48A9">
      <w:pPr>
        <w:spacing w:before="200"/>
      </w:pPr>
    </w:p>
    <w:p w14:paraId="03A58675" w14:textId="77777777" w:rsidR="00FF48A9" w:rsidRDefault="00000000">
      <w:pPr>
        <w:pBdr>
          <w:bottom w:val="single" w:sz="3" w:space="4" w:color="1E3A28"/>
        </w:pBdr>
        <w:spacing w:before="240" w:after="80"/>
      </w:pPr>
      <w:r>
        <w:rPr>
          <w:b/>
          <w:bCs/>
          <w:color w:val="0F2318"/>
          <w:sz w:val="24"/>
          <w:szCs w:val="24"/>
        </w:rPr>
        <w:t>About Lou Verde — Founder</w:t>
      </w:r>
    </w:p>
    <w:p w14:paraId="0023D813" w14:textId="77777777" w:rsidR="00FF48A9" w:rsidRDefault="00000000">
      <w:pPr>
        <w:spacing w:before="60" w:after="80"/>
      </w:pPr>
      <w:r>
        <w:rPr>
          <w:color w:val="080E08"/>
        </w:rPr>
        <w:t xml:space="preserve">Lou Verde is a first-generation </w:t>
      </w:r>
      <w:proofErr w:type="gramStart"/>
      <w:r>
        <w:rPr>
          <w:color w:val="080E08"/>
        </w:rPr>
        <w:t>Italian-American</w:t>
      </w:r>
      <w:proofErr w:type="gramEnd"/>
      <w:r>
        <w:rPr>
          <w:color w:val="080E08"/>
        </w:rPr>
        <w:t xml:space="preserve"> whose grandparents lived into their mid-90s — not through supplements or exercise programs, but through the six daily habits LIFE now teaches. After years studying the world’s longest-lived communities and the longevity research that validates them, Lou recognized that his family had been practicing Blue Zone principles for generations without naming them.</w:t>
      </w:r>
    </w:p>
    <w:p w14:paraId="7A2512C3" w14:textId="77777777" w:rsidR="00FF48A9" w:rsidRDefault="00FF48A9">
      <w:pPr>
        <w:spacing w:before="80"/>
      </w:pPr>
    </w:p>
    <w:p w14:paraId="7B4DB614" w14:textId="77777777" w:rsidR="00FF48A9" w:rsidRDefault="00000000">
      <w:pPr>
        <w:spacing w:before="60" w:after="80"/>
      </w:pPr>
      <w:r>
        <w:rPr>
          <w:color w:val="080E08"/>
        </w:rPr>
        <w:t xml:space="preserve">LIFE is Lou’s answer to a question the research raises but doesn’t solve: how do you </w:t>
      </w:r>
      <w:proofErr w:type="gramStart"/>
      <w:r>
        <w:rPr>
          <w:color w:val="080E08"/>
        </w:rPr>
        <w:t>actually get</w:t>
      </w:r>
      <w:proofErr w:type="gramEnd"/>
      <w:r>
        <w:rPr>
          <w:color w:val="080E08"/>
        </w:rPr>
        <w:t xml:space="preserve"> a modern American family to adopt these habits? His answer: start with dinner. Make it from scratch. Eat it together. Pass it on.</w:t>
      </w:r>
    </w:p>
    <w:p w14:paraId="6F4F136D" w14:textId="77777777" w:rsidR="00FF48A9" w:rsidRDefault="00FF48A9">
      <w:pPr>
        <w:spacing w:before="80"/>
      </w:pPr>
    </w:p>
    <w:p w14:paraId="47A927AC" w14:textId="77777777" w:rsidR="00FF48A9" w:rsidRDefault="00000000">
      <w:pPr>
        <w:spacing w:before="60" w:after="80"/>
      </w:pPr>
      <w:r>
        <w:rPr>
          <w:i/>
          <w:iCs/>
          <w:color w:val="3A5035"/>
        </w:rPr>
        <w:t>"Dan Buettner discovered where people live longest. LIFE is building the model that brings it to your neighborhood tonight."</w:t>
      </w:r>
    </w:p>
    <w:p w14:paraId="3F63BAB1" w14:textId="77777777" w:rsidR="00FF48A9" w:rsidRDefault="00FF48A9">
      <w:pPr>
        <w:spacing w:before="200"/>
      </w:pPr>
    </w:p>
    <w:p w14:paraId="6FFDDD88" w14:textId="77777777" w:rsidR="00FF48A9" w:rsidRDefault="00000000">
      <w:pPr>
        <w:pBdr>
          <w:bottom w:val="single" w:sz="3" w:space="4" w:color="1E3A28"/>
        </w:pBdr>
        <w:spacing w:before="240" w:after="80"/>
      </w:pPr>
      <w:r>
        <w:rPr>
          <w:b/>
          <w:bCs/>
          <w:color w:val="0F2318"/>
          <w:sz w:val="24"/>
          <w:szCs w:val="24"/>
        </w:rPr>
        <w:t>What We’re Building</w:t>
      </w:r>
    </w:p>
    <w:p w14:paraId="7928A450" w14:textId="77777777" w:rsidR="00FF48A9" w:rsidRDefault="00000000">
      <w:pPr>
        <w:pStyle w:val="ListParagraph"/>
        <w:numPr>
          <w:ilvl w:val="0"/>
          <w:numId w:val="2"/>
        </w:numPr>
        <w:spacing w:before="60" w:after="60"/>
      </w:pPr>
      <w:r>
        <w:rPr>
          <w:b/>
          <w:bCs/>
          <w:color w:val="0F2318"/>
        </w:rPr>
        <w:t xml:space="preserve">Phase 1 (current) — </w:t>
      </w:r>
      <w:r>
        <w:rPr>
          <w:color w:val="080E08"/>
        </w:rPr>
        <w:t>Pilot validation in Atlanta &amp; Austin. Prove the peer-to-peer model. Document host conversion rates and habit adoption data.</w:t>
      </w:r>
    </w:p>
    <w:p w14:paraId="27347F49" w14:textId="77777777" w:rsidR="00FF48A9" w:rsidRDefault="00000000">
      <w:pPr>
        <w:pStyle w:val="ListParagraph"/>
        <w:numPr>
          <w:ilvl w:val="0"/>
          <w:numId w:val="2"/>
        </w:numPr>
        <w:spacing w:before="60" w:after="60"/>
      </w:pPr>
      <w:r>
        <w:rPr>
          <w:b/>
          <w:bCs/>
          <w:color w:val="0F2318"/>
        </w:rPr>
        <w:lastRenderedPageBreak/>
        <w:t xml:space="preserve">Phase 2 (2026–2027) — </w:t>
      </w:r>
      <w:r>
        <w:rPr>
          <w:color w:val="080E08"/>
        </w:rPr>
        <w:t>Expand to 10 U.S. cities. Formalize the Six Pillars assessment tool. Build the research partnership with an academic institution.</w:t>
      </w:r>
    </w:p>
    <w:p w14:paraId="2403CE7D" w14:textId="77777777" w:rsidR="00FF48A9" w:rsidRDefault="00000000">
      <w:pPr>
        <w:pStyle w:val="ListParagraph"/>
        <w:numPr>
          <w:ilvl w:val="0"/>
          <w:numId w:val="2"/>
        </w:numPr>
        <w:spacing w:before="60" w:after="60"/>
      </w:pPr>
      <w:r>
        <w:rPr>
          <w:b/>
          <w:bCs/>
          <w:color w:val="0F2318"/>
        </w:rPr>
        <w:t xml:space="preserve">Phase 3 (2027+) — </w:t>
      </w:r>
      <w:r>
        <w:rPr>
          <w:color w:val="080E08"/>
        </w:rPr>
        <w:t>National scale. Conference presence. The LIFE Table as a recognized community health intervention alongside Blue Zones Project.</w:t>
      </w:r>
    </w:p>
    <w:p w14:paraId="41156960" w14:textId="77777777" w:rsidR="00FF48A9" w:rsidRDefault="00FF48A9">
      <w:pPr>
        <w:spacing w:before="200"/>
      </w:pPr>
    </w:p>
    <w:p w14:paraId="6D786B27" w14:textId="77777777" w:rsidR="00FF48A9" w:rsidRDefault="00FF48A9">
      <w:pPr>
        <w:pBdr>
          <w:bottom w:val="single" w:sz="4" w:space="1" w:color="0F2318"/>
        </w:pBdr>
      </w:pPr>
    </w:p>
    <w:p w14:paraId="3FB3AADC" w14:textId="77777777" w:rsidR="00FF48A9" w:rsidRDefault="00FF48A9">
      <w:pPr>
        <w:spacing w:before="120"/>
      </w:pPr>
    </w:p>
    <w:p w14:paraId="6AAE7EC7" w14:textId="77777777" w:rsidR="00FF48A9" w:rsidRDefault="00000000">
      <w:pPr>
        <w:spacing w:after="60"/>
      </w:pPr>
      <w:r>
        <w:rPr>
          <w:b/>
          <w:bCs/>
          <w:color w:val="0F2318"/>
          <w:sz w:val="22"/>
          <w:szCs w:val="22"/>
        </w:rPr>
        <w:t>LIFE — Longevity Initiative for Food &amp; Education</w:t>
      </w:r>
    </w:p>
    <w:p w14:paraId="434295B9" w14:textId="77777777" w:rsidR="00FF48A9" w:rsidRDefault="00000000">
      <w:pPr>
        <w:spacing w:after="60"/>
      </w:pPr>
      <w:r>
        <w:rPr>
          <w:color w:val="3A5035"/>
          <w:sz w:val="18"/>
          <w:szCs w:val="18"/>
        </w:rPr>
        <w:t>Lou Verde, Founder · lou@longevityinitiativeforfoodandeducation.com</w:t>
      </w:r>
    </w:p>
    <w:p w14:paraId="6C76B697" w14:textId="77777777" w:rsidR="00FF48A9" w:rsidRDefault="00000000">
      <w:r>
        <w:rPr>
          <w:color w:val="3A5035"/>
          <w:sz w:val="18"/>
          <w:szCs w:val="18"/>
        </w:rPr>
        <w:t>longevityinitiativeforfoodandeducation.com · Atlanta, GA &amp; Austin, TX · 501(c)(3) pending</w:t>
      </w:r>
    </w:p>
    <w:sectPr w:rsidR="00FF48A9">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A5BAA" w14:textId="77777777" w:rsidR="00250A8B" w:rsidRDefault="00250A8B">
      <w:r>
        <w:separator/>
      </w:r>
    </w:p>
  </w:endnote>
  <w:endnote w:type="continuationSeparator" w:id="0">
    <w:p w14:paraId="53C5BFE8" w14:textId="77777777" w:rsidR="00250A8B" w:rsidRDefault="00250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91765" w14:textId="77777777" w:rsidR="00FF48A9" w:rsidRDefault="00000000">
    <w:pPr>
      <w:pBdr>
        <w:top w:val="single" w:sz="2" w:space="6" w:color="B8C4B0"/>
      </w:pBdr>
    </w:pPr>
    <w:r>
      <w:rPr>
        <w:color w:val="B8C4B0"/>
        <w:sz w:val="14"/>
        <w:szCs w:val="14"/>
      </w:rPr>
      <w:t xml:space="preserve">Longevity Initiative for Food &amp; </w:t>
    </w:r>
    <w:proofErr w:type="gramStart"/>
    <w:r>
      <w:rPr>
        <w:color w:val="B8C4B0"/>
        <w:sz w:val="14"/>
        <w:szCs w:val="14"/>
      </w:rPr>
      <w:t>Education  ·</w:t>
    </w:r>
    <w:proofErr w:type="gramEnd"/>
    <w:r>
      <w:rPr>
        <w:color w:val="B8C4B0"/>
        <w:sz w:val="14"/>
        <w:szCs w:val="14"/>
      </w:rPr>
      <w:t xml:space="preserve">  </w:t>
    </w:r>
    <w:proofErr w:type="gramStart"/>
    <w:r>
      <w:rPr>
        <w:color w:val="B8C4B0"/>
        <w:sz w:val="14"/>
        <w:szCs w:val="14"/>
      </w:rPr>
      <w:t>longevityinitiativeforfoodandeducation.com  ·</w:t>
    </w:r>
    <w:proofErr w:type="gramEnd"/>
    <w:r>
      <w:rPr>
        <w:color w:val="B8C4B0"/>
        <w:sz w:val="14"/>
        <w:szCs w:val="14"/>
      </w:rPr>
      <w:t xml:space="preserve">  Atlanta, GA &amp; Austin, </w:t>
    </w:r>
    <w:proofErr w:type="gramStart"/>
    <w:r>
      <w:rPr>
        <w:color w:val="B8C4B0"/>
        <w:sz w:val="14"/>
        <w:szCs w:val="14"/>
      </w:rPr>
      <w:t>TX  ·</w:t>
    </w:r>
    <w:proofErr w:type="gramEnd"/>
    <w:r>
      <w:rPr>
        <w:color w:val="B8C4B0"/>
        <w:sz w:val="14"/>
        <w:szCs w:val="14"/>
      </w:rPr>
      <w:t xml:space="preserve">  501(c)(3) pending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89A32" w14:textId="77777777" w:rsidR="00250A8B" w:rsidRDefault="00250A8B">
      <w:r>
        <w:separator/>
      </w:r>
    </w:p>
  </w:footnote>
  <w:footnote w:type="continuationSeparator" w:id="0">
    <w:p w14:paraId="45F3EA97" w14:textId="77777777" w:rsidR="00250A8B" w:rsidRDefault="00250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AA2C" w14:textId="77777777" w:rsidR="00FF48A9" w:rsidRDefault="00000000">
    <w:pPr>
      <w:pBdr>
        <w:bottom w:val="single" w:sz="3" w:space="6" w:color="0F2318"/>
      </w:pBdr>
    </w:pPr>
    <w:proofErr w:type="gramStart"/>
    <w:r>
      <w:rPr>
        <w:color w:val="3A5035"/>
        <w:sz w:val="16"/>
        <w:szCs w:val="16"/>
      </w:rPr>
      <w:t>LIFE  ·</w:t>
    </w:r>
    <w:proofErr w:type="gramEnd"/>
    <w:r>
      <w:rPr>
        <w:color w:val="3A5035"/>
        <w:sz w:val="16"/>
        <w:szCs w:val="16"/>
      </w:rPr>
      <w:t xml:space="preserve">  The Six Pillars </w:t>
    </w:r>
    <w:proofErr w:type="gramStart"/>
    <w:r>
      <w:rPr>
        <w:color w:val="3A5035"/>
        <w:sz w:val="16"/>
        <w:szCs w:val="16"/>
      </w:rPr>
      <w:t>Framework  ·</w:t>
    </w:r>
    <w:proofErr w:type="gramEnd"/>
    <w:r>
      <w:rPr>
        <w:color w:val="3A5035"/>
        <w:sz w:val="16"/>
        <w:szCs w:val="16"/>
      </w:rPr>
      <w:t xml:space="preserve">  Pilot Overview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85307"/>
    <w:multiLevelType w:val="hybridMultilevel"/>
    <w:tmpl w:val="FC70FE36"/>
    <w:lvl w:ilvl="0" w:tplc="0B200644">
      <w:start w:val="1"/>
      <w:numFmt w:val="bullet"/>
      <w:lvlText w:val="•"/>
      <w:lvlJc w:val="left"/>
      <w:pPr>
        <w:ind w:left="540" w:hanging="280"/>
      </w:pPr>
    </w:lvl>
    <w:lvl w:ilvl="1" w:tplc="D80263F4">
      <w:numFmt w:val="decimal"/>
      <w:lvlText w:val=""/>
      <w:lvlJc w:val="left"/>
    </w:lvl>
    <w:lvl w:ilvl="2" w:tplc="FFCE4F56">
      <w:numFmt w:val="decimal"/>
      <w:lvlText w:val=""/>
      <w:lvlJc w:val="left"/>
    </w:lvl>
    <w:lvl w:ilvl="3" w:tplc="27AECA3A">
      <w:numFmt w:val="decimal"/>
      <w:lvlText w:val=""/>
      <w:lvlJc w:val="left"/>
    </w:lvl>
    <w:lvl w:ilvl="4" w:tplc="87FE8F10">
      <w:numFmt w:val="decimal"/>
      <w:lvlText w:val=""/>
      <w:lvlJc w:val="left"/>
    </w:lvl>
    <w:lvl w:ilvl="5" w:tplc="DB609F8E">
      <w:numFmt w:val="decimal"/>
      <w:lvlText w:val=""/>
      <w:lvlJc w:val="left"/>
    </w:lvl>
    <w:lvl w:ilvl="6" w:tplc="82684CDA">
      <w:numFmt w:val="decimal"/>
      <w:lvlText w:val=""/>
      <w:lvlJc w:val="left"/>
    </w:lvl>
    <w:lvl w:ilvl="7" w:tplc="C5B0A6FC">
      <w:numFmt w:val="decimal"/>
      <w:lvlText w:val=""/>
      <w:lvlJc w:val="left"/>
    </w:lvl>
    <w:lvl w:ilvl="8" w:tplc="B3F8AE36">
      <w:numFmt w:val="decimal"/>
      <w:lvlText w:val=""/>
      <w:lvlJc w:val="left"/>
    </w:lvl>
  </w:abstractNum>
  <w:abstractNum w:abstractNumId="1" w15:restartNumberingAfterBreak="0">
    <w:nsid w:val="66341F65"/>
    <w:multiLevelType w:val="hybridMultilevel"/>
    <w:tmpl w:val="1FEADD10"/>
    <w:lvl w:ilvl="0" w:tplc="446C50A6">
      <w:start w:val="1"/>
      <w:numFmt w:val="bullet"/>
      <w:lvlText w:val="●"/>
      <w:lvlJc w:val="left"/>
      <w:pPr>
        <w:ind w:left="720" w:hanging="360"/>
      </w:pPr>
    </w:lvl>
    <w:lvl w:ilvl="1" w:tplc="78F4BB7E">
      <w:start w:val="1"/>
      <w:numFmt w:val="bullet"/>
      <w:lvlText w:val="○"/>
      <w:lvlJc w:val="left"/>
      <w:pPr>
        <w:ind w:left="1440" w:hanging="360"/>
      </w:pPr>
    </w:lvl>
    <w:lvl w:ilvl="2" w:tplc="4316FED4">
      <w:start w:val="1"/>
      <w:numFmt w:val="bullet"/>
      <w:lvlText w:val="■"/>
      <w:lvlJc w:val="left"/>
      <w:pPr>
        <w:ind w:left="2160" w:hanging="360"/>
      </w:pPr>
    </w:lvl>
    <w:lvl w:ilvl="3" w:tplc="ABFA4A9E">
      <w:start w:val="1"/>
      <w:numFmt w:val="bullet"/>
      <w:lvlText w:val="●"/>
      <w:lvlJc w:val="left"/>
      <w:pPr>
        <w:ind w:left="2880" w:hanging="360"/>
      </w:pPr>
    </w:lvl>
    <w:lvl w:ilvl="4" w:tplc="2362D8E8">
      <w:start w:val="1"/>
      <w:numFmt w:val="bullet"/>
      <w:lvlText w:val="○"/>
      <w:lvlJc w:val="left"/>
      <w:pPr>
        <w:ind w:left="3600" w:hanging="360"/>
      </w:pPr>
    </w:lvl>
    <w:lvl w:ilvl="5" w:tplc="D9C6183C">
      <w:start w:val="1"/>
      <w:numFmt w:val="bullet"/>
      <w:lvlText w:val="■"/>
      <w:lvlJc w:val="left"/>
      <w:pPr>
        <w:ind w:left="4320" w:hanging="360"/>
      </w:pPr>
    </w:lvl>
    <w:lvl w:ilvl="6" w:tplc="23D639FE">
      <w:start w:val="1"/>
      <w:numFmt w:val="bullet"/>
      <w:lvlText w:val="●"/>
      <w:lvlJc w:val="left"/>
      <w:pPr>
        <w:ind w:left="5040" w:hanging="360"/>
      </w:pPr>
    </w:lvl>
    <w:lvl w:ilvl="7" w:tplc="40DCB426">
      <w:start w:val="1"/>
      <w:numFmt w:val="bullet"/>
      <w:lvlText w:val="●"/>
      <w:lvlJc w:val="left"/>
      <w:pPr>
        <w:ind w:left="5760" w:hanging="360"/>
      </w:pPr>
    </w:lvl>
    <w:lvl w:ilvl="8" w:tplc="C180F928">
      <w:start w:val="1"/>
      <w:numFmt w:val="bullet"/>
      <w:lvlText w:val="●"/>
      <w:lvlJc w:val="left"/>
      <w:pPr>
        <w:ind w:left="6480" w:hanging="360"/>
      </w:pPr>
    </w:lvl>
  </w:abstractNum>
  <w:num w:numId="1" w16cid:durableId="444472164">
    <w:abstractNumId w:val="1"/>
    <w:lvlOverride w:ilvl="0">
      <w:startOverride w:val="1"/>
    </w:lvlOverride>
  </w:num>
  <w:num w:numId="2" w16cid:durableId="448595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8A9"/>
    <w:rsid w:val="00250A8B"/>
    <w:rsid w:val="005F6840"/>
    <w:rsid w:val="00C42555"/>
    <w:rsid w:val="00FF4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35128B"/>
  <w15:docId w15:val="{A883A6CE-378F-B14A-A077-E534A3F6E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20"/>
      <w:outlineLvl w:val="0"/>
    </w:pPr>
    <w:rPr>
      <w:b/>
      <w:bCs/>
      <w:color w:val="0F2318"/>
      <w:sz w:val="36"/>
      <w:szCs w:val="36"/>
    </w:rPr>
  </w:style>
  <w:style w:type="paragraph" w:styleId="Heading2">
    <w:name w:val="heading 2"/>
    <w:uiPriority w:val="9"/>
    <w:semiHidden/>
    <w:unhideWhenUsed/>
    <w:qFormat/>
    <w:pPr>
      <w:spacing w:before="240" w:after="80"/>
      <w:outlineLvl w:val="1"/>
    </w:pPr>
    <w:rPr>
      <w:b/>
      <w:bCs/>
      <w:color w:val="0F231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804</Words>
  <Characters>4588</Characters>
  <Application>Microsoft Office Word</Application>
  <DocSecurity>0</DocSecurity>
  <Lines>38</Lines>
  <Paragraphs>10</Paragraphs>
  <ScaleCrop>false</ScaleCrop>
  <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 Verde</cp:lastModifiedBy>
  <cp:revision>2</cp:revision>
  <dcterms:created xsi:type="dcterms:W3CDTF">2026-03-28T15:11:00Z</dcterms:created>
  <dcterms:modified xsi:type="dcterms:W3CDTF">2026-03-28T15:11:00Z</dcterms:modified>
</cp:coreProperties>
</file>