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SimHei" w:cs="SimHei" w:eastAsia="SimHei" w:hAnsi="SimHei"/>
          <w:b/>
          <w:bCs/>
          <w:sz w:val="36"/>
          <w:szCs w:val="36"/>
        </w:rPr>
        <w:t xml:space="preserve">《人工智能导论》</w:t>
      </w:r>
    </w:p>
    <w:p>
      <w:pPr>
        <w:spacing w:after="400"/>
        <w:jc w:val="center"/>
      </w:pPr>
      <w:r>
        <w:rPr>
          <w:rFonts w:ascii="SimHei" w:cs="SimHei" w:eastAsia="SimHei" w:hAnsi="SimHei"/>
          <w:b/>
          <w:bCs/>
          <w:sz w:val="44"/>
          <w:szCs w:val="44"/>
        </w:rPr>
        <w:t xml:space="preserve">实验报告</w:t>
      </w:r>
    </w:p>
    <w:p>
      <w:pPr>
        <w:spacing w:after="100"/>
      </w:pPr>
      <w:r>
        <w:rPr>
          <w:rFonts w:ascii="SimSun" w:cs="SimSun" w:eastAsia="SimSun" w:hAnsi="SimSun"/>
          <w:sz w:val="24"/>
          <w:szCs w:val="24"/>
        </w:rPr>
        <w:t xml:space="preserve">学    院：                              </w:t>
      </w:r>
    </w:p>
    <w:p>
      <w:pPr>
        <w:spacing w:after="100"/>
      </w:pPr>
      <w:r>
        <w:rPr>
          <w:rFonts w:ascii="SimSun" w:cs="SimSun" w:eastAsia="SimSun" w:hAnsi="SimSun"/>
          <w:sz w:val="24"/>
          <w:szCs w:val="24"/>
        </w:rPr>
        <w:t xml:space="preserve">专    业：                              </w:t>
      </w:r>
    </w:p>
    <w:p>
      <w:pPr>
        <w:spacing w:after="100"/>
      </w:pPr>
      <w:r>
        <w:rPr>
          <w:rFonts w:ascii="SimSun" w:cs="SimSun" w:eastAsia="SimSun" w:hAnsi="SimSun"/>
          <w:sz w:val="24"/>
          <w:szCs w:val="24"/>
        </w:rPr>
        <w:t xml:space="preserve">班    级：                              </w:t>
      </w:r>
    </w:p>
    <w:p>
      <w:pPr>
        <w:spacing w:after="100"/>
      </w:pPr>
      <w:r>
        <w:rPr>
          <w:rFonts w:ascii="SimSun" w:cs="SimSun" w:eastAsia="SimSun" w:hAnsi="SimSun"/>
          <w:sz w:val="24"/>
          <w:szCs w:val="24"/>
        </w:rPr>
        <w:t xml:space="preserve">学    号：                              </w:t>
      </w:r>
    </w:p>
    <w:p>
      <w:pPr>
        <w:spacing w:after="100"/>
      </w:pPr>
      <w:r>
        <w:rPr>
          <w:rFonts w:ascii="SimSun" w:cs="SimSun" w:eastAsia="SimSun" w:hAnsi="SimSun"/>
          <w:sz w:val="24"/>
          <w:szCs w:val="24"/>
        </w:rPr>
        <w:t xml:space="preserve">学生姓名：                              </w:t>
      </w:r>
    </w:p>
    <w:p>
      <w:pPr>
        <w:spacing w:after="200"/>
      </w:pPr>
      <w:r>
        <w:rPr>
          <w:rFonts w:ascii="SimSun" w:cs="SimSun" w:eastAsia="SimSun" w:hAnsi="SimSun"/>
          <w:sz w:val="24"/>
          <w:szCs w:val="24"/>
        </w:rPr>
        <w:t xml:space="preserve">完成日期：2026年5月8日</w:t>
      </w:r>
    </w:p>
    <w:p>
      <w:r>
        <w:br w:type="page"/>
      </w:r>
    </w:p>
    <w:p>
      <w:pPr>
        <w:pStyle w:val="Heading1"/>
      </w:pPr>
      <w:r>
        <w:t xml:space="preserve">一、实验内容及原理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本实验基于YOLOv8目标检测算法，对NEU-DET（东北大学钢材表面缺陷数据集）进行缺陷检测训练与评估。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YOLOv8（You Only Look Once v8）是Ultralytics公司发布的最新一代实时目标检测算法，采用了先进的网络架构设计，包括：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Backbone：采用C2f模块替代传统的C3模块，提升特征提取能力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Neck：使用FPN+PAN结构进行多尺度特征融合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Head：采用Anchor-Free的解耦头设计，分离分类和回归任务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损失函数：使用DFL（Distribution Focal Loss）进行边界框回归</w:t>
      </w:r>
    </w:p>
    <w:p>
      <w:pPr>
        <w:spacing w:after="200"/>
      </w:pPr>
      <w:r>
        <w:rPr>
          <w:rFonts w:ascii="SimSun" w:cs="SimSun" w:eastAsia="SimSun" w:hAnsi="SimSun"/>
          <w:sz w:val="24"/>
          <w:szCs w:val="24"/>
        </w:rPr>
        <w:t xml:space="preserve">NEU-DET数据集包含6类钢材表面缺陷：crazing（龟裂）、inclusion（夹杂）、patches（斑块）、pitted_surface（麻面）、rolled-in_scale（氧化铁皮压入）、scratches（划痕），共计1770张训练图片和30张验证图片。</w:t>
      </w:r>
    </w:p>
    <w:p>
      <w:pPr>
        <w:pStyle w:val="Heading1"/>
      </w:pPr>
      <w:r>
        <w:t xml:space="preserve">二、技术路线及实现方案</w:t>
      </w:r>
    </w:p>
    <w:p>
      <w:pPr>
        <w:pStyle w:val="Heading2"/>
      </w:pPr>
      <w:r>
        <w:t xml:space="preserve">2.1 实验环境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详细信息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Windows 11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CPU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Intel Core i7-14650HX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GPU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NVIDIA GeForce RTX 4060 Laptop (8GB)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CUDA版本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12.7 (PyTorch cu121)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Python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3.9.7 (Anaconda)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PyTorch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2.5.1+cu121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检测框架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Ultralytics 8.4.47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模型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YOLOv8n (3,012,018参数)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2.2 数据集配置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数据集配置文件neu.yaml内容如下：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path: D:\YOLO各版本\YOLO-V8\YOLOV8\YOLOV8\ObjectDetection\NEU-DET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train: train/images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val: valid/images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names: {0: crazing, 1: inclusion, 2: patches,</w:t>
      </w:r>
    </w:p>
    <w:p>
      <w:pPr>
        <w:spacing w:after="12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        3: pitted_surface, 4: rolled-in_scale, 5: scratches}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数据集标签分布如下图所示：</w:t>
      </w:r>
    </w:p>
    <w:p>
      <w:pPr>
        <w:spacing w:after="120"/>
        <w:jc w:val="center"/>
      </w:pPr>
      <w:r>
        <w:drawing>
          <wp:inline distT="0" distB="0" distL="0" distR="0">
            <wp:extent cx="4286250" cy="4286250"/>
            <wp:effectExtent t="0" r="0" b="0" l="0"/>
            <wp:docPr id="1" name="labels" descr="Dataset label distribution" title="Labe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sz w:val="20"/>
          <w:szCs w:val="20"/>
        </w:rPr>
        <w:t xml:space="preserve">图1 数据集标签分布统计</w:t>
      </w:r>
    </w:p>
    <w:p>
      <w:pPr>
        <w:pStyle w:val="Heading2"/>
      </w:pPr>
      <w:r>
        <w:t xml:space="preserve">2.3 关键代码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from ultralytics import YOLO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# 加载预训练模型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model = YOLO('yolov8n.pt')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# 训练30个epoch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results = model.train(data='./neu.yaml', epochs=30, workers=0)</w:t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8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# 验证模型性能</w:t>
      </w:r>
    </w:p>
    <w:p>
      <w:pPr>
        <w:spacing w:after="200"/>
        <w:ind w:left="480"/>
      </w:pPr>
      <w:r>
        <w:rPr>
          <w:rFonts w:ascii="Consolas" w:cs="Consolas" w:eastAsia="Consolas" w:hAnsi="Consolas"/>
          <w:sz w:val="20"/>
          <w:szCs w:val="20"/>
        </w:rPr>
        <w:t xml:space="preserve">results = model.val()</w:t>
      </w:r>
    </w:p>
    <w:p>
      <w:pPr>
        <w:pStyle w:val="Heading2"/>
      </w:pPr>
      <w:r>
        <w:t xml:space="preserve">2.4 训练参数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参数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值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模型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YOLOv8n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Epochs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30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Batch Size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16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图像尺寸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640×640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优化器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AdamW (lr=0.001, momentum=0.9)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混合精度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AMP (Automatic Mixed Precision)</w:t>
            </w:r>
          </w:p>
        </w:tc>
      </w:tr>
      <w:tr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训练总时长</w:t>
            </w:r>
          </w:p>
        </w:tc>
        <w:tc>
          <w:tcPr>
            <w:tcW w:type="dxa" w:w="60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0.247小时（约14.8分钟）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2.5 运行结果截图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训练过程中各项指标变化曲线如下：</w:t>
      </w:r>
    </w:p>
    <w:p>
      <w:pPr>
        <w:spacing w:after="120"/>
        <w:jc w:val="center"/>
      </w:pPr>
      <w:r>
        <w:drawing>
          <wp:inline distT="0" distB="0" distL="0" distR="0">
            <wp:extent cx="5524500" cy="2190750"/>
            <wp:effectExtent t="0" r="0" b="0" l="0"/>
            <wp:docPr id="1" name="results" descr="Training results curves" title="Resul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sz w:val="20"/>
          <w:szCs w:val="20"/>
        </w:rPr>
        <w:t xml:space="preserve">图2 训练过程指标变化曲线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混淆矩阵如下图所示：</w:t>
      </w:r>
    </w:p>
    <w:p>
      <w:pPr>
        <w:spacing w:after="120"/>
        <w:jc w:val="center"/>
      </w:pPr>
      <w:r>
        <w:drawing>
          <wp:inline distT="0" distB="0" distL="0" distR="0">
            <wp:extent cx="4000500" cy="3619500"/>
            <wp:effectExtent t="0" r="0" b="0" l="0"/>
            <wp:docPr id="1" name="confusion" descr="Confusion matrix" title="Confusion Matr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sz w:val="20"/>
          <w:szCs w:val="20"/>
        </w:rPr>
        <w:t xml:space="preserve">图3 混淆矩阵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验证集检测效果如下图所示：</w:t>
      </w:r>
    </w:p>
    <w:p>
      <w:pPr>
        <w:spacing w:after="120"/>
        <w:jc w:val="center"/>
      </w:pPr>
      <w:r>
        <w:drawing>
          <wp:inline distT="0" distB="0" distL="0" distR="0">
            <wp:extent cx="4000500" cy="4000500"/>
            <wp:effectExtent t="0" r="0" b="0" l="0"/>
            <wp:docPr id="1" name="valpred" descr="Validation predictions" title="Val Predi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sz w:val="20"/>
          <w:szCs w:val="20"/>
        </w:rPr>
        <w:t xml:space="preserve">图4 验证集检测结果</w:t>
      </w:r>
    </w:p>
    <w:p>
      <w:r>
        <w:br w:type="page"/>
      </w:r>
    </w:p>
    <w:p>
      <w:pPr>
        <w:pStyle w:val="Heading1"/>
      </w:pPr>
      <w:r>
        <w:t xml:space="preserve">三、运行情况及结果分析</w:t>
      </w:r>
    </w:p>
    <w:p>
      <w:pPr>
        <w:pStyle w:val="Heading2"/>
      </w:pPr>
      <w:r>
        <w:t xml:space="preserve">3.1 最终模型性能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1694"/>
        <w:gridCol w:w="1694"/>
        <w:gridCol w:w="1694"/>
        <w:gridCol w:w="1688"/>
      </w:tblGrid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类别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Precision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Recall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mAP50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mAP50-95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all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0.682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0.804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0.820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0.513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crazing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0.667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0.501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0.596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0.307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inclusion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0.530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0.800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0.664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0.328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patches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0.817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1.000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0.966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0.671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pitted_surface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0.798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1.000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0.995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0.732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rolled-in_scale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0.655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0.667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0.785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0.343</w:t>
            </w:r>
          </w:p>
        </w:tc>
      </w:tr>
      <w:tr>
        <w:tc>
          <w:tcPr>
            <w:tcW w:type="dxa" w:w="225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scratches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0.628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0.857</w:t>
            </w:r>
          </w:p>
        </w:tc>
        <w:tc>
          <w:tcPr>
            <w:tcW w:type="dxa" w:w="1694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0.913</w:t>
            </w:r>
          </w:p>
        </w:tc>
        <w:tc>
          <w:tcPr>
            <w:tcW w:type="dxa" w:w="168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0.698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3.2 结果分析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1. 训练过程分析：从训练曲线可以看出，三个损失函数（box_loss、cls_loss、dfl_loss）均呈现稳定下降趋势，说明模型在持续学习且未出现过拟合。mAP50和mAP50-95指标逐步上升，在第27个epoch达到最佳性能（mAP50=0.820，mAP50-95=0.516）。训练loss从初始的box_loss=1.72、cls_loss=2.97下降至最终的1.24和1.14，收敛良好。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2. 各类别性能分析：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pitted_surface和patches类别检测效果最好，mAP50分别达到0.995和0.966，Recall均为1.0，说明这两类缺陷特征明显，模型容易识别。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crazing和rolled-in_scale类别检测效果相对较差，可能是因为这两类缺陷的纹理特征较为细微，且与背景对比度较低。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• inclusion类别的Precision较低（0.530），存在一定的误检情况，从混淆矩阵可以看出有10个背景区域被误判为inclusion，可能与背景中的杂质纹理相似有关。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3. 从混淆矩阵可以看出，模型对各类缺陷的区分能力较好，类别间几乎没有交叉混淆。主要的错误模式有两种：一是漏检（将目标检测为背景），如crazing有4个漏检、inclusion有3个漏检；二是背景误检为inclusion（10个），这是precision低的主因。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4. 推理速度：预处理0.2ms + 推理1.3ms + 后处理0.6ms，单张图片总耗时约2.1ms（约476 FPS），完全满足工业场景下的实时检测需求。</w:t>
      </w:r>
    </w:p>
    <w:p>
      <w:pPr>
        <w:spacing w:before="200"/>
      </w:pPr>
    </w:p>
    <w:p>
      <w:pPr>
        <w:pStyle w:val="Heading2"/>
      </w:pPr>
      <w:r>
        <w:t xml:space="preserve">3.3 遇到的问题及解决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问题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原因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sz w:val="24"/>
                <w:szCs w:val="24"/>
              </w:rPr>
              <w:t xml:space="preserve">解决方案</w:t>
            </w:r>
          </w:p>
        </w:tc>
      </w:tr>
      <w:tr>
        <w:tc>
          <w:tcPr>
            <w:tcW w:type="dxa" w:w="300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KeyError: 'EMA'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从yaml创建模型缺少EMA配置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改用yolov8n.pt预训练权重</w:t>
            </w:r>
          </w:p>
        </w:tc>
      </w:tr>
      <w:tr>
        <w:tc>
          <w:tcPr>
            <w:tcW w:type="dxa" w:w="300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NumPy版本不兼容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numpy 2.0与matplotlib不兼容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降级到numpy 1.26.4</w:t>
            </w:r>
          </w:p>
        </w:tc>
      </w:tr>
      <w:tr>
        <w:tc>
          <w:tcPr>
            <w:tcW w:type="dxa" w:w="300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训练速度极慢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PyCharm使用了CPU版PyTorch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切换到Anaconda的GPU环境</w:t>
            </w:r>
          </w:p>
        </w:tc>
      </w:tr>
      <w:tr>
        <w:tc>
          <w:tcPr>
            <w:tcW w:type="dxa" w:w="300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pip权限错误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Anaconda装在ProgramData需要管理员权限</w:t>
            </w:r>
          </w:p>
        </w:tc>
        <w:tc>
          <w:tcPr>
            <w:tcW w:type="dxa" w:w="30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4"/>
                <w:szCs w:val="24"/>
              </w:rPr>
              <w:t xml:space="preserve">以管理员身份运行cmd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四、总结及展望</w:t>
      </w:r>
    </w:p>
    <w:p>
      <w:pPr>
        <w:spacing w:after="120"/>
      </w:pPr>
      <w:r>
        <w:rPr>
          <w:rFonts w:ascii="SimSun" w:cs="SimSun" w:eastAsia="SimSun" w:hAnsi="SimSun"/>
          <w:sz w:val="24"/>
          <w:szCs w:val="24"/>
        </w:rPr>
        <w:t xml:space="preserve">本实验成功使用YOLOv8n模型对NEU-DET钢材表面缺陷数据集进行了目标检测训练，在仅训练30个epoch（约15分钟）的情况下即达到了mAP50=0.820、mAP50-95=0.516的较好效果，验证了YOLOv8在工业缺陷检测场景中的有效性。通过本实验，我掌握了以下内容：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1. 了解了YOLO系列目标检测算法的基本原理和工作流程；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2. 掌握了使用Ultralytics框架进行模型训练、验证和推理的完整流程；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3. 学会了深度学习环境配置（GPU版PyTorch安装、CUDA配置等）；</w:t>
      </w:r>
    </w:p>
    <w:p>
      <w:pPr>
        <w:spacing w:after="80"/>
        <w:ind w:left="480"/>
      </w:pPr>
      <w:r>
        <w:rPr>
          <w:rFonts w:ascii="SimSun" w:cs="SimSun" w:eastAsia="SimSun" w:hAnsi="SimSun"/>
          <w:sz w:val="24"/>
          <w:szCs w:val="24"/>
        </w:rPr>
        <w:t xml:space="preserve">4. 学会了分析模型训练结果（损失曲线、mAP、混淆矩阵等指标）。</w:t>
      </w:r>
    </w:p>
    <w:p>
      <w:pPr>
        <w:spacing w:after="200"/>
      </w:pPr>
      <w:r>
        <w:rPr>
          <w:rFonts w:ascii="SimSun" w:cs="SimSun" w:eastAsia="SimSun" w:hAnsi="SimSun"/>
          <w:sz w:val="24"/>
          <w:szCs w:val="24"/>
        </w:rPr>
        <w:t xml:space="preserve">未来可以从以下方面进一步改进：(1) 增加训练epoch数至100-200轮，使模型充分收敛；(2) 使用更大的模型（如YOLOv8s/m），提升特征表达能力；(3) 针对crazing和inclusion类别进行数据增强（如Mosaic、MixUp）以改善其检测效果；(4) 引入注意力机制（如CBAM）增强对细微纹理缺陷的感知能力。</w:t>
      </w:r>
    </w:p>
    <w:p>
      <w:pPr>
        <w:pStyle w:val="Heading1"/>
      </w:pPr>
      <w:r>
        <w:t xml:space="preserve">五、参考文献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[1] Ultralytics. YOLOv8 Documentation. https://docs.ultralytics.com/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[2] Song K, Yan Y. A noise robust method based on completed local binary patterns for hot-rolled steel strip surface defects[J]. Applied Surface Science, 2013, 285: 858-864.</w:t>
      </w:r>
    </w:p>
    <w:p>
      <w:pPr>
        <w:spacing w:after="80"/>
      </w:pPr>
      <w:r>
        <w:rPr>
          <w:rFonts w:ascii="SimSun" w:cs="SimSun" w:eastAsia="SimSun" w:hAnsi="SimSun"/>
          <w:sz w:val="24"/>
          <w:szCs w:val="24"/>
        </w:rPr>
        <w:t xml:space="preserve">[3] Jocher G, Chaurasia A, Qiu J. Ultralytics YOLO (Version 8.0.0)[Software]. 2023.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SimHei" w:cs="SimHei" w:eastAsia="SimHei" w:hAnsi="Sim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SimHei" w:cs="SimHei" w:eastAsia="SimHei" w:hAnsi="SimHe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e90a48c85c6d6b0546deaafa1815dc5f45add8.jpg"/><Relationship Id="rId8" Type="http://schemas.openxmlformats.org/officeDocument/2006/relationships/image" Target="media/5bd7591cc6897b3eecc5bbdd168bb5432f4b4101.png"/><Relationship Id="rId9" Type="http://schemas.openxmlformats.org/officeDocument/2006/relationships/image" Target="media/680d0b2a8c16cff1c86df535f0289498da467936.png"/><Relationship Id="rId10" Type="http://schemas.openxmlformats.org/officeDocument/2006/relationships/image" Target="media/0e09ce88a84ee41ffbe473d2a7b71ed215c71b69.jp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2026-05-08T09:27:06.052Z</dcterms:created>
  <dcterms:modified xsi:type="dcterms:W3CDTF">2026-05-08T09:27:06.053Z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