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360" w:lineRule="auto"/>
        <w:ind w:firstLine="0"/>
        <w:jc w:val="left"/>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360" w:lineRule="auto"/>
        <w:ind w:firstLine="0"/>
        <w:jc w:val="left"/>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360" w:lineRule="auto"/>
        <w:ind w:firstLine="0"/>
        <w:jc w:val="left"/>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ind w:firstLine="0"/>
        <w:jc w:val="left"/>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360" w:lineRule="auto"/>
        <w:ind w:firstLine="0"/>
        <w:jc w:val="left"/>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360" w:lineRule="auto"/>
        <w:ind w:firstLine="0"/>
        <w:jc w:val="left"/>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360" w:lineRule="auto"/>
        <w:ind w:firstLine="0"/>
        <w:jc w:val="left"/>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360" w:lineRule="auto"/>
        <w:ind w:firstLine="0"/>
        <w:jc w:val="left"/>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360" w:lineRule="auto"/>
        <w:ind w:firstLine="0"/>
        <w:jc w:val="left"/>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360" w:lineRule="auto"/>
        <w:ind w:firstLine="0"/>
        <w:jc w:val="left"/>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360" w:lineRule="auto"/>
        <w:ind w:firstLine="0"/>
        <w:jc w:val="center"/>
        <w:rPr>
          <w:b w:val="1"/>
          <w:bCs w:val="1"/>
        </w:rPr>
      </w:pPr>
      <w:r w:rsidDel="00000000" w:rsidR="00000000" w:rsidRPr="00000000">
        <w:rPr>
          <w:b w:val="1"/>
          <w:bCs w:val="1"/>
          <w:rtl w:val="0"/>
        </w:rPr>
        <w:t xml:space="preserve">The Role of Technology in the United States Government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360" w:lineRule="auto"/>
        <w:ind w:firstLine="0"/>
        <w:jc w:val="center"/>
        <w:rPr/>
      </w:pPr>
      <w:r w:rsidDel="00000000" w:rsidR="00000000" w:rsidRPr="00000000">
        <w:rPr>
          <w:rtl w:val="0"/>
        </w:rPr>
        <w:t xml:space="preserve">Amber Vergara</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360" w:lineRule="auto"/>
        <w:ind w:firstLine="0"/>
        <w:jc w:val="center"/>
        <w:rPr/>
      </w:pPr>
      <w:r w:rsidDel="00000000" w:rsidR="00000000" w:rsidRPr="00000000">
        <w:rPr>
          <w:rtl w:val="0"/>
        </w:rPr>
        <w:t xml:space="preserve">November 24 2025</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360" w:lineRule="auto"/>
        <w:ind w:firstLine="0"/>
        <w:jc w:val="center"/>
        <w:rPr/>
      </w:pPr>
      <w:r w:rsidDel="00000000" w:rsidR="00000000" w:rsidRPr="00000000">
        <w:rPr>
          <w:rtl w:val="0"/>
        </w:rPr>
        <w:t xml:space="preserve">CSIT100-04</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360" w:lineRule="auto"/>
        <w:ind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360" w:lineRule="auto"/>
        <w:ind w:left="0" w:firstLine="0"/>
        <w:jc w:val="both"/>
        <w:rPr/>
      </w:pPr>
      <w:r w:rsidDel="00000000" w:rsidR="00000000" w:rsidRPr="00000000">
        <w:rPr>
          <w:rtl w:val="0"/>
        </w:rPr>
        <w:t xml:space="preserve">  November 24 2025</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360" w:lineRule="auto"/>
        <w:ind w:firstLine="0"/>
        <w:jc w:val="both"/>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With the rapid advancement of technology, it has quickly become an integral part of daily life. From children’s toys to the workplace, it is used across various industries and age groups. In a post-COVID society, more educational facilities have made the switch from physical to digital media. Backpacks full of binders, textbooks, notebooks, and pens have been reduced to a computer, iPad, and perhaps a single notebook and pen for those who prefer a traditional sense of learning. Society has evolved far past the conventional pen and paper, promoting faster, smarter, and more efficient ways of accomplishing tasks.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The coursework of political science students is heavy on reading and writing; devices such as laptops are a necessity for these individuals to conduct research and write scholarly papers. Post-grad careers for students in political science can range from politics to advocacy work to the legal field. Most notably, these graduates secure positions in the United States Government, but it is not the only degree that can operate in this field. From a communications major managing the White House’s social media platforms to a computer scientist combating counterintelligence plots, each role is important in keeping the country informed and secure.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360" w:lineRule="auto"/>
        <w:ind w:left="0" w:firstLine="0"/>
        <w:jc w:val="both"/>
        <w:rPr/>
      </w:pPr>
      <w:r w:rsidDel="00000000" w:rsidR="00000000" w:rsidRPr="00000000">
        <w:rPr>
          <w:rtl w:val="0"/>
        </w:rPr>
        <w:tab/>
        <w:t xml:space="preserve">In the report “Technology in the Public Sector and the Future of Government Work” (2023), published by Sarah Hinkley, she divides the uses of technology in government into five categories. First, manual task automation refers to technology that replaces a human service, such include parking meters, ticket kiosks/fare payments at public transit stations, and E-ZPass. Second, process automation acts as the middleman between a customer and an employee, processing the information given. In the U.S. government, this can be seen through payments and benefit applications done online. Next is automated decision-making systems, which generate verdicts referencing data and human-programmed algorithms, enhancing or replacing human decision-making as a whole. Integrated data systems in the government hold large quantities of data, including citizens who use these services and their outcomes. For example, the Alaska Department of Health and Human Services (DHSS) call center covers multiple programs, such as SNAP and Medicaid, easier to navigate compared to having different centers for different programs. Operators utilize the DHSS eligibility system, giving a visual representation of its database as they take calls. Finally, electronic monitoring revolves around surveillance, with security cameras and drones monitoring public infrastructure and agencies alike. Most recently, cameras with facial recognition have been installed to record attendance or identify suspects.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360" w:lineRule="auto"/>
        <w:ind w:left="0" w:firstLine="720"/>
        <w:jc w:val="both"/>
        <w:rPr/>
      </w:pPr>
      <w:r w:rsidDel="00000000" w:rsidR="00000000" w:rsidRPr="00000000">
        <w:rPr>
          <w:rtl w:val="0"/>
        </w:rPr>
        <w:t xml:space="preserve">In a post-COVID society, more people have interacted with the government in some form, as demand for welfare-based services dramatically increased (Hinkley 2023). Heavy restrictions during the pandemic forced the world to transition to a digital space overnight. This challenge highlighted the government’s efficiency in delivering important information and relief to the country, despite the limitations of a screen. Hinkley finds that, “...some employers have steadily increased the use of machines and technology-enabled automation to manage internal processes and organize work, and some are using advanced technologies to analyze data and supplement decision-making. But many areas of government went into the pandemic heavily reliant on in-person interactions and paperwork, with limited capacity to analyze or manage the large volumes of data they collect” (2023). Despite the world's rapid advancements in technology, the US government’s utilization of these resources remains patchy.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360" w:lineRule="auto"/>
        <w:ind w:left="0" w:firstLine="720"/>
        <w:jc w:val="both"/>
        <w:rPr/>
      </w:pPr>
      <w:r w:rsidDel="00000000" w:rsidR="00000000" w:rsidRPr="00000000">
        <w:rPr>
          <w:rtl w:val="0"/>
        </w:rPr>
        <w:t xml:space="preserve">Promoting technology advancements can boost economic conditions in the United States. The journal article “How the United States Competed: Past Technology Strategies” discusses how enhanced policy has improved geological conditions on a global scale. A policy that has emerged as a result is the Bayh-Dole Act and the Federal Technology Transfer Act of 1980. This is achieved by allocating federal funding to universities and research organizations to use federal laboratories, opening new forms of innovations not possible at their current facilities. To ensure this act continues to evolve with technology, “Lawmakers should periodically reevaluate these measures to ensure they remain relevant for the current context as well as explore new policies to encourage further technology diffusion, such as the proposed National Research Cloud that would provide access to needed compute and data resources to a much broader swath of American AI researchers” (Rasser, M., &amp; Lamberth, M. 2021). Following this enactment, universities, research labs, small businesses, and nonprofits have access to obtaining licenses and patents and have ownership rights over them, which was not possible before 1980. Policies that are in favor of private research allow companies across the United States to go beyond an idea, which can boost technology in workspaces. Despite the outweighing benefits of technological innovation, these systems come with significant risks that complicate the government’s reliance on digital tools.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360" w:lineRule="auto"/>
        <w:ind w:left="0" w:firstLine="720"/>
        <w:jc w:val="both"/>
        <w:rPr/>
      </w:pPr>
      <w:r w:rsidDel="00000000" w:rsidR="00000000" w:rsidRPr="00000000">
        <w:rPr>
          <w:rtl w:val="0"/>
        </w:rPr>
        <w:t xml:space="preserve">Depending on the field, trends in staff have either remained steady or have gone down, a challenge with the United States population rapidly going up. When workspaces are short-staffed, employees must take on greater responsibilities, often resorting to quicker burnout. Funds have been dispersed to promote technological advances, but they cannot excel when staff are overworked. Hinkley discloses that “[I]n fact, technology presents the greatest risk when it’s simply layered on top of already overwhelmed workers and processes, because there is no capacity built in for evaluation and recalibration to ensure that the technology is working as intended” (2023). Technology, in this case, would not be sufficient in resolving decades of employment and underfunding. In fact, this may have the opposite effect, with a lack of resources to properly test and adjust these new gadgets worsening the work environment.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In December 2024, Luigi Mangione was apprehended as a primary suspect in the murder of United Healthcare CEO Brian Thompson. Mangione’s motive gained national attention, calling for reform in the country’s current healthcare system. Those who sympathize with Mangione share a similar struggle in navigating unaffordable insurance and treatment, proving failure in corporate governance. In 2023, a class action lawsuit, </w:t>
      </w:r>
      <w:r w:rsidDel="00000000" w:rsidR="00000000" w:rsidRPr="00000000">
        <w:rPr>
          <w:i w:val="1"/>
          <w:iCs w:val="1"/>
          <w:rtl w:val="0"/>
        </w:rPr>
        <w:t xml:space="preserve">Estate of Gene B. Lokken et al. v. UnitedHealth Group, Inc. et al.</w:t>
      </w:r>
      <w:r w:rsidDel="00000000" w:rsidR="00000000" w:rsidRPr="00000000">
        <w:rPr>
          <w:rtl w:val="0"/>
        </w:rPr>
        <w:t xml:space="preserve"> exposed the insurance company’s claim system. In the introduction, plaintiffs argue, “Despite the high error rate, Defendants continue to systemically deny claims using their flawed AI model because they know that only a tiny minority of policyholders (roughly 0.2%)1 will appeal denied claims, and the vast majority will either pay out-of pocket costs or forgo the remainder of their prescribed post-acute care” (2023). While their AI model has a 90% fail rate, the company kept the system in place instead of medical professionals, a decision that could have fueled Mangione’s motive. Arguably, insurance companies view their patients as a check, taking advantage of the fact that they are not well-informed on the healthcare system and how the company’s AI model functions. </w:t>
      </w:r>
      <w:r w:rsidDel="00000000" w:rsidR="00000000" w:rsidRPr="00000000">
        <w:rPr>
          <w:rtl w:val="0"/>
        </w:rPr>
        <w:t xml:space="preserve">United Healthcare’s allegations put patients in a situation of uncertainty, forcing them to decide whether to prioritize health or finances. When advancements are inappropriately used, they can create distrust between citizens and the public sector. Advancing technology should be correlated with positivity, but when not operated correctly,  it can spark outrage. </w:t>
      </w:r>
    </w:p>
    <w:p w:rsidR="00000000" w:rsidDel="00000000" w:rsidP="00000000" w:rsidRDefault="00000000" w:rsidRPr="00000000" w14:paraId="00000019">
      <w:pPr>
        <w:spacing w:line="360" w:lineRule="auto"/>
        <w:jc w:val="both"/>
        <w:rPr/>
      </w:pPr>
      <w:r w:rsidDel="00000000" w:rsidR="00000000" w:rsidRPr="00000000">
        <w:rPr>
          <w:rtl w:val="0"/>
        </w:rPr>
        <w:t xml:space="preserve">When government operations do not progress with citizens, this will ultimately cause a slowdown in the country’s development. On a technological level, this can cause billions of dollars to be drained, which could have been allocated towards a better cause. In a 2024 report by the U.S. Government Accountability Office, “...that since fiscal year 2003 cumulative ‘reported’ improper payment estimates by executive branch agencies have totaled around $2.7 trillion, the actual number being likely higher when considering unreported fraud that can only be estimated” (Chenok 2025). Human error will always be inevitable, but this can affect government programs such as the welfare state. Americans are potentially losing out on thousands, arguably costing more than the initial investment in innovative technology and adding to the national debt.</w:t>
      </w:r>
    </w:p>
    <w:p w:rsidR="00000000" w:rsidDel="00000000" w:rsidP="00000000" w:rsidRDefault="00000000" w:rsidRPr="00000000" w14:paraId="0000001A">
      <w:pPr>
        <w:spacing w:line="360" w:lineRule="auto"/>
        <w:jc w:val="both"/>
        <w:rPr/>
      </w:pPr>
      <w:r w:rsidDel="00000000" w:rsidR="00000000" w:rsidRPr="00000000">
        <w:rPr>
          <w:rtl w:val="0"/>
        </w:rPr>
        <w:t xml:space="preserve">A controversial topic among civilians and politicians alike is the country’s federal budget. According to the International Institute of Strategic Studies, $968 billion was allocated to defense in 2024, more than China, Russia, and Germany combined. While numbers are continuing to be finalized, it is estimated that the United States has spent an estimated $68-$71 billion on foreign aid for the 2024 fiscal year. Social problems such as food insecurity, homelessness, or, in this scenario, investing in education are possible, but it has been proven that politicians will act out of personal gain over the interests of the American people. If policymakers began to lead for change and not profit, there could be a significant evolution of the current socioeconomic state.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The Government Accountability Office is responsible for aiding Congress in upholding Constitutional Policies, as well as ensuring efficiency in its operations. With the rise of Artificial Intelligence, members of the legislative branch collaborate with GAO analysts, assessing current socioeconomic trends and how these can reflect current policies. In a podcast episode titled “Artificial Intelligence in Severe Weather and Wildfire Modeling,” published by the GAO, Brian Bothwell discusses potential resolutions in improving environmental policies. By integrating AI, Bothwell suggests, “So AI in particular, machine learning, can provide benefits by reducing forecast times. It can make models more accurate. It can reduce forecast uncertainty, which could result in potentially saving lives and property” (5:31-5:43). Natural disasters can be unpredictable, affecting what calls are made regarding the storm’s severity, actions that should be taken, and how many resources are dispatched to impacted areas in the aftermath. Implementing machine learning into weather forecasting results in improved data in comparison to traditional data collection models, picking up on relationships between recorded data not previously recognized. In government agencies, AI and machine learning can both make their operations more structured, allowing them to focus on their sector’s mission and increase productivity.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 The approach Bothwell mentions is machine learning, an AI subfield that revolves around prediction, an element in decision-making. Agrawal et al. (2019) suggest that this does not impact all aspects of human cognition, but solely focuses on prediction. Without a decision to be made, prediction is useless. Those with prediction-based careers, such as translating and human resources, may find their role in their careers to be diminished with this advancement, while others, such as the legal field or policy makers, may find this to enhance their jobs. As played out in the legal field, “Instead of legal reasoning, the mapping function is a prediction generated by machine learning that is based on training data of past cases. Blue J Legal claims 90 percent accuracy. Given the uncertainty, a lawyer still makes the ultimate decision” (Agrawal et al. 2019). Currently, this law firm uses machine learning to predict judicial outcomes referencing past verdicts. While this is still a work in progress for companies to implement AI into their workspace, it is a trial that offers room for improvement in these spaces, with the hopes of expansion across the legal field in the US.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360" w:lineRule="auto"/>
        <w:ind w:left="0" w:firstLine="720"/>
        <w:jc w:val="both"/>
        <w:rPr/>
      </w:pPr>
      <w:r w:rsidDel="00000000" w:rsidR="00000000" w:rsidRPr="00000000">
        <w:rPr>
          <w:rtl w:val="0"/>
        </w:rPr>
        <w:t xml:space="preserve">The U.S. government has a critical role in shaping technology strategy through investment, policy measures, and setting national objectives to enhance innovation and competitiveness. The use of technology has enabled many government agencies to streamline cumbersome processes, making them more user-friendly and increasing productivity by allowing workers to focus on more complex tasks. Errors cannot be avoided when new systems, such as artificial intelligence and machine learning, are in their trial stages, but they should not be covered up when such instances occur. A balance between humans and AI is necessary in the field of government for decision-making, requiring not only efficiency but also accountability, transparency, and ethical judgment. Emotion is absent entirely in machine models, but it is needed in creating appropriate programs that assist the most vulnerable. To understand AI results, spot potential biases, and make judgments that are based on democratic principles rather than what is stored in databases, public sector workers must continue to be involved. Without this equilibrium, the government encounters the risk of adopting technology that ultimately conflicts with its obligations and the liberties of the people it serves. Transparency is crucial with the American people, and they must thrive in advanced environments. Leadership should be out of genuine interest to make a change, not for those who desire power and riches. </w:t>
      </w: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360" w:lineRule="auto"/>
        <w:ind w:firstLine="720"/>
        <w:jc w:val="both"/>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360" w:lineRule="auto"/>
        <w:ind w:firstLine="720"/>
        <w:jc w:val="both"/>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360" w:lineRule="auto"/>
        <w:ind w:firstLine="720"/>
        <w:jc w:val="both"/>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360" w:lineRule="auto"/>
        <w:ind w:firstLine="0"/>
        <w:jc w:val="both"/>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Works Cited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pPr>
      <w:r w:rsidDel="00000000" w:rsidR="00000000" w:rsidRPr="00000000">
        <w:rPr>
          <w:rtl w:val="0"/>
        </w:rPr>
        <w:t xml:space="preserve">Agrawal, A., Gans, J. S., &amp; Goldfarb, A. (2019). Artificial Intelligence: The Ambiguous Labor Market Impact of Automating Prediction. The Journal of Economic Perspectives, 33(2), 31–50. https://www.jstor.org/stable/26621238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pPr>
      <w:r w:rsidDel="00000000" w:rsidR="00000000" w:rsidRPr="00000000">
        <w:rPr>
          <w:rtl w:val="0"/>
        </w:rPr>
        <w:t xml:space="preserve">Bothwell, B. (Host), (2023, December 14). Artificial Intelligence in Severe Weather and Wildfire Modeling. GAO Watchdog Report. Government Accountability Office. https://www.gao.gov/podcast/artificial-intelligence-severe-weather-and-wildfire-modeling</w:t>
      </w:r>
    </w:p>
    <w:p w:rsidR="00000000" w:rsidDel="00000000" w:rsidP="00000000" w:rsidRDefault="00000000" w:rsidRPr="00000000" w14:paraId="00000026">
      <w:pPr>
        <w:widowControl w:val="0"/>
        <w:spacing w:after="240" w:before="240" w:line="360" w:lineRule="auto"/>
        <w:ind w:left="720" w:hanging="720"/>
        <w:rPr/>
      </w:pPr>
      <w:r w:rsidDel="00000000" w:rsidR="00000000" w:rsidRPr="00000000">
        <w:rPr>
          <w:rtl w:val="0"/>
        </w:rPr>
        <w:t xml:space="preserve">Chenok, Dan. “2025 How Technology Can Drive Government Efficiency.” </w:t>
      </w:r>
      <w:r w:rsidDel="00000000" w:rsidR="00000000" w:rsidRPr="00000000">
        <w:rPr>
          <w:i w:val="1"/>
          <w:iCs w:val="1"/>
          <w:rtl w:val="0"/>
        </w:rPr>
        <w:t xml:space="preserve">IBM Center for The Business of Government</w:t>
      </w:r>
      <w:r w:rsidDel="00000000" w:rsidR="00000000" w:rsidRPr="00000000">
        <w:rPr>
          <w:rtl w:val="0"/>
        </w:rPr>
        <w:t xml:space="preserve">, 2025, www.businessofgovernment.org/sites/default/files/How TECHNOLOGY Can Drive GOVERNMENT EFFICIENCY_0.pdf. </w:t>
      </w:r>
    </w:p>
    <w:p w:rsidR="00000000" w:rsidDel="00000000" w:rsidP="00000000" w:rsidRDefault="00000000" w:rsidRPr="00000000" w14:paraId="00000027">
      <w:pPr>
        <w:pageBreakBefore w:val="0"/>
        <w:spacing w:line="360" w:lineRule="auto"/>
        <w:ind w:left="720" w:hanging="720"/>
        <w:jc w:val="both"/>
        <w:rPr/>
      </w:pPr>
      <w:r w:rsidDel="00000000" w:rsidR="00000000" w:rsidRPr="00000000">
        <w:rPr>
          <w:rtl w:val="0"/>
        </w:rPr>
        <w:t xml:space="preserve">Hinkley, Sara. 2022. Technology in the Public Sector and the Future of Government Work. Berkeley: </w:t>
      </w:r>
    </w:p>
    <w:p w:rsidR="00000000" w:rsidDel="00000000" w:rsidP="00000000" w:rsidRDefault="00000000" w:rsidRPr="00000000" w14:paraId="00000028">
      <w:pPr>
        <w:pageBreakBefore w:val="0"/>
        <w:spacing w:line="360" w:lineRule="auto"/>
        <w:ind w:left="720" w:hanging="720"/>
        <w:jc w:val="both"/>
        <w:rPr/>
      </w:pPr>
      <w:r w:rsidDel="00000000" w:rsidR="00000000" w:rsidRPr="00000000">
        <w:rPr>
          <w:rtl w:val="0"/>
        </w:rPr>
        <w:t xml:space="preserve">UC Berkeley Labor Center. https://laborcenter.berkeley.edu/technology-in-the-public-sector</w:t>
      </w:r>
    </w:p>
    <w:p w:rsidR="00000000" w:rsidDel="00000000" w:rsidP="00000000" w:rsidRDefault="00000000" w:rsidRPr="00000000" w14:paraId="00000029">
      <w:pPr>
        <w:pageBreakBefore w:val="0"/>
        <w:spacing w:line="360" w:lineRule="auto"/>
        <w:ind w:left="720" w:hanging="720"/>
        <w:jc w:val="both"/>
        <w:rPr/>
      </w:pPr>
      <w:r w:rsidDel="00000000" w:rsidR="00000000" w:rsidRPr="00000000">
        <w:rPr>
          <w:rtl w:val="0"/>
        </w:rPr>
        <w:t xml:space="preserve">and-the-future-of-government-work/</w:t>
      </w:r>
    </w:p>
    <w:p w:rsidR="00000000" w:rsidDel="00000000" w:rsidP="00000000" w:rsidRDefault="00000000" w:rsidRPr="00000000" w14:paraId="0000002A">
      <w:pPr>
        <w:spacing w:after="240" w:before="240" w:line="360" w:lineRule="auto"/>
        <w:ind w:left="720" w:hanging="720"/>
        <w:jc w:val="both"/>
        <w:rPr/>
      </w:pPr>
      <w:r w:rsidDel="00000000" w:rsidR="00000000" w:rsidRPr="00000000">
        <w:rPr>
          <w:rtl w:val="0"/>
        </w:rPr>
        <w:t xml:space="preserve">International Institute for Strategic Studies. (2025). </w:t>
      </w:r>
      <w:r w:rsidDel="00000000" w:rsidR="00000000" w:rsidRPr="00000000">
        <w:rPr>
          <w:i w:val="1"/>
          <w:iCs w:val="1"/>
          <w:rtl w:val="0"/>
        </w:rPr>
        <w:t xml:space="preserve">Defence and military analysis</w:t>
      </w:r>
      <w:r w:rsidDel="00000000" w:rsidR="00000000" w:rsidRPr="00000000">
        <w:rPr>
          <w:rtl w:val="0"/>
        </w:rPr>
        <w:t xml:space="preserve">. The Military Balance 2025 by The International Institute for Strategic Studies (IISS) | 9781040379745. https://www.iiss.org/globalassets/media-library---content--migration/files/publications/military-balance/2025-military-balance/the-military-balance-2025_defence-spending-and-procurement-trends.pdf</w:t>
      </w:r>
    </w:p>
    <w:p w:rsidR="00000000" w:rsidDel="00000000" w:rsidP="00000000" w:rsidRDefault="00000000" w:rsidRPr="00000000" w14:paraId="0000002B">
      <w:pPr>
        <w:spacing w:line="360" w:lineRule="auto"/>
        <w:ind w:left="720" w:hanging="720"/>
        <w:jc w:val="both"/>
        <w:rPr/>
      </w:pPr>
      <w:r w:rsidDel="00000000" w:rsidR="00000000" w:rsidRPr="00000000">
        <w:rPr>
          <w:rtl w:val="0"/>
        </w:rPr>
        <w:t xml:space="preserve">Rasser, M., &amp; Lamberth, M. (2021). How the United States Competed: Past Technology Strategies. In </w:t>
      </w:r>
      <w:r w:rsidDel="00000000" w:rsidR="00000000" w:rsidRPr="00000000">
        <w:rPr>
          <w:i w:val="1"/>
          <w:iCs w:val="1"/>
          <w:rtl w:val="0"/>
        </w:rPr>
        <w:t xml:space="preserve">Taking the Helm: A National Technology Strategy to Meet the China Challenge</w:t>
      </w:r>
      <w:r w:rsidDel="00000000" w:rsidR="00000000" w:rsidRPr="00000000">
        <w:rPr>
          <w:rtl w:val="0"/>
        </w:rPr>
        <w:t xml:space="preserve"> (pp. 14–20). Center for a New American Security. </w:t>
      </w:r>
      <w:hyperlink r:id="rId6">
        <w:r w:rsidDel="00000000" w:rsidR="00000000" w:rsidRPr="00000000">
          <w:rPr>
            <w:color w:val="1155cc"/>
            <w:u w:val="single"/>
            <w:rtl w:val="0"/>
          </w:rPr>
          <w:t xml:space="preserve">http://www.jstor.org/stable/resrep28655.7</w:t>
        </w:r>
      </w:hyperlink>
      <w:r w:rsidDel="00000000" w:rsidR="00000000" w:rsidRPr="00000000">
        <w:rPr>
          <w:rtl w:val="0"/>
        </w:rPr>
      </w:r>
    </w:p>
    <w:p w:rsidR="00000000" w:rsidDel="00000000" w:rsidP="00000000" w:rsidRDefault="00000000" w:rsidRPr="00000000" w14:paraId="0000002C">
      <w:pPr>
        <w:spacing w:line="360" w:lineRule="auto"/>
        <w:ind w:left="720" w:hanging="720"/>
        <w:jc w:val="both"/>
        <w:rPr/>
      </w:pPr>
      <w:r w:rsidDel="00000000" w:rsidR="00000000" w:rsidRPr="00000000">
        <w:rPr>
          <w:rtl w:val="0"/>
        </w:rPr>
        <w:t xml:space="preserve">The Estate of Gene B. Lokken, et al. v. UnitedHealth Group, Inc., et al., No. 0:23-cv-03514 (D. Minn. Nov. 14, 2023).</w:t>
      </w:r>
    </w:p>
    <w:p w:rsidR="00000000" w:rsidDel="00000000" w:rsidP="00000000" w:rsidRDefault="00000000" w:rsidRPr="00000000" w14:paraId="0000002D">
      <w:pPr>
        <w:spacing w:line="360" w:lineRule="auto"/>
        <w:ind w:left="720" w:hanging="720"/>
        <w:jc w:val="both"/>
        <w:rPr/>
      </w:pPr>
      <w:r w:rsidDel="00000000" w:rsidR="00000000" w:rsidRPr="00000000">
        <w:rPr>
          <w:rtl w:val="0"/>
        </w:rPr>
        <w:t xml:space="preserve">https://www.classaction.org/media/the-estate-of-gene-b-lokken-et-al-v-unitedhealth-group-inc-et-al.pdf</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360" w:lineRule="auto"/>
      <w:jc w:val="right"/>
      <w:rPr/>
    </w:pPr>
    <w:r w:rsidDel="00000000" w:rsidR="00000000" w:rsidRPr="00000000">
      <w:rPr>
        <w:rtl w:val="0"/>
      </w:rPr>
      <w:t xml:space="preserve">Vergara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www.jstor.org/stable/resrep28655.7" TargetMode="Externa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