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5C9A"/>
          <w:sz w:val="18"/>
          <w:szCs w:val="18"/>
        </w:rPr>
        <w:t xml:space="preserve">GESTIÓN LOGÍSTICA · CLASE 4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E2761"/>
          <w:sz w:val="34"/>
          <w:szCs w:val="34"/>
        </w:rPr>
        <w:t xml:space="preserve">Taller Aplicado: Arquitectura IT de la Cadena de Suministro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E5C9A"/>
                <w:sz w:val="15"/>
                <w:szCs w:val="15"/>
              </w:rPr>
              <w:t xml:space="preserve">DURACIÓN</w:t>
            </w:r>
          </w:p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25 minutos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E5C9A"/>
                <w:sz w:val="15"/>
                <w:szCs w:val="15"/>
              </w:rPr>
              <w:t xml:space="preserve">MODALIDAD</w:t>
            </w:r>
          </w:p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Grupal (3–4 personas)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E5C9A"/>
                <w:sz w:val="15"/>
                <w:szCs w:val="15"/>
              </w:rPr>
              <w:t xml:space="preserve">FORMATO</w:t>
            </w:r>
          </w:p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Canvas aplicado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E5C9A"/>
                <w:sz w:val="15"/>
                <w:szCs w:val="15"/>
              </w:rPr>
              <w:t xml:space="preserve">RA VINCULADO</w:t>
            </w:r>
          </w:p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Comprende los sistemas IT y su interrelación</w:t>
            </w:r>
          </w:p>
        </w:tc>
      </w:tr>
    </w:tbl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1. Objetivo de la actividad</w:t>
      </w:r>
    </w:p>
    <w:p>
      <w:pPr>
        <w:spacing w:after="120" w:line="30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Aplicar los conceptos de LIS, ERP, CRM, WMS y TMS/RS revisados en clase para diseñar, en equipo, el flujo de información que permite cumplir un pedido real de exportación, evidenciando el Resultado de Aprendizaje de la sesión.</w:t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2. Distribución del tiempo (25 minutos)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rPr>
          <w:tblHeader/>
        </w:trPr>
        <w:tc>
          <w:tcPr>
            <w:tcW w:type="dxa" w:w="17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77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0–3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Lectura individual del caso y formación de grupos de trabajo.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3–5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Explicación de la consigna y entrega del Canvas de Arquitectura IT.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5–18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Trabajo grupal: los estudiantes completan el Canvas aplicando ERP, CRM, WMS y TMS/RS al caso.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18–23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Plenaria: 2 grupos (al azar) comparten su solución en 2 minutos cada uno.</w:t>
            </w:r>
          </w:p>
        </w:tc>
      </w:tr>
      <w:tr>
        <w:tc>
          <w:tcPr>
            <w:tcW w:type="dxa" w:w="1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23–25 min</w:t>
            </w:r>
          </w:p>
        </w:tc>
        <w:tc>
          <w:tcPr>
            <w:tcW w:type="dxa" w:w="77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33"/>
                <w:sz w:val="19"/>
                <w:szCs w:val="19"/>
              </w:rPr>
              <w:t xml:space="preserve">Cierre docente: retroalimentación breve y conexión con la Clase 5.</w:t>
            </w:r>
          </w:p>
        </w:tc>
      </w:tr>
    </w:tbl>
    <w:p>
      <w:r>
        <w:br w:type="page"/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3. Caso aplicado: Salmones del Sur</w:t>
      </w:r>
    </w:p>
    <w:p>
      <w:pPr>
        <w:spacing w:after="120" w:line="30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Salmones del Sur es una empresa exportadora con centro de cultivo en el Seno de Reloncaví y planta de proceso en Puerto Montt. Un importador de Tokio acaba de confirmar un pedido de 12 toneladas de salmón fresco, con fecha de embarque en 4 días y exigencia de trazabilidad completa por lote.</w:t>
      </w:r>
    </w:p>
    <w:p>
      <w:pPr>
        <w:spacing w:after="120" w:line="30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Actualmente, el área comercial registra el pedido en una planilla, la planta se entera por correo electrónico, la bodega no sabe con certeza cuánto stock cosechado hay disponible y el transporte se coordina por teléfono con el transportista de turno. En la última exportación, esta desconexión provocó un atraso de 6 horas en el embarque.</w:t>
      </w:r>
    </w:p>
    <w:p>
      <w:pPr>
        <w:spacing w:after="120" w:line="30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Su equipo ha sido convocado por la gerencia de operaciones para rediseñar el flujo de información de este pedido, aplicando el ecosistema IT revisado en clase.</w:t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4. Consigna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Reúnanse en grupos de 3 a 4 integrantes.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Completen el Canvas de Arquitectura IT de la página siguiente, respondiendo la pregunta guía de cada sistema en función del caso Salmones del Sur.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Al finalizar, dibujen —en el espacio de ERP— una flecha numerada que muestre la secuencia CRM → ERP → WMS → TMS/RS aplicada al pedido de Tokio.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Designen a un/a integrante para exponer la solución si su grupo es seleccionado en la plenaria.</w:t>
      </w:r>
    </w:p>
    <w:p>
      <w:r>
        <w:br w:type="page"/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5. Canvas de Arquitectura IT Logística</w:t>
      </w:r>
    </w:p>
    <w:p>
      <w:pPr>
        <w:spacing w:after="160" w:line="30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Grupo N°: _______     Integrantes: ______________________________________________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750"/>
        <w:gridCol w:w="3400"/>
        <w:gridCol w:w="2900"/>
      </w:tblGrid>
      <w:tr>
        <w:trPr>
          <w:tblHeader/>
        </w:trPr>
        <w:tc>
          <w:tcPr>
            <w:tcW w:type="dxa" w:w="145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SISTEMA</w:t>
            </w:r>
          </w:p>
        </w:tc>
        <w:tc>
          <w:tcPr>
            <w:tcW w:type="dxa" w:w="175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34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PREGUNTA GUÍA</w:t>
            </w:r>
          </w:p>
        </w:tc>
        <w:tc>
          <w:tcPr>
            <w:tcW w:type="dxa" w:w="29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 DEL GRUPO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8EFFC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LIS</w:t>
            </w:r>
          </w:p>
        </w:tc>
        <w:tc>
          <w:tcPr>
            <w:tcW w:type="dxa" w:w="17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E5C9A"/>
                <w:sz w:val="16"/>
                <w:szCs w:val="16"/>
              </w:rPr>
              <w:t xml:space="preserve">Nivel general</w:t>
            </w:r>
          </w:p>
        </w:tc>
        <w:tc>
          <w:tcPr>
            <w:tcW w:type="dxa" w:w="3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B33"/>
                <w:sz w:val="17"/>
                <w:szCs w:val="17"/>
              </w:rPr>
              <w:t xml:space="preserve">¿Qué información crítica debe fluir entre las áreas de la empresa para que el pedido de Salmones del Sur se cumpla sin errores?</w:t>
            </w:r>
          </w:p>
        </w:tc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8EFFC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CRM</w:t>
            </w:r>
          </w:p>
        </w:tc>
        <w:tc>
          <w:tcPr>
            <w:tcW w:type="dxa" w:w="17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E5C9A"/>
                <w:sz w:val="16"/>
                <w:szCs w:val="16"/>
              </w:rPr>
              <w:t xml:space="preserve">Front Office</w:t>
            </w:r>
          </w:p>
        </w:tc>
        <w:tc>
          <w:tcPr>
            <w:tcW w:type="dxa" w:w="3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B33"/>
                <w:sz w:val="17"/>
                <w:szCs w:val="17"/>
              </w:rPr>
              <w:t xml:space="preserve">¿Qué datos del cliente asiático se deben capturar (volumen, fecha, temperatura de transporte) y cómo activan la producción bajo estrategia Pull?</w:t>
            </w:r>
          </w:p>
        </w:tc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8EFFC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ERP</w:t>
            </w:r>
          </w:p>
        </w:tc>
        <w:tc>
          <w:tcPr>
            <w:tcW w:type="dxa" w:w="17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E5C9A"/>
                <w:sz w:val="16"/>
                <w:szCs w:val="16"/>
              </w:rPr>
              <w:t xml:space="preserve">Back Office</w:t>
            </w:r>
          </w:p>
        </w:tc>
        <w:tc>
          <w:tcPr>
            <w:tcW w:type="dxa" w:w="3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B33"/>
                <w:sz w:val="17"/>
                <w:szCs w:val="17"/>
              </w:rPr>
              <w:t xml:space="preserve">¿Qué módulos y datos maestros deben centralizarse (stock de jaulas cosechadas, órdenes de venta, costos) para que el pedido sea validado?</w:t>
            </w:r>
          </w:p>
        </w:tc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8EFFC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WMS</w:t>
            </w:r>
          </w:p>
        </w:tc>
        <w:tc>
          <w:tcPr>
            <w:tcW w:type="dxa" w:w="17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E5C9A"/>
                <w:sz w:val="16"/>
                <w:szCs w:val="16"/>
              </w:rPr>
              <w:t xml:space="preserve">Ejecución en planta/CD</w:t>
            </w:r>
          </w:p>
        </w:tc>
        <w:tc>
          <w:tcPr>
            <w:tcW w:type="dxa" w:w="3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B33"/>
                <w:sz w:val="17"/>
                <w:szCs w:val="17"/>
              </w:rPr>
              <w:t xml:space="preserve">¿Cómo se ejecuta la recepción, el almacenamiento en frío y el picking del pedido dentro del centro de proceso?</w:t>
            </w:r>
          </w:p>
        </w:tc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E8EFFC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TMS / RS</w:t>
            </w:r>
          </w:p>
        </w:tc>
        <w:tc>
          <w:tcPr>
            <w:tcW w:type="dxa" w:w="17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3E5C9A"/>
                <w:sz w:val="16"/>
                <w:szCs w:val="16"/>
              </w:rPr>
              <w:t xml:space="preserve">Distribución externa</w:t>
            </w:r>
          </w:p>
        </w:tc>
        <w:tc>
          <w:tcPr>
            <w:tcW w:type="dxa" w:w="3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2B2B33"/>
                <w:sz w:val="17"/>
                <w:szCs w:val="17"/>
              </w:rPr>
              <w:t xml:space="preserve">¿Cómo se planifica la ruta y se consolida la carga para cumplir la ventana de embarque al puerto de Puerto Montt?</w:t>
            </w:r>
          </w:p>
        </w:tc>
        <w:tc>
          <w:tcPr>
            <w:tcW w:type="dxa" w:w="29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6. Entregable</w:t>
      </w:r>
    </w:p>
    <w:p>
      <w:pPr>
        <w:spacing w:after="120" w:line="30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Un Canvas completado por grupo (papel, Word o presentación), disponible para compartir en la plenaria de los últimos 5 minutos del taller.</w:t>
      </w:r>
    </w:p>
    <w:p>
      <w:r>
        <w:br w:type="page"/>
      </w:r>
    </w:p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7. Rúbrica de evaluación formativa</w:t>
      </w:r>
    </w:p>
    <w:p>
      <w:pPr>
        <w:spacing w:after="120" w:line="30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Puntaje máximo: 12 puntos. Esta actividad corresponde a una evaluación formativa de taller (20% de la nota final del curso, según lo establecido en el programa).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50"/>
        <w:gridCol w:w="2350"/>
        <w:gridCol w:w="2400"/>
      </w:tblGrid>
      <w:tr>
        <w:trPr>
          <w:tblHeader/>
        </w:trPr>
        <w:tc>
          <w:tcPr>
            <w:tcW w:type="dxa" w:w="2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235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INSUFICIENTE (1 pto)</w:t>
            </w:r>
          </w:p>
        </w:tc>
        <w:tc>
          <w:tcPr>
            <w:tcW w:type="dxa" w:w="235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SUFICIENTE (2 ptos)</w:t>
            </w:r>
          </w:p>
        </w:tc>
        <w:tc>
          <w:tcPr>
            <w:tcW w:type="dxa" w:w="24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DESTACADO (3 ptos)</w:t>
            </w:r>
          </w:p>
        </w:tc>
      </w:tr>
      <w:tr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Identificación de sistemas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Ubica erróneamente 2 o más sistemas (LIS, ERP, CRM, WMS, TMS/RS) en el flujo.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Ubica correctamente la mayoría de los sistemas, con algún error menor.</w:t>
            </w:r>
          </w:p>
        </w:tc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Ubica correctamente los cinco sistemas y su rol específico en el caso.</w:t>
            </w:r>
          </w:p>
        </w:tc>
      </w:tr>
      <w:tr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Coherencia del flujo Pull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La secuencia CRM → ERP → WMS → TMS/RS no es reconocible o está invertida.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La secuencia es correcta pero con conexiones poco justificadas.</w:t>
            </w:r>
          </w:p>
        </w:tc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La secuencia es correcta y cada conexión está justificada con datos del caso.</w:t>
            </w:r>
          </w:p>
        </w:tc>
      </w:tr>
      <w:tr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Aplicación al contexto regional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La respuesta es genérica y no usa datos del caso de salmonicultura.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La respuesta incorpora algunos elementos del caso de forma parcial.</w:t>
            </w:r>
          </w:p>
        </w:tc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6F7FB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La respuesta integra con precisión los elementos productivos y logísticos del caso.</w:t>
            </w:r>
          </w:p>
        </w:tc>
      </w:tr>
      <w:tr>
        <w:tc>
          <w:tcPr>
            <w:tcW w:type="dxa" w:w="20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6"/>
                <w:szCs w:val="16"/>
              </w:rPr>
              <w:t xml:space="preserve">Participación y argumentación grupal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Predomina un solo integrante; no hay argumentación oral en la plenaria.</w:t>
            </w:r>
          </w:p>
        </w:tc>
        <w:tc>
          <w:tcPr>
            <w:tcW w:type="dxa" w:w="235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Participación desigual; argumentación básica en la plenaria.</w:t>
            </w:r>
          </w:p>
        </w:tc>
        <w:tc>
          <w:tcPr>
            <w:tcW w:type="dxa" w:w="2400"/>
            <w:tcBorders>
              <w:top w:val="single" w:color="D9DEEC" w:sz="4"/>
              <w:left w:val="single" w:color="D9DEEC" w:sz="4"/>
              <w:bottom w:val="single" w:color="D9DEEC" w:sz="4"/>
              <w:right w:val="single" w:color="D9DEEC" w:sz="4"/>
            </w:tcBorders>
            <w:shd w:fill="FFFFFF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B2B33"/>
                <w:sz w:val="15"/>
                <w:szCs w:val="15"/>
              </w:rPr>
              <w:t xml:space="preserve">Participación equilibrada y argumentación sólida al compartir en la plenaria.</w:t>
            </w:r>
          </w:p>
        </w:tc>
      </w:tr>
    </w:tbl>
    <w:p>
      <w:pPr>
        <w:pBdr>
          <w:bottom w:val="single" w:color="C9A24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8. Cierre y proyección</w:t>
      </w:r>
    </w:p>
    <w:p>
      <w:pPr>
        <w:spacing w:after="120" w:line="300"/>
      </w:pPr>
      <w:r>
        <w:rPr>
          <w:rFonts w:ascii="Calibri" w:cs="Calibri" w:eastAsia="Calibri" w:hAnsi="Calibri"/>
          <w:color w:val="2B2B33"/>
          <w:sz w:val="21"/>
          <w:szCs w:val="21"/>
        </w:rPr>
        <w:t xml:space="preserve">La solución de este taller será retomada en la Clase 5 para introducir los indicadores KPI y las estrategias Push/Pull aplicadas a la distribución, profundizando en el rol del TMS/RS dentro del mismo caso.</w:t>
      </w:r>
    </w:p>
    <w:p>
      <w:pPr>
        <w:pBdr>
          <w:top w:val="single" w:color="D9DEEC" w:sz="4" w:space="6"/>
        </w:pBdr>
        <w:spacing w:before="300"/>
      </w:pPr>
      <w:r>
        <w:rPr>
          <w:rFonts w:ascii="Calibri" w:cs="Calibri" w:eastAsia="Calibri" w:hAnsi="Calibri"/>
          <w:color w:val="5A5A5A"/>
          <w:sz w:val="15"/>
          <w:szCs w:val="15"/>
        </w:rPr>
        <w:t xml:space="preserve">Gestión Logística · Programa Ingeniería Industrial Advance · Universidad San Sebastián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2026-07-11T00:29:39.039Z</dcterms:created>
  <dcterms:modified xsi:type="dcterms:W3CDTF">2026-07-11T00:29:39.051Z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