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E5C9A"/>
          <w:sz w:val="18"/>
          <w:szCs w:val="18"/>
        </w:rPr>
        <w:t xml:space="preserve">GESTIÓN LOGÍSTICA · CLASE 4 · EVALUACIÓN SUMATIVA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E2761"/>
          <w:sz w:val="34"/>
          <w:szCs w:val="34"/>
        </w:rPr>
        <w:t xml:space="preserve">Taller Sumativo: Diseño de Arquitectura IT Logística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50"/>
      </w:tblGrid>
      <w:tr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E5C9A"/>
                <w:sz w:val="15"/>
                <w:szCs w:val="15"/>
              </w:rPr>
              <w:t xml:space="preserve">DURACIÓN</w:t>
            </w:r>
          </w:p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40 minutos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E5C9A"/>
                <w:sz w:val="15"/>
                <w:szCs w:val="15"/>
              </w:rPr>
              <w:t xml:space="preserve">MODALIDAD</w:t>
            </w:r>
          </w:p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Grupal (3–5 personas)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E5C9A"/>
                <w:sz w:val="15"/>
                <w:szCs w:val="15"/>
              </w:rPr>
              <w:t xml:space="preserve">TIPO DE EVALUACIÓN</w:t>
            </w:r>
          </w:p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Taller sumativo (calificado)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E5C9A"/>
                <w:sz w:val="15"/>
                <w:szCs w:val="15"/>
              </w:rPr>
              <w:t xml:space="preserve">PUNTAJE TOTAL</w:t>
            </w:r>
          </w:p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30 puntos</w:t>
            </w:r>
          </w:p>
        </w:tc>
      </w:tr>
    </w:tbl>
    <w:p>
      <w:pPr>
        <w:pBdr>
          <w:bottom w:val="single" w:color="C9A24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1. Instrucciones generales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Este taller es grupal, calificado y se realiza íntegramente en clase. Duración máxima: 40 minutos.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Formen grupos de 3 a 5 integrantes. Todos los integrantes reciben la misma nota, salvo que la declaración de contribución grupal (sección 6) evidencie una participación desequilibrada.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El taller consta de tres partes: (I) diagrama de arquitectura IT, (II) preguntas de aplicación conceptual y (III) propuesta de mejora.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Utilicen los conceptos revisados en la Clase 4: LIS, macroprocesos (CRM, ISCM, SRM), ERP, WMS y TMS/RS.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El entregable debe presentarse en este mismo documento (impreso o digital) al finalizar el tiempo asignado.</w:t>
      </w:r>
    </w:p>
    <w:p>
      <w:pPr>
        <w:pBdr>
          <w:bottom w:val="single" w:color="C9A24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2. Distribución del tiempo (40 minutos)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rPr>
          <w:tblHeader/>
        </w:trPr>
        <w:tc>
          <w:tcPr>
            <w:tcW w:type="dxa" w:w="17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type="dxa" w:w="77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</w:tr>
      <w:tr>
        <w:tc>
          <w:tcPr>
            <w:tcW w:type="dxa" w:w="1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0–3 min</w:t>
            </w:r>
          </w:p>
        </w:tc>
        <w:tc>
          <w:tcPr>
            <w:tcW w:type="dxa" w:w="7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Formación de grupos, lectura del caso y presentación de instrucciones.</w:t>
            </w:r>
          </w:p>
        </w:tc>
      </w:tr>
      <w:tr>
        <w:tc>
          <w:tcPr>
            <w:tcW w:type="dxa" w:w="1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3–25 min</w:t>
            </w:r>
          </w:p>
        </w:tc>
        <w:tc>
          <w:tcPr>
            <w:tcW w:type="dxa" w:w="7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Trabajo grupal: elaboración del diagrama de arquitectura IT y respuesta a las preguntas de aplicación.</w:t>
            </w:r>
          </w:p>
        </w:tc>
      </w:tr>
      <w:tr>
        <w:tc>
          <w:tcPr>
            <w:tcW w:type="dxa" w:w="1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25–33 min</w:t>
            </w:r>
          </w:p>
        </w:tc>
        <w:tc>
          <w:tcPr>
            <w:tcW w:type="dxa" w:w="7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Redacción de la propuesta de mejora y revisión final del entregable.</w:t>
            </w:r>
          </w:p>
        </w:tc>
      </w:tr>
      <w:tr>
        <w:tc>
          <w:tcPr>
            <w:tcW w:type="dxa" w:w="1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33–38 min</w:t>
            </w:r>
          </w:p>
        </w:tc>
        <w:tc>
          <w:tcPr>
            <w:tcW w:type="dxa" w:w="7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Entrega del taller y declaración de contribución grupal.</w:t>
            </w:r>
          </w:p>
        </w:tc>
      </w:tr>
      <w:tr>
        <w:tc>
          <w:tcPr>
            <w:tcW w:type="dxa" w:w="1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38–40 min</w:t>
            </w:r>
          </w:p>
        </w:tc>
        <w:tc>
          <w:tcPr>
            <w:tcW w:type="dxa" w:w="7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Cierre docente: síntesis de la sesión y próximos pasos.</w:t>
            </w:r>
          </w:p>
        </w:tc>
      </w:tr>
    </w:tbl>
    <w:p>
      <w:r>
        <w:br w:type="page"/>
      </w:r>
    </w:p>
    <w:p>
      <w:pPr>
        <w:pBdr>
          <w:bottom w:val="single" w:color="C9A24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3. Caso aplicado: AquaFeed Los Lagos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B2B33"/>
          <w:sz w:val="21"/>
          <w:szCs w:val="21"/>
        </w:rPr>
        <w:t xml:space="preserve">AquaFeed Los Lagos es una empresa que produce y distribuye alimento para salmónidos a 18 centros de cultivo ubicados entre las regiones de Los Lagos y Aysén. Cada centro realiza pedidos semanales de distinto volumen según la biomasa en engorda, y la empresa despacha desde una planta productora en Calbuco y dos bodegas satélite.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B2B33"/>
          <w:sz w:val="21"/>
          <w:szCs w:val="21"/>
        </w:rPr>
        <w:t xml:space="preserve">En el último trimestre, tres centros de cultivo reportaron quiebres de stock que obligaron a suspender la alimentación por más de 12 horas, mientras que otros centros recibieron excedentes que debieron devolverse. La investigación interna reveló que el área comercial toma los pedidos por WhatsApp y planillas propias, la planta programa la producción con información desactualizada del inventario, la bodega no tiene visibilidad de qué pedidos están confirmados, y el transporte se organiza día a día sin optimización de rutas entre los 18 centros.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B2B33"/>
          <w:sz w:val="21"/>
          <w:szCs w:val="21"/>
        </w:rPr>
        <w:t xml:space="preserve">La gerencia general ha contratado a su equipo como consultores para diseñar la arquitectura de sistemas de información que permita resolver esta desconexión, aplicando el modelo de LIS revisado en clase.</w:t>
      </w:r>
    </w:p>
    <w:p>
      <w:pPr>
        <w:pBdr>
          <w:bottom w:val="single" w:color="C9A24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4. Parte I — Diagrama de arquitectura IT (18 pts)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B2B33"/>
          <w:sz w:val="21"/>
          <w:szCs w:val="21"/>
        </w:rPr>
        <w:t xml:space="preserve">Elaboren un diagrama que muestre la secuencia de sistemas CRM → ERP → WMS → TMS/RS aplicada al caso de AquaFeed Los Lagos. Para cada conexión, indiquen explícitamente qué información viaja de un sistema a otro (por ejemplo: pedido confirmado, disponibilidad de stock, orden de picking, ruta asignada).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rPr>
          <w:trHeight w:val="3200" w:hRule="atLeast"/>
        </w:trPr>
        <w:tc>
          <w:tcPr>
            <w:tcW w:type="dxa" w:w="9400"/>
            <w:tcBorders>
              <w:top w:val="dashed" w:color="AEB9E4" w:sz="6"/>
              <w:left w:val="dashed" w:color="AEB9E4" w:sz="6"/>
              <w:bottom w:val="dashed" w:color="AEB9E4" w:sz="6"/>
              <w:right w:val="dashed" w:color="AEB9E4" w:sz="6"/>
            </w:tcBorders>
            <w:shd w:fill="FCFCFE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AA3C2"/>
                <w:sz w:val="19"/>
                <w:szCs w:val="19"/>
              </w:rPr>
              <w:t xml:space="preserve">Espacio para el diagrama de flujo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color w:val="B7BFDA"/>
                <w:sz w:val="16"/>
                <w:szCs w:val="16"/>
              </w:rPr>
              <w:t xml:space="preserve">(dibuje o describa la secuencia CRM → ERP → WMS → TMS/RS aplicada al caso, indicando qué información viaja en cada conexión)</w:t>
            </w:r>
          </w:p>
        </w:tc>
      </w:tr>
    </w:tbl>
    <w:p>
      <w:r>
        <w:br w:type="page"/>
      </w:r>
    </w:p>
    <w:p>
      <w:pPr>
        <w:pBdr>
          <w:bottom w:val="single" w:color="C9A24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5. Parte II — Preguntas de aplicación conceptual (6 pts)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B2B33"/>
          <w:sz w:val="21"/>
          <w:szCs w:val="21"/>
        </w:rPr>
        <w:t xml:space="preserve">Respondan de forma grupal y fundamentada, utilizando datos del caso cuando corresponda.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Explique la diferencia entre el rol del ERP y el rol del WMS dentro de la arquitectura del LIS, aplicándolo a AquaFeed Los Lagos.</w:t>
      </w:r>
    </w:p>
    <w:p>
      <w:pPr>
        <w:pBdr>
          <w:bottom w:val="single" w:color="C7CEDF" w:sz="2" w:space="1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7CEDF" w:sz="2" w:space="1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¿Por qué la conexión CRM → ERP activa una estrategia Pull? Fundamente con un ejemplo del caso.</w:t>
      </w:r>
    </w:p>
    <w:p>
      <w:pPr>
        <w:pBdr>
          <w:bottom w:val="single" w:color="C7CEDF" w:sz="2" w:space="1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7CEDF" w:sz="2" w:space="1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Ubiquen el macroproceso ISCM en el caso: ¿qué decisiones internas de AquaFeed dependen de este macroproceso?</w:t>
      </w:r>
    </w:p>
    <w:p>
      <w:pPr>
        <w:pBdr>
          <w:bottom w:val="single" w:color="C7CEDF" w:sz="2" w:space="1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7CEDF" w:sz="2" w:space="1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¿Qué rol cumpliría un Sistema de Ruteo (RS) para resolver el problema de despacho a los 18 centros de cultivo?</w:t>
      </w:r>
    </w:p>
    <w:p>
      <w:pPr>
        <w:pBdr>
          <w:bottom w:val="single" w:color="C7CEDF" w:sz="2" w:space="1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7CEDF" w:sz="2" w:space="1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Mencionen y expliquen dos desventajas de implementar un ERP en una empresa del tamaño de AquaFeed Los Lagos.</w:t>
      </w:r>
    </w:p>
    <w:p>
      <w:pPr>
        <w:pBdr>
          <w:bottom w:val="single" w:color="C7CEDF" w:sz="2" w:space="1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7CEDF" w:sz="2" w:space="1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A24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6. Parte III — Propuesta de mejora (4 pts)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B2B33"/>
          <w:sz w:val="21"/>
          <w:szCs w:val="21"/>
        </w:rPr>
        <w:t xml:space="preserve">Identifiquen dos riesgos u oportunidades de mejora detectados en el caso y propongan, para cada uno, una solución basada en los sistemas IT revisados en clase.</w:t>
      </w:r>
    </w:p>
    <w:p>
      <w:pPr>
        <w:pBdr>
          <w:bottom w:val="single" w:color="C7CEDF" w:sz="2" w:space="1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7CEDF" w:sz="2" w:space="1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7CEDF" w:sz="2" w:space="1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7CEDF" w:sz="2" w:space="1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r>
        <w:br w:type="page"/>
      </w:r>
    </w:p>
    <w:p>
      <w:pPr>
        <w:pBdr>
          <w:bottom w:val="single" w:color="C9A24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7. Declaración de contribución grupal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B2B33"/>
          <w:sz w:val="21"/>
          <w:szCs w:val="21"/>
        </w:rPr>
        <w:t xml:space="preserve">Registren a los integrantes del grupo y su aporte principal. Esta declaración podrá utilizarse para ajustar la calificación individual en caso de participación desequilibrada.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600"/>
      </w:tblGrid>
      <w:tr>
        <w:trPr>
          <w:tblHeader/>
        </w:trPr>
        <w:tc>
          <w:tcPr>
            <w:tcW w:type="dxa" w:w="36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INTEGRANTE</w:t>
            </w:r>
          </w:p>
        </w:tc>
        <w:tc>
          <w:tcPr>
            <w:tcW w:type="dxa" w:w="32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 / APORTE PRINCIPAL</w:t>
            </w:r>
          </w:p>
        </w:tc>
        <w:tc>
          <w:tcPr>
            <w:tcW w:type="dxa" w:w="26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FIRMA O VISTO BUENO</w:t>
            </w:r>
          </w:p>
        </w:tc>
      </w:tr>
      <w:tr>
        <w:tc>
          <w:tcPr>
            <w:tcW w:type="dxa" w:w="3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60"/>
              <w:left w:type="dxa" w:w="110"/>
              <w:bottom w:type="dxa" w:w="1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3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60"/>
              <w:left w:type="dxa" w:w="110"/>
              <w:bottom w:type="dxa" w:w="1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60"/>
              <w:left w:type="dxa" w:w="110"/>
              <w:bottom w:type="dxa" w:w="1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60"/>
              <w:left w:type="dxa" w:w="110"/>
              <w:bottom w:type="dxa" w:w="1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3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60"/>
              <w:left w:type="dxa" w:w="110"/>
              <w:bottom w:type="dxa" w:w="1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60"/>
              <w:left w:type="dxa" w:w="110"/>
              <w:bottom w:type="dxa" w:w="1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60"/>
              <w:left w:type="dxa" w:w="110"/>
              <w:bottom w:type="dxa" w:w="1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3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60"/>
              <w:left w:type="dxa" w:w="110"/>
              <w:bottom w:type="dxa" w:w="1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60"/>
              <w:left w:type="dxa" w:w="110"/>
              <w:bottom w:type="dxa" w:w="1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60"/>
              <w:left w:type="dxa" w:w="110"/>
              <w:bottom w:type="dxa" w:w="1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3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60"/>
              <w:left w:type="dxa" w:w="110"/>
              <w:bottom w:type="dxa" w:w="1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60"/>
              <w:left w:type="dxa" w:w="110"/>
              <w:bottom w:type="dxa" w:w="1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60"/>
              <w:left w:type="dxa" w:w="110"/>
              <w:bottom w:type="dxa" w:w="1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32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60"/>
              <w:left w:type="dxa" w:w="110"/>
              <w:bottom w:type="dxa" w:w="1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60"/>
              <w:left w:type="dxa" w:w="110"/>
              <w:bottom w:type="dxa" w:w="1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C9A24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8. Rúbrica de evaluación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color w:val="2B2B33"/>
          <w:sz w:val="21"/>
          <w:szCs w:val="21"/>
        </w:rPr>
        <w:t xml:space="preserve">Puntaje total: 30 puntos. Exigencia: 60% para la nota mínima de aprobación (4,0).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75"/>
        <w:gridCol w:w="1875"/>
        <w:gridCol w:w="1875"/>
        <w:gridCol w:w="1875"/>
      </w:tblGrid>
      <w:tr>
        <w:trPr>
          <w:tblHeader/>
        </w:trPr>
        <w:tc>
          <w:tcPr>
            <w:tcW w:type="dxa" w:w="19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CRITERIO</w:t>
            </w:r>
          </w:p>
        </w:tc>
        <w:tc>
          <w:tcPr>
            <w:tcW w:type="dxa" w:w="1875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INCIPIENTE</w:t>
            </w:r>
          </w:p>
        </w:tc>
        <w:tc>
          <w:tcPr>
            <w:tcW w:type="dxa" w:w="1875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EN DESARROLLO</w:t>
            </w:r>
          </w:p>
        </w:tc>
        <w:tc>
          <w:tcPr>
            <w:tcW w:type="dxa" w:w="1875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LOGRADO</w:t>
            </w:r>
          </w:p>
        </w:tc>
        <w:tc>
          <w:tcPr>
            <w:tcW w:type="dxa" w:w="1875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DESTACADO</w:t>
            </w:r>
          </w:p>
        </w:tc>
      </w:tr>
      <w:tr>
        <w:tc>
          <w:tcPr>
            <w:tcW w:type="dxa" w:w="1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4"/>
                <w:szCs w:val="14"/>
              </w:rPr>
              <w:t xml:space="preserve">Identificación de sistemas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4"/>
                <w:szCs w:val="14"/>
              </w:rPr>
              <w:t xml:space="preserve">(6 pts)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0–1 pt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No identifica o confunde los sistemas del LIS (ERP, CRM, WMS, TMS/RS).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2–3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Identifica algunos sistemas, con errores en su rol o nivel jerárquico.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4–5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Identifica correctamente los cinco sistemas y la mayoría de sus roles.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6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Identifica con precisión los cinco sistemas, su nivel jerárquico (LIS, macroprocesos, ejecución) y su rol específico.</w:t>
            </w:r>
          </w:p>
        </w:tc>
      </w:tr>
      <w:tr>
        <w:tc>
          <w:tcPr>
            <w:tcW w:type="dxa" w:w="1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4"/>
                <w:szCs w:val="14"/>
              </w:rPr>
              <w:t xml:space="preserve">Diagrama del flujo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4"/>
                <w:szCs w:val="14"/>
              </w:rPr>
              <w:t xml:space="preserve">de información (6 pts)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0–1 pt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No presenta diagrama o la secuencia es incorrecta.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2–3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La secuencia general es correcta, pero no se explicita qué información fluye entre sistemas.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4–5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La secuencia Pull (CRM→ERP→WMS→TMS/RS) es correcta y se explicita el tipo de información en la mayoría de las conexiones.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6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La secuencia es correcta, completa y cada conexión detalla con precisión el tipo de información que fluye.</w:t>
            </w:r>
          </w:p>
        </w:tc>
      </w:tr>
      <w:tr>
        <w:tc>
          <w:tcPr>
            <w:tcW w:type="dxa" w:w="1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4"/>
                <w:szCs w:val="14"/>
              </w:rPr>
              <w:t xml:space="preserve">Aplicación al caso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4"/>
                <w:szCs w:val="14"/>
              </w:rPr>
              <w:t xml:space="preserve">AquaFeed (6 pts)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0–1 pt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La respuesta es genérica; no usa datos del caso.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2–3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Usa algunos datos del caso, de forma parcial o superficial.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4–5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Integra la mayoría de los elementos productivos y logísticos relevantes del caso.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6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Integra con precisión y pertinencia todos los elementos relevantes del caso en su análisis.</w:t>
            </w:r>
          </w:p>
        </w:tc>
      </w:tr>
      <w:tr>
        <w:tc>
          <w:tcPr>
            <w:tcW w:type="dxa" w:w="1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4"/>
                <w:szCs w:val="14"/>
              </w:rPr>
              <w:t xml:space="preserve">Preguntas de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4"/>
                <w:szCs w:val="14"/>
              </w:rPr>
              <w:t xml:space="preserve">aplicación conceptual (6 pts)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0–1 pt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Responde menos de 2 preguntas o con errores conceptuales graves.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2–3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Responde la mayoría de las preguntas, con fundamentación básica.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4–5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Responde todas las preguntas con fundamentación adecuada.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6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Responde todas las preguntas con fundamentación sólida y ejemplos del caso.</w:t>
            </w:r>
          </w:p>
        </w:tc>
      </w:tr>
      <w:tr>
        <w:tc>
          <w:tcPr>
            <w:tcW w:type="dxa" w:w="1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4"/>
                <w:szCs w:val="14"/>
              </w:rPr>
              <w:t xml:space="preserve">Propuesta de mejora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4"/>
                <w:szCs w:val="14"/>
              </w:rPr>
              <w:t xml:space="preserve">y riesgos (4 pts)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0–1 pt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No identifica riesgos ni propone mejoras, o son inconsistentes.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1–2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Identifica un riesgo y una mejora, con justificación limitada.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3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Identifica dos riesgos y dos mejoras coherentes con el caso.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4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Identifica riesgos y mejoras pertinentes, viables y bien argumentadas.</w:t>
            </w:r>
          </w:p>
        </w:tc>
      </w:tr>
      <w:tr>
        <w:tc>
          <w:tcPr>
            <w:tcW w:type="dxa" w:w="1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4"/>
                <w:szCs w:val="14"/>
              </w:rPr>
              <w:t xml:space="preserve">Redacción y trabajo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4"/>
                <w:szCs w:val="14"/>
              </w:rPr>
              <w:t xml:space="preserve">colaborativo (2 pts)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0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Redacción confusa; sin evidencia de trabajo conjunto.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0,5–1 pt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Redacción clara en general; participación desigual entre integrantes.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1,5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Redacción clara y ordenada; participación equilibrada.</w:t>
            </w:r>
          </w:p>
        </w:tc>
        <w:tc>
          <w:tcPr>
            <w:tcW w:type="dxa" w:w="1875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B2B33"/>
                <w:sz w:val="14"/>
                <w:szCs w:val="14"/>
              </w:rPr>
              <w:t xml:space="preserve">2 pts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4"/>
                <w:szCs w:val="14"/>
              </w:rPr>
              <w:t xml:space="preserve">Redacción clara, formal y ordenada; participación equilibrada y declarada por el grupo.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Tabla de conversión a escala de nota (1,0 – 7,0)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50"/>
      </w:tblGrid>
      <w:tr>
        <w:trPr>
          <w:tblHeader/>
        </w:trPr>
        <w:tc>
          <w:tcPr>
            <w:tcW w:type="dxa" w:w="235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PUNTAJE</w:t>
            </w:r>
          </w:p>
        </w:tc>
        <w:tc>
          <w:tcPr>
            <w:tcW w:type="dxa" w:w="235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NOTA</w:t>
            </w:r>
          </w:p>
        </w:tc>
        <w:tc>
          <w:tcPr>
            <w:tcW w:type="dxa" w:w="235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PUNTAJE</w:t>
            </w:r>
          </w:p>
        </w:tc>
        <w:tc>
          <w:tcPr>
            <w:tcW w:type="dxa" w:w="235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NOTA</w:t>
            </w:r>
          </w:p>
        </w:tc>
      </w:tr>
      <w:tr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7"/>
                <w:szCs w:val="17"/>
              </w:rPr>
              <w:t xml:space="preserve">0 pts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1,0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7"/>
                <w:szCs w:val="17"/>
              </w:rPr>
              <w:t xml:space="preserve">18 pts (60%)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4,0</w:t>
            </w:r>
          </w:p>
        </w:tc>
      </w:tr>
      <w:tr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7"/>
                <w:szCs w:val="17"/>
              </w:rPr>
              <w:t xml:space="preserve">3 pts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1,5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7"/>
                <w:szCs w:val="17"/>
              </w:rPr>
              <w:t xml:space="preserve">21 pts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4,8</w:t>
            </w:r>
          </w:p>
        </w:tc>
      </w:tr>
      <w:tr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7"/>
                <w:szCs w:val="17"/>
              </w:rPr>
              <w:t xml:space="preserve">6 pts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2,0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7"/>
                <w:szCs w:val="17"/>
              </w:rPr>
              <w:t xml:space="preserve">24 pts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5,5</w:t>
            </w:r>
          </w:p>
        </w:tc>
      </w:tr>
      <w:tr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7"/>
                <w:szCs w:val="17"/>
              </w:rPr>
              <w:t xml:space="preserve">9 pts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2,5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7"/>
                <w:szCs w:val="17"/>
              </w:rPr>
              <w:t xml:space="preserve">27 pts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6,3</w:t>
            </w:r>
          </w:p>
        </w:tc>
      </w:tr>
      <w:tr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7"/>
                <w:szCs w:val="17"/>
              </w:rPr>
              <w:t xml:space="preserve">12 pts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3,0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7"/>
                <w:szCs w:val="17"/>
              </w:rPr>
              <w:t xml:space="preserve">30 pts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7,0</w:t>
            </w:r>
          </w:p>
        </w:tc>
      </w:tr>
      <w:tr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7"/>
                <w:szCs w:val="17"/>
              </w:rPr>
              <w:t xml:space="preserve">15 pts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3,5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33"/>
                <w:sz w:val="17"/>
                <w:szCs w:val="17"/>
              </w:rPr>
              <w:t xml:space="preserve"/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/>
            </w:r>
          </w:p>
        </w:tc>
      </w:tr>
    </w:tbl>
    <w:p>
      <w:pPr>
        <w:pBdr>
          <w:top w:val="single" w:color="D9DEEC" w:sz="4" w:space="6"/>
        </w:pBdr>
        <w:spacing w:before="300"/>
      </w:pPr>
      <w:r>
        <w:rPr>
          <w:rFonts w:ascii="Calibri" w:cs="Calibri" w:eastAsia="Calibri" w:hAnsi="Calibri"/>
          <w:color w:val="5A5A5A"/>
          <w:sz w:val="15"/>
          <w:szCs w:val="15"/>
        </w:rPr>
        <w:t xml:space="preserve">Gestión Logística · Programa Ingeniería Industrial Advance · Universidad San Sebastián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4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2026-07-11T00:35:19.603Z</dcterms:created>
  <dcterms:modified xsi:type="dcterms:W3CDTF">2026-07-11T00:35:19.616Z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