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KEY FACTS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Mostly used to generate electricity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Fastest growing segment of all renewable energy sources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Favourable climate conditions in Europe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 pollution-free energy source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EUROPEAN TARGETS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48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In 2020, 230 GW installed wind capacity in Europe: 190 GW onshore and 40 GW offshore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48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In 2030, 400 GW installed wind capacity in Europe: 250 GW onshore and 150 GW offshore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INVESTMENT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€11 billion invested in wind turbines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Saved fuel costs of €5.4 billion</w:t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Avoided CO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 costs of €2.275 billion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CO2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  <w:vertAlign w:val="subscript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Avoided 91 million tonnes of CO</w:t>
      </w: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Equivalent of taking 46 million cars off the roads</w:t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Equal to 27% of the EU-15s Kyoto obligation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GROWTH PREDICTIONS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48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China will be the fastest growing market</w:t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448" w:firstLine="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Asia will overtake Europe as the region with the largest capacity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PRODUCTION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142,000,000,000 kWh of electricity produced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Equal to 4.2% of EU’s electricity demand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hanging="450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0"/>
          <w:sz w:val="28"/>
          <w:szCs w:val="28"/>
          <w:rtl w:val="0"/>
        </w:rPr>
        <w:t xml:space="preserve">Equivalent to the needs of 35 million EU households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540" w:hanging="540"/>
      <w:jc w:val="center"/>
    </w:pPr>
    <w:rPr>
      <w:rFonts w:ascii="Cambria" w:cs="Cambria" w:eastAsia="Cambria" w:hAnsi="Cambria"/>
      <w:i w:val="1"/>
      <w:smallCaps w:val="0"/>
      <w:color w:val="548dd4"/>
      <w:sz w:val="72"/>
      <w:szCs w:val="7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170" w:hanging="450"/>
    </w:pPr>
    <w:rPr>
      <w:rFonts w:ascii="Calibri" w:cs="Calibri" w:eastAsia="Calibri" w:hAnsi="Calibri"/>
      <w:smallCaps w:val="0"/>
      <w:sz w:val="56"/>
      <w:szCs w:val="56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