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Eaton Corporation plc (ETN) Visual Equity Report</w:t>
      </w:r>
    </w:p>
    <w:p>
      <w:pPr>
        <w:jc w:val="center"/>
      </w:pPr>
      <w:r>
        <w:rPr>
          <w:i/>
          <w:sz w:val="20"/>
        </w:rPr>
        <w:t>ETN visual equity report core generated from the tightened multi-format Veritas workflow.</w:t>
      </w:r>
    </w:p>
    <w:p>
      <w:r>
        <w:rPr>
          <w:b/>
        </w:rPr>
        <w:t>VERITAS ALERT: ETN closed at $423.92 on 2026-04-24. 20-day / 50-day / 200-day levels are $389.29 / $375.64 / $361.22. Current status: PULLBACK ONLY. Trend quality is strong, but price is pressing highs and current entry quality is poor. Wait for a disciplined pullback or a better-defined reset.</w:t>
      </w:r>
    </w:p>
    <w:p>
      <w:pPr>
        <w:pStyle w:val="Heading1"/>
      </w:pPr>
      <w:r>
        <w:t>1. Executive Summary</w:t>
      </w:r>
    </w:p>
    <w:p>
      <w:r>
        <w:t>Eaton Corporation plc is a real institutional-quality company in Industrials / Specialty Industrial Machinery, with market capitalization of $164.5B, forward earnings multiple of 27.4, and analyst support that still leans constructive. The name remains worth covering even when the current setup is not clean enough to buy.</w:t>
      </w:r>
    </w:p>
    <w:p>
      <w:r>
        <w:t>At the market level, ETN closed at $423.92, with recent support near $343.53, resistance near $424.50, and a 52-week range of $275.98 to $432.34. Consensus target sits at $412.95, implying -2.6% from the current price.</w:t>
      </w:r>
    </w:p>
    <w:p>
      <w:r>
        <w:t>The right current interpretation is PULLBACK ONLY. Trend quality is strong, but price is pressing highs and current entry quality is poor. Wait for a disciplined pullback or a better-defined reset. This report therefore emphasizes a clean company snapshot, visual price context, real annual financial history, and a simple action view rather than padding the output with generic commentary.</w:t>
      </w:r>
    </w:p>
    <w:p>
      <w:pPr>
        <w:pStyle w:val="Heading1"/>
      </w:pPr>
      <w:r>
        <w:t>2. Company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Ticker</w:t>
            </w:r>
          </w:p>
        </w:tc>
        <w:tc>
          <w:tcPr>
            <w:tcW w:type="dxa" w:w="4320"/>
          </w:tcPr>
          <w:p>
            <w:r>
              <w:t>ETN (NYSE)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Eaton Corporation plc</w:t>
            </w:r>
          </w:p>
        </w:tc>
      </w:tr>
      <w:tr>
        <w:tc>
          <w:tcPr>
            <w:tcW w:type="dxa" w:w="4320"/>
          </w:tcPr>
          <w:p>
            <w:r>
              <w:t>Sector / industry</w:t>
            </w:r>
          </w:p>
        </w:tc>
        <w:tc>
          <w:tcPr>
            <w:tcW w:type="dxa" w:w="4320"/>
          </w:tcPr>
          <w:p>
            <w:r>
              <w:t>Industrials / Specialty Industrial Machinery</w:t>
            </w:r>
          </w:p>
        </w:tc>
      </w:tr>
      <w:tr>
        <w:tc>
          <w:tcPr>
            <w:tcW w:type="dxa" w:w="4320"/>
          </w:tcPr>
          <w:p>
            <w:r>
              <w:t>Market cap</w:t>
            </w:r>
          </w:p>
        </w:tc>
        <w:tc>
          <w:tcPr>
            <w:tcW w:type="dxa" w:w="4320"/>
          </w:tcPr>
          <w:p>
            <w:r>
              <w:t>$164.5B</w:t>
            </w:r>
          </w:p>
        </w:tc>
      </w:tr>
      <w:tr>
        <w:tc>
          <w:tcPr>
            <w:tcW w:type="dxa" w:w="4320"/>
          </w:tcPr>
          <w:p>
            <w:r>
              <w:t>Enterprise value</w:t>
            </w:r>
          </w:p>
        </w:tc>
        <w:tc>
          <w:tcPr>
            <w:tcW w:type="dxa" w:w="4320"/>
          </w:tcPr>
          <w:p>
            <w:r>
              <w:t>$174.4B</w:t>
            </w:r>
          </w:p>
        </w:tc>
      </w:tr>
      <w:tr>
        <w:tc>
          <w:tcPr>
            <w:tcW w:type="dxa" w:w="4320"/>
          </w:tcPr>
          <w:p>
            <w:r>
              <w:t>Employees</w:t>
            </w:r>
          </w:p>
        </w:tc>
        <w:tc>
          <w:tcPr>
            <w:tcW w:type="dxa" w:w="4320"/>
          </w:tcPr>
          <w:p>
            <w:r>
              <w:t>97,303</w:t>
            </w:r>
          </w:p>
        </w:tc>
      </w:tr>
      <w:tr>
        <w:tc>
          <w:tcPr>
            <w:tcW w:type="dxa" w:w="4320"/>
          </w:tcPr>
          <w:p>
            <w:r>
              <w:t>Dividend yield</w:t>
            </w:r>
          </w:p>
        </w:tc>
        <w:tc>
          <w:tcPr>
            <w:tcW w:type="dxa" w:w="4320"/>
          </w:tcPr>
          <w:p>
            <w:r>
              <w:t>1.0%</w:t>
            </w:r>
          </w:p>
        </w:tc>
      </w:tr>
      <w:tr>
        <w:tc>
          <w:tcPr>
            <w:tcW w:type="dxa" w:w="4320"/>
          </w:tcPr>
          <w:p>
            <w:r>
              <w:t>Analyst rating</w:t>
            </w:r>
          </w:p>
        </w:tc>
        <w:tc>
          <w:tcPr>
            <w:tcW w:type="dxa" w:w="4320"/>
          </w:tcPr>
          <w:p>
            <w:r>
              <w:t>1.7 - Buy</w:t>
            </w:r>
          </w:p>
        </w:tc>
      </w:tr>
      <w:tr>
        <w:tc>
          <w:tcPr>
            <w:tcW w:type="dxa" w:w="4320"/>
          </w:tcPr>
          <w:p>
            <w:r>
              <w:t>Consensus target</w:t>
            </w:r>
          </w:p>
        </w:tc>
        <w:tc>
          <w:tcPr>
            <w:tcW w:type="dxa" w:w="4320"/>
          </w:tcPr>
          <w:p>
            <w:r>
              <w:t>$412.95</w:t>
            </w:r>
          </w:p>
        </w:tc>
      </w:tr>
      <w:tr>
        <w:tc>
          <w:tcPr>
            <w:tcW w:type="dxa" w:w="4320"/>
          </w:tcPr>
          <w:p>
            <w:r>
              <w:t>Current status</w:t>
            </w:r>
          </w:p>
        </w:tc>
        <w:tc>
          <w:tcPr>
            <w:tcW w:type="dxa" w:w="4320"/>
          </w:tcPr>
          <w:p>
            <w:r>
              <w:t>PULLBACK ONLY</w:t>
            </w:r>
          </w:p>
        </w:tc>
      </w:tr>
    </w:tbl>
    <w:p>
      <w:pPr>
        <w:pStyle w:val="Heading1"/>
      </w:pPr>
      <w:r>
        <w:t>3. Visual Snapshot</w:t>
      </w:r>
    </w:p>
    <w:p>
      <w:r>
        <w:drawing>
          <wp:inline xmlns:a="http://schemas.openxmlformats.org/drawingml/2006/main" xmlns:pic="http://schemas.openxmlformats.org/drawingml/2006/picture">
            <wp:extent cx="6126480" cy="3099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n-price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Historical Trend</w:t>
      </w:r>
    </w:p>
    <w:p>
      <w:r>
        <w:drawing>
          <wp:inline xmlns:a="http://schemas.openxmlformats.org/drawingml/2006/main" xmlns:pic="http://schemas.openxmlformats.org/drawingml/2006/picture">
            <wp:extent cx="6126480" cy="27388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n-history-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3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Valuation and Quality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$27.4B</w:t>
            </w:r>
          </w:p>
        </w:tc>
      </w:tr>
      <w:tr>
        <w:tc>
          <w:tcPr>
            <w:tcW w:type="dxa" w:w="4320"/>
          </w:tcPr>
          <w:p>
            <w:r>
              <w:t>Free cash flow</w:t>
            </w:r>
          </w:p>
        </w:tc>
        <w:tc>
          <w:tcPr>
            <w:tcW w:type="dxa" w:w="4320"/>
          </w:tcPr>
          <w:p>
            <w:r>
              <w:t>$2.6B</w:t>
            </w:r>
          </w:p>
        </w:tc>
      </w:tr>
      <w:tr>
        <w:tc>
          <w:tcPr>
            <w:tcW w:type="dxa" w:w="4320"/>
          </w:tcPr>
          <w:p>
            <w:r>
              <w:t>Operating cash flow</w:t>
            </w:r>
          </w:p>
        </w:tc>
        <w:tc>
          <w:tcPr>
            <w:tcW w:type="dxa" w:w="4320"/>
          </w:tcPr>
          <w:p>
            <w:r>
              <w:t>$4.5B</w:t>
            </w:r>
          </w:p>
        </w:tc>
      </w:tr>
      <w:tr>
        <w:tc>
          <w:tcPr>
            <w:tcW w:type="dxa" w:w="4320"/>
          </w:tcPr>
          <w:p>
            <w:r>
              <w:t>Trailing P/E</w:t>
            </w:r>
          </w:p>
        </w:tc>
        <w:tc>
          <w:tcPr>
            <w:tcW w:type="dxa" w:w="4320"/>
          </w:tcPr>
          <w:p>
            <w:r>
              <w:t>40.5</w:t>
            </w:r>
          </w:p>
        </w:tc>
      </w:tr>
      <w:tr>
        <w:tc>
          <w:tcPr>
            <w:tcW w:type="dxa" w:w="4320"/>
          </w:tcPr>
          <w:p>
            <w:r>
              <w:t>Forward P/E</w:t>
            </w:r>
          </w:p>
        </w:tc>
        <w:tc>
          <w:tcPr>
            <w:tcW w:type="dxa" w:w="4320"/>
          </w:tcPr>
          <w:p>
            <w:r>
              <w:t>27.4</w:t>
            </w:r>
          </w:p>
        </w:tc>
      </w:tr>
      <w:tr>
        <w:tc>
          <w:tcPr>
            <w:tcW w:type="dxa" w:w="4320"/>
          </w:tcPr>
          <w:p>
            <w:r>
              <w:t>Price / Sales</w:t>
            </w:r>
          </w:p>
        </w:tc>
        <w:tc>
          <w:tcPr>
            <w:tcW w:type="dxa" w:w="4320"/>
          </w:tcPr>
          <w:p>
            <w:r>
              <w:t>5.99</w:t>
            </w:r>
          </w:p>
        </w:tc>
      </w:tr>
      <w:tr>
        <w:tc>
          <w:tcPr>
            <w:tcW w:type="dxa" w:w="4320"/>
          </w:tcPr>
          <w:p>
            <w:r>
              <w:t>Price / Book</w:t>
            </w:r>
          </w:p>
        </w:tc>
        <w:tc>
          <w:tcPr>
            <w:tcW w:type="dxa" w:w="4320"/>
          </w:tcPr>
          <w:p>
            <w:r>
              <w:t>8.47</w:t>
            </w:r>
          </w:p>
        </w:tc>
      </w:tr>
      <w:tr>
        <w:tc>
          <w:tcPr>
            <w:tcW w:type="dxa" w:w="4320"/>
          </w:tcPr>
          <w:p>
            <w:r>
              <w:t>Profit margin</w:t>
            </w:r>
          </w:p>
        </w:tc>
        <w:tc>
          <w:tcPr>
            <w:tcW w:type="dxa" w:w="4320"/>
          </w:tcPr>
          <w:p>
            <w:r>
              <w:t>14.9%</w:t>
            </w:r>
          </w:p>
        </w:tc>
      </w:tr>
      <w:tr>
        <w:tc>
          <w:tcPr>
            <w:tcW w:type="dxa" w:w="4320"/>
          </w:tcPr>
          <w:p>
            <w:r>
              <w:t>Operating margin</w:t>
            </w:r>
          </w:p>
        </w:tc>
        <w:tc>
          <w:tcPr>
            <w:tcW w:type="dxa" w:w="4320"/>
          </w:tcPr>
          <w:p>
            <w:r>
              <w:t>20.0%</w:t>
            </w:r>
          </w:p>
        </w:tc>
      </w:tr>
      <w:tr>
        <w:tc>
          <w:tcPr>
            <w:tcW w:type="dxa" w:w="4320"/>
          </w:tcPr>
          <w:p>
            <w:r>
              <w:t>ROE</w:t>
            </w:r>
          </w:p>
        </w:tc>
        <w:tc>
          <w:tcPr>
            <w:tcW w:type="dxa" w:w="4320"/>
          </w:tcPr>
          <w:p>
            <w:r>
              <w:t>21.5%</w:t>
            </w:r>
          </w:p>
        </w:tc>
      </w:tr>
      <w:tr>
        <w:tc>
          <w:tcPr>
            <w:tcW w:type="dxa" w:w="4320"/>
          </w:tcPr>
          <w:p>
            <w:r>
              <w:t>Current ratio</w:t>
            </w:r>
          </w:p>
        </w:tc>
        <w:tc>
          <w:tcPr>
            <w:tcW w:type="dxa" w:w="4320"/>
          </w:tcPr>
          <w:p>
            <w:r>
              <w:t>1.32</w:t>
            </w:r>
          </w:p>
        </w:tc>
      </w:tr>
      <w:tr>
        <w:tc>
          <w:tcPr>
            <w:tcW w:type="dxa" w:w="4320"/>
          </w:tcPr>
          <w:p>
            <w:r>
              <w:t>Quick ratio</w:t>
            </w:r>
          </w:p>
        </w:tc>
        <w:tc>
          <w:tcPr>
            <w:tcW w:type="dxa" w:w="4320"/>
          </w:tcPr>
          <w:p>
            <w:r>
              <w:t>0.74</w:t>
            </w:r>
          </w:p>
        </w:tc>
      </w:tr>
    </w:tbl>
    <w:p>
      <w:pPr>
        <w:pStyle w:val="Heading1"/>
      </w:pPr>
      <w:r>
        <w:t>6. Analyst Context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Consensus target</w:t>
            </w:r>
          </w:p>
        </w:tc>
        <w:tc>
          <w:tcPr>
            <w:tcW w:type="dxa" w:w="4320"/>
          </w:tcPr>
          <w:p>
            <w:r>
              <w:t>$412.95</w:t>
            </w:r>
          </w:p>
        </w:tc>
      </w:tr>
      <w:tr>
        <w:tc>
          <w:tcPr>
            <w:tcW w:type="dxa" w:w="4320"/>
          </w:tcPr>
          <w:p>
            <w:r>
              <w:t>Median target</w:t>
            </w:r>
          </w:p>
        </w:tc>
        <w:tc>
          <w:tcPr>
            <w:tcW w:type="dxa" w:w="4320"/>
          </w:tcPr>
          <w:p>
            <w:r>
              <w:t>$419.00</w:t>
            </w:r>
          </w:p>
        </w:tc>
      </w:tr>
      <w:tr>
        <w:tc>
          <w:tcPr>
            <w:tcW w:type="dxa" w:w="4320"/>
          </w:tcPr>
          <w:p>
            <w:r>
              <w:t>Target range</w:t>
            </w:r>
          </w:p>
        </w:tc>
        <w:tc>
          <w:tcPr>
            <w:tcW w:type="dxa" w:w="4320"/>
          </w:tcPr>
          <w:p>
            <w:r>
              <w:t>$321.00 to $514.00</w:t>
            </w:r>
          </w:p>
        </w:tc>
      </w:tr>
      <w:tr>
        <w:tc>
          <w:tcPr>
            <w:tcW w:type="dxa" w:w="4320"/>
          </w:tcPr>
          <w:p>
            <w:r>
              <w:t>Rating</w:t>
            </w:r>
          </w:p>
        </w:tc>
        <w:tc>
          <w:tcPr>
            <w:tcW w:type="dxa" w:w="4320"/>
          </w:tcPr>
          <w:p>
            <w:r>
              <w:t>1.7 - Buy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Buy</w:t>
            </w:r>
          </w:p>
        </w:tc>
      </w:tr>
      <w:tr>
        <w:tc>
          <w:tcPr>
            <w:tcW w:type="dxa" w:w="4320"/>
          </w:tcPr>
          <w:p>
            <w:r>
              <w:t>Analyst count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</w:tbl>
    <w:p>
      <w:pPr>
        <w:pStyle w:val="Heading1"/>
      </w:pPr>
      <w:r>
        <w:t>7. Action View</w:t>
      </w:r>
    </w:p>
    <w:p>
      <w:r>
        <w:t>Verdict: PULLBACK ONLY. Trend quality is strong, but price is pressing highs and current entry quality is poor. Wait for a disciplined pullback or a better-defined reset. A future upgrade would require better trend posture, improved entry quality, and a cleaner risk-defined setup than the market currently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