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RTX Corporation (RTX) Visual Equity Report</w:t>
      </w:r>
    </w:p>
    <w:p>
      <w:pPr>
        <w:jc w:val="center"/>
      </w:pPr>
      <w:r>
        <w:rPr>
          <w:i/>
          <w:sz w:val="20"/>
        </w:rPr>
        <w:t>AXIOM-inspired structure: stronger alert, three-paragraph executive summary, and company snapshot without the bloat.</w:t>
      </w:r>
    </w:p>
    <w:p>
      <w:r>
        <w:rPr>
          <w:b/>
        </w:rPr>
        <w:t>VERITAS ALERT: RTX closed at $174.26 on 2026-04-24. It is trading below the 200-day moving average, with 20-day / 50-day / 200-day levels at $193.88 / $199.09 / $178.08. Current status: DO NOT DEPLOY. Price is below all three key moving averages and the technical structure has not yet repaired.</w:t>
      </w:r>
    </w:p>
    <w:p>
      <w:pPr>
        <w:pStyle w:val="Heading1"/>
      </w:pPr>
      <w:r>
        <w:t>1. Executive Summary</w:t>
      </w:r>
    </w:p>
    <w:p>
      <w:r>
        <w:t>RTX Corporation remains a serious large-cap public company with real scale, institutional sponsorship, and durable business relevance in Industrials / Aerospace &amp; Defense. Analyst context remains constructive, with a mean target of $215.06, an analyst count of 22, and a rating of 2.1 - Buy. The business is not the problem. The decision problem is price, timing, and setup quality.</w:t>
      </w:r>
    </w:p>
    <w:p>
      <w:r>
        <w:t>At the market level, RTX closed at $174.26, about -18.8% below the 52-week high, with recent support near $174.26 and resistance near $203.48. The stock is below the 20-day, below the 50-day, and below the 200-day moving average. That is why the current stance is not driven by admiration for the company, but by respect for the chart.</w:t>
      </w:r>
    </w:p>
    <w:p>
      <w:r>
        <w:t>Bottom line: the name stays in active coverage, but capital deployment should remain disciplined until structure improves. The report core is therefore built to show three things clearly: what the company is, where the stock stands now, and why the current verdict is DO NOT DEPLOY rather than active deployment.</w:t>
      </w:r>
    </w:p>
    <w:p>
      <w:pPr>
        <w:pStyle w:val="Heading1"/>
      </w:pPr>
      <w:r>
        <w:t>2. Company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Ticker</w:t>
            </w:r>
          </w:p>
        </w:tc>
        <w:tc>
          <w:tcPr>
            <w:tcW w:type="dxa" w:w="4320"/>
          </w:tcPr>
          <w:p>
            <w:r>
              <w:t>RTX (NYSE)</w:t>
            </w:r>
          </w:p>
        </w:tc>
      </w:tr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RTX Corporation</w:t>
            </w:r>
          </w:p>
        </w:tc>
      </w:tr>
      <w:tr>
        <w:tc>
          <w:tcPr>
            <w:tcW w:type="dxa" w:w="4320"/>
          </w:tcPr>
          <w:p>
            <w:r>
              <w:t>Sector / industry</w:t>
            </w:r>
          </w:p>
        </w:tc>
        <w:tc>
          <w:tcPr>
            <w:tcW w:type="dxa" w:w="4320"/>
          </w:tcPr>
          <w:p>
            <w:r>
              <w:t>Industrials / Aerospace &amp; Defense</w:t>
            </w:r>
          </w:p>
        </w:tc>
      </w:tr>
      <w:tr>
        <w:tc>
          <w:tcPr>
            <w:tcW w:type="dxa" w:w="4320"/>
          </w:tcPr>
          <w:p>
            <w:r>
              <w:t>Market cap</w:t>
            </w:r>
          </w:p>
        </w:tc>
        <w:tc>
          <w:tcPr>
            <w:tcW w:type="dxa" w:w="4320"/>
          </w:tcPr>
          <w:p>
            <w:r>
              <w:t>$234.7B</w:t>
            </w:r>
          </w:p>
        </w:tc>
      </w:tr>
      <w:tr>
        <w:tc>
          <w:tcPr>
            <w:tcW w:type="dxa" w:w="4320"/>
          </w:tcPr>
          <w:p>
            <w:r>
              <w:t>Enterprise value</w:t>
            </w:r>
          </w:p>
        </w:tc>
        <w:tc>
          <w:tcPr>
            <w:tcW w:type="dxa" w:w="4320"/>
          </w:tcPr>
          <w:p>
            <w:r>
              <w:t>$268.5B</w:t>
            </w:r>
          </w:p>
        </w:tc>
      </w:tr>
      <w:tr>
        <w:tc>
          <w:tcPr>
            <w:tcW w:type="dxa" w:w="4320"/>
          </w:tcPr>
          <w:p>
            <w:r>
              <w:t>Employees</w:t>
            </w:r>
          </w:p>
        </w:tc>
        <w:tc>
          <w:tcPr>
            <w:tcW w:type="dxa" w:w="4320"/>
          </w:tcPr>
          <w:p>
            <w:r>
              <w:t>180,000</w:t>
            </w:r>
          </w:p>
        </w:tc>
      </w:tr>
      <w:tr>
        <w:tc>
          <w:tcPr>
            <w:tcW w:type="dxa" w:w="4320"/>
          </w:tcPr>
          <w:p>
            <w:r>
              <w:t>Dividend yield</w:t>
            </w:r>
          </w:p>
        </w:tc>
        <w:tc>
          <w:tcPr>
            <w:tcW w:type="dxa" w:w="4320"/>
          </w:tcPr>
          <w:p>
            <w:r>
              <w:t>1.6%</w:t>
            </w:r>
          </w:p>
        </w:tc>
      </w:tr>
      <w:tr>
        <w:tc>
          <w:tcPr>
            <w:tcW w:type="dxa" w:w="4320"/>
          </w:tcPr>
          <w:p>
            <w:r>
              <w:t>Analyst rating</w:t>
            </w:r>
          </w:p>
        </w:tc>
        <w:tc>
          <w:tcPr>
            <w:tcW w:type="dxa" w:w="4320"/>
          </w:tcPr>
          <w:p>
            <w:r>
              <w:t>2.1 - Buy</w:t>
            </w:r>
          </w:p>
        </w:tc>
      </w:tr>
      <w:tr>
        <w:tc>
          <w:tcPr>
            <w:tcW w:type="dxa" w:w="4320"/>
          </w:tcPr>
          <w:p>
            <w:r>
              <w:t>Consensus target</w:t>
            </w:r>
          </w:p>
        </w:tc>
        <w:tc>
          <w:tcPr>
            <w:tcW w:type="dxa" w:w="4320"/>
          </w:tcPr>
          <w:p>
            <w:r>
              <w:t>$215.06</w:t>
            </w:r>
          </w:p>
        </w:tc>
      </w:tr>
      <w:tr>
        <w:tc>
          <w:tcPr>
            <w:tcW w:type="dxa" w:w="4320"/>
          </w:tcPr>
          <w:p>
            <w:r>
              <w:t>Current status</w:t>
            </w:r>
          </w:p>
        </w:tc>
        <w:tc>
          <w:tcPr>
            <w:tcW w:type="dxa" w:w="4320"/>
          </w:tcPr>
          <w:p>
            <w:r>
              <w:t>DO NOT DEPLOY</w:t>
            </w:r>
          </w:p>
        </w:tc>
      </w:tr>
    </w:tbl>
    <w:p>
      <w:pPr>
        <w:pStyle w:val="Heading1"/>
      </w:pPr>
      <w:r>
        <w:t>3. Visual Snapshot</w:t>
      </w:r>
    </w:p>
    <w:p>
      <w:r>
        <w:drawing>
          <wp:inline xmlns:a="http://schemas.openxmlformats.org/drawingml/2006/main" xmlns:pic="http://schemas.openxmlformats.org/drawingml/2006/picture">
            <wp:extent cx="6126480" cy="30992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tx-price-pan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99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Historical Trend</w:t>
      </w:r>
    </w:p>
    <w:p>
      <w:r>
        <w:drawing>
          <wp:inline xmlns:a="http://schemas.openxmlformats.org/drawingml/2006/main" xmlns:pic="http://schemas.openxmlformats.org/drawingml/2006/picture">
            <wp:extent cx="6126480" cy="27388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tx-history-pa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38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Valuation and Quality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Revenue</w:t>
            </w:r>
          </w:p>
        </w:tc>
        <w:tc>
          <w:tcPr>
            <w:tcW w:type="dxa" w:w="4320"/>
          </w:tcPr>
          <w:p>
            <w:r>
              <w:t>$90.4B</w:t>
            </w:r>
          </w:p>
        </w:tc>
      </w:tr>
      <w:tr>
        <w:tc>
          <w:tcPr>
            <w:tcW w:type="dxa" w:w="4320"/>
          </w:tcPr>
          <w:p>
            <w:r>
              <w:t>Free cash flow</w:t>
            </w:r>
          </w:p>
        </w:tc>
        <w:tc>
          <w:tcPr>
            <w:tcW w:type="dxa" w:w="4320"/>
          </w:tcPr>
          <w:p>
            <w:r>
              <w:t>$7.2B</w:t>
            </w:r>
          </w:p>
        </w:tc>
      </w:tr>
      <w:tr>
        <w:tc>
          <w:tcPr>
            <w:tcW w:type="dxa" w:w="4320"/>
          </w:tcPr>
          <w:p>
            <w:r>
              <w:t>Operating cash flow</w:t>
            </w:r>
          </w:p>
        </w:tc>
        <w:tc>
          <w:tcPr>
            <w:tcW w:type="dxa" w:w="4320"/>
          </w:tcPr>
          <w:p>
            <w:r>
              <w:t>$11.1B</w:t>
            </w:r>
          </w:p>
        </w:tc>
      </w:tr>
      <w:tr>
        <w:tc>
          <w:tcPr>
            <w:tcW w:type="dxa" w:w="4320"/>
          </w:tcPr>
          <w:p>
            <w:r>
              <w:t>Trailing P/E</w:t>
            </w:r>
          </w:p>
        </w:tc>
        <w:tc>
          <w:tcPr>
            <w:tcW w:type="dxa" w:w="4320"/>
          </w:tcPr>
          <w:p>
            <w:r>
              <w:t>32.7</w:t>
            </w:r>
          </w:p>
        </w:tc>
      </w:tr>
      <w:tr>
        <w:tc>
          <w:tcPr>
            <w:tcW w:type="dxa" w:w="4320"/>
          </w:tcPr>
          <w:p>
            <w:r>
              <w:t>Forward P/E</w:t>
            </w:r>
          </w:p>
        </w:tc>
        <w:tc>
          <w:tcPr>
            <w:tcW w:type="dxa" w:w="4320"/>
          </w:tcPr>
          <w:p>
            <w:r>
              <w:t>23.1</w:t>
            </w:r>
          </w:p>
        </w:tc>
      </w:tr>
      <w:tr>
        <w:tc>
          <w:tcPr>
            <w:tcW w:type="dxa" w:w="4320"/>
          </w:tcPr>
          <w:p>
            <w:r>
              <w:t>Price / Sales</w:t>
            </w:r>
          </w:p>
        </w:tc>
        <w:tc>
          <w:tcPr>
            <w:tcW w:type="dxa" w:w="4320"/>
          </w:tcPr>
          <w:p>
            <w:r>
              <w:t>2.60</w:t>
            </w:r>
          </w:p>
        </w:tc>
      </w:tr>
      <w:tr>
        <w:tc>
          <w:tcPr>
            <w:tcW w:type="dxa" w:w="4320"/>
          </w:tcPr>
          <w:p>
            <w:r>
              <w:t>Price / Book</w:t>
            </w:r>
          </w:p>
        </w:tc>
        <w:tc>
          <w:tcPr>
            <w:tcW w:type="dxa" w:w="4320"/>
          </w:tcPr>
          <w:p>
            <w:r>
              <w:t>3.59</w:t>
            </w:r>
          </w:p>
        </w:tc>
      </w:tr>
      <w:tr>
        <w:tc>
          <w:tcPr>
            <w:tcW w:type="dxa" w:w="4320"/>
          </w:tcPr>
          <w:p>
            <w:r>
              <w:t>Profit margin</w:t>
            </w:r>
          </w:p>
        </w:tc>
        <w:tc>
          <w:tcPr>
            <w:tcW w:type="dxa" w:w="4320"/>
          </w:tcPr>
          <w:p>
            <w:r>
              <w:t>8.0%</w:t>
            </w:r>
          </w:p>
        </w:tc>
      </w:tr>
      <w:tr>
        <w:tc>
          <w:tcPr>
            <w:tcW w:type="dxa" w:w="4320"/>
          </w:tcPr>
          <w:p>
            <w:r>
              <w:t>Operating margin</w:t>
            </w:r>
          </w:p>
        </w:tc>
        <w:tc>
          <w:tcPr>
            <w:tcW w:type="dxa" w:w="4320"/>
          </w:tcPr>
          <w:p>
            <w:r>
              <w:t>13.2%</w:t>
            </w:r>
          </w:p>
        </w:tc>
      </w:tr>
      <w:tr>
        <w:tc>
          <w:tcPr>
            <w:tcW w:type="dxa" w:w="4320"/>
          </w:tcPr>
          <w:p>
            <w:r>
              <w:t>ROE</w:t>
            </w:r>
          </w:p>
        </w:tc>
        <w:tc>
          <w:tcPr>
            <w:tcW w:type="dxa" w:w="4320"/>
          </w:tcPr>
          <w:p>
            <w:r>
              <w:t>11.6%</w:t>
            </w:r>
          </w:p>
        </w:tc>
      </w:tr>
      <w:tr>
        <w:tc>
          <w:tcPr>
            <w:tcW w:type="dxa" w:w="4320"/>
          </w:tcPr>
          <w:p>
            <w:r>
              <w:t>Current ratio</w:t>
            </w:r>
          </w:p>
        </w:tc>
        <w:tc>
          <w:tcPr>
            <w:tcW w:type="dxa" w:w="4320"/>
          </w:tcPr>
          <w:p>
            <w:r>
              <w:t>1.02</w:t>
            </w:r>
          </w:p>
        </w:tc>
      </w:tr>
      <w:tr>
        <w:tc>
          <w:tcPr>
            <w:tcW w:type="dxa" w:w="4320"/>
          </w:tcPr>
          <w:p>
            <w:r>
              <w:t>Quick ratio</w:t>
            </w:r>
          </w:p>
        </w:tc>
        <w:tc>
          <w:tcPr>
            <w:tcW w:type="dxa" w:w="4320"/>
          </w:tcPr>
          <w:p>
            <w:r>
              <w:t>0.65</w:t>
            </w:r>
          </w:p>
        </w:tc>
      </w:tr>
    </w:tbl>
    <w:p>
      <w:pPr>
        <w:pStyle w:val="Heading1"/>
      </w:pPr>
      <w:r>
        <w:t>6. Analyst Context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Consensus target</w:t>
            </w:r>
          </w:p>
        </w:tc>
        <w:tc>
          <w:tcPr>
            <w:tcW w:type="dxa" w:w="4320"/>
          </w:tcPr>
          <w:p>
            <w:r>
              <w:t>$215.06</w:t>
            </w:r>
          </w:p>
        </w:tc>
      </w:tr>
      <w:tr>
        <w:tc>
          <w:tcPr>
            <w:tcW w:type="dxa" w:w="4320"/>
          </w:tcPr>
          <w:p>
            <w:r>
              <w:t>Median target</w:t>
            </w:r>
          </w:p>
        </w:tc>
        <w:tc>
          <w:tcPr>
            <w:tcW w:type="dxa" w:w="4320"/>
          </w:tcPr>
          <w:p>
            <w:r>
              <w:t>$222.50</w:t>
            </w:r>
          </w:p>
        </w:tc>
      </w:tr>
      <w:tr>
        <w:tc>
          <w:tcPr>
            <w:tcW w:type="dxa" w:w="4320"/>
          </w:tcPr>
          <w:p>
            <w:r>
              <w:t>Target range</w:t>
            </w:r>
          </w:p>
        </w:tc>
        <w:tc>
          <w:tcPr>
            <w:tcW w:type="dxa" w:w="4320"/>
          </w:tcPr>
          <w:p>
            <w:r>
              <w:t>$179.00 to $242.00</w:t>
            </w:r>
          </w:p>
        </w:tc>
      </w:tr>
      <w:tr>
        <w:tc>
          <w:tcPr>
            <w:tcW w:type="dxa" w:w="4320"/>
          </w:tcPr>
          <w:p>
            <w:r>
              <w:t>Rating</w:t>
            </w:r>
          </w:p>
        </w:tc>
        <w:tc>
          <w:tcPr>
            <w:tcW w:type="dxa" w:w="4320"/>
          </w:tcPr>
          <w:p>
            <w:r>
              <w:t>2.1 - Buy</w:t>
            </w:r>
          </w:p>
        </w:tc>
      </w:tr>
      <w:tr>
        <w:tc>
          <w:tcPr>
            <w:tcW w:type="dxa" w:w="4320"/>
          </w:tcPr>
          <w:p>
            <w:r>
              <w:t>Recommendation</w:t>
            </w:r>
          </w:p>
        </w:tc>
        <w:tc>
          <w:tcPr>
            <w:tcW w:type="dxa" w:w="4320"/>
          </w:tcPr>
          <w:p>
            <w:r>
              <w:t>Buy</w:t>
            </w:r>
          </w:p>
        </w:tc>
      </w:tr>
      <w:tr>
        <w:tc>
          <w:tcPr>
            <w:tcW w:type="dxa" w:w="4320"/>
          </w:tcPr>
          <w:p>
            <w:r>
              <w:t>Analyst count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</w:tbl>
    <w:p>
      <w:pPr>
        <w:pStyle w:val="Heading1"/>
      </w:pPr>
      <w:r>
        <w:t>7. Action View</w:t>
      </w:r>
    </w:p>
    <w:p>
      <w:r>
        <w:t>Verdict: DO NOT DEPLOY. Price is below all three key moving averages and the technical structure has not yet repaired. A future upgrade would require clearer technical repair, better trend posture, and a more explicit risk-defined entry setup.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