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RTX Corporation (RTX) Visual Equity Report</w:t>
      </w:r>
    </w:p>
    <w:p>
      <w:pPr>
        <w:jc w:val="center"/>
      </w:pPr>
      <w:r>
        <w:rPr>
          <w:i/>
          <w:sz w:val="20"/>
        </w:rPr>
        <w:t>Readable visual equity report core with larger fonts, darker text, and improved contrast defaults.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RTX closed at $174.26 on 2026-04-24.</w:t>
      </w:r>
    </w:p>
    <w:p>
      <w:pPr>
        <w:pStyle w:val="ListBullet"/>
      </w:pPr>
      <w:r>
        <w:t>The stock is below the 200-day moving average ($178.08), with 20-day and 50-day moving averages at $193.88 and $199.09.</w:t>
      </w:r>
    </w:p>
    <w:p>
      <w:pPr>
        <w:pStyle w:val="ListBullet"/>
      </w:pPr>
      <w:r>
        <w:t>Analyst consensus target is $215.06 with 22 analysts and rating 2.1 - Buy.</w:t>
      </w:r>
    </w:p>
    <w:p>
      <w:pPr>
        <w:pStyle w:val="ListBullet"/>
      </w:pPr>
      <w:r>
        <w:t>This reusable generator handles the market, analyst, valuation, and historical visual core. Company-specific earnings and segment panels can be layered in when curated inputs are available.</w:t>
      </w:r>
    </w:p>
    <w:p>
      <w:pPr>
        <w:pStyle w:val="Heading1"/>
      </w:pPr>
      <w:r>
        <w:t>2. Visual Snapshot</w:t>
      </w:r>
    </w:p>
    <w:p>
      <w:r>
        <w:drawing>
          <wp:inline xmlns:a="http://schemas.openxmlformats.org/drawingml/2006/main" xmlns:pic="http://schemas.openxmlformats.org/drawingml/2006/picture">
            <wp:extent cx="6126480" cy="3099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x-price-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9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Historical Trend</w:t>
      </w:r>
    </w:p>
    <w:p>
      <w:r>
        <w:drawing>
          <wp:inline xmlns:a="http://schemas.openxmlformats.org/drawingml/2006/main" xmlns:pic="http://schemas.openxmlformats.org/drawingml/2006/picture">
            <wp:extent cx="6126480" cy="2738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x-history-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38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Valuation and Quality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Market cap</w:t>
            </w:r>
          </w:p>
        </w:tc>
        <w:tc>
          <w:tcPr>
            <w:tcW w:type="dxa" w:w="4320"/>
          </w:tcPr>
          <w:p>
            <w:r>
              <w:t>$234.7B</w:t>
            </w:r>
          </w:p>
        </w:tc>
      </w:tr>
      <w:tr>
        <w:tc>
          <w:tcPr>
            <w:tcW w:type="dxa" w:w="4320"/>
          </w:tcPr>
          <w:p>
            <w:r>
              <w:t>Enterprise value</w:t>
            </w:r>
          </w:p>
        </w:tc>
        <w:tc>
          <w:tcPr>
            <w:tcW w:type="dxa" w:w="4320"/>
          </w:tcPr>
          <w:p>
            <w:r>
              <w:t>$268.5B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$90.4B</w:t>
            </w:r>
          </w:p>
        </w:tc>
      </w:tr>
      <w:tr>
        <w:tc>
          <w:tcPr>
            <w:tcW w:type="dxa" w:w="4320"/>
          </w:tcPr>
          <w:p>
            <w:r>
              <w:t>Free cash flow</w:t>
            </w:r>
          </w:p>
        </w:tc>
        <w:tc>
          <w:tcPr>
            <w:tcW w:type="dxa" w:w="4320"/>
          </w:tcPr>
          <w:p>
            <w:r>
              <w:t>$7.2B</w:t>
            </w:r>
          </w:p>
        </w:tc>
      </w:tr>
      <w:tr>
        <w:tc>
          <w:tcPr>
            <w:tcW w:type="dxa" w:w="4320"/>
          </w:tcPr>
          <w:p>
            <w:r>
              <w:t>Trailing P/E</w:t>
            </w:r>
          </w:p>
        </w:tc>
        <w:tc>
          <w:tcPr>
            <w:tcW w:type="dxa" w:w="4320"/>
          </w:tcPr>
          <w:p>
            <w:r>
              <w:t>32.7</w:t>
            </w:r>
          </w:p>
        </w:tc>
      </w:tr>
      <w:tr>
        <w:tc>
          <w:tcPr>
            <w:tcW w:type="dxa" w:w="4320"/>
          </w:tcPr>
          <w:p>
            <w:r>
              <w:t>Forward P/E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Dividend yield</w:t>
            </w:r>
          </w:p>
        </w:tc>
        <w:tc>
          <w:tcPr>
            <w:tcW w:type="dxa" w:w="4320"/>
          </w:tcPr>
          <w:p>
            <w:r>
              <w:t>1.6%</w:t>
            </w:r>
          </w:p>
        </w:tc>
      </w:tr>
      <w:tr>
        <w:tc>
          <w:tcPr>
            <w:tcW w:type="dxa" w:w="4320"/>
          </w:tcPr>
          <w:p>
            <w:r>
              <w:t>Profit margin</w:t>
            </w:r>
          </w:p>
        </w:tc>
        <w:tc>
          <w:tcPr>
            <w:tcW w:type="dxa" w:w="4320"/>
          </w:tcPr>
          <w:p>
            <w:r>
              <w:t>8.0%</w:t>
            </w:r>
          </w:p>
        </w:tc>
      </w:tr>
      <w:tr>
        <w:tc>
          <w:tcPr>
            <w:tcW w:type="dxa" w:w="4320"/>
          </w:tcPr>
          <w:p>
            <w:r>
              <w:t>Operating margin</w:t>
            </w:r>
          </w:p>
        </w:tc>
        <w:tc>
          <w:tcPr>
            <w:tcW w:type="dxa" w:w="4320"/>
          </w:tcPr>
          <w:p>
            <w:r>
              <w:t>13.2%</w:t>
            </w:r>
          </w:p>
        </w:tc>
      </w:tr>
      <w:tr>
        <w:tc>
          <w:tcPr>
            <w:tcW w:type="dxa" w:w="4320"/>
          </w:tcPr>
          <w:p>
            <w:r>
              <w:t>ROE</w:t>
            </w:r>
          </w:p>
        </w:tc>
        <w:tc>
          <w:tcPr>
            <w:tcW w:type="dxa" w:w="4320"/>
          </w:tcPr>
          <w:p>
            <w:r>
              <w:t>11.6%</w:t>
            </w:r>
          </w:p>
        </w:tc>
      </w:tr>
      <w:tr>
        <w:tc>
          <w:tcPr>
            <w:tcW w:type="dxa" w:w="4320"/>
          </w:tcPr>
          <w:p>
            <w:r>
              <w:t>Current ratio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Quick ratio</w:t>
            </w:r>
          </w:p>
        </w:tc>
        <w:tc>
          <w:tcPr>
            <w:tcW w:type="dxa" w:w="4320"/>
          </w:tcPr>
          <w:p>
            <w:r>
              <w:t>0.65</w:t>
            </w:r>
          </w:p>
        </w:tc>
      </w:tr>
    </w:tbl>
    <w:p>
      <w:pPr>
        <w:pStyle w:val="Heading1"/>
      </w:pPr>
      <w:r>
        <w:t>5. Analyst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Consensus target</w:t>
            </w:r>
          </w:p>
        </w:tc>
        <w:tc>
          <w:tcPr>
            <w:tcW w:type="dxa" w:w="4320"/>
          </w:tcPr>
          <w:p>
            <w:r>
              <w:t>$215.06</w:t>
            </w:r>
          </w:p>
        </w:tc>
      </w:tr>
      <w:tr>
        <w:tc>
          <w:tcPr>
            <w:tcW w:type="dxa" w:w="4320"/>
          </w:tcPr>
          <w:p>
            <w:r>
              <w:t>Median target</w:t>
            </w:r>
          </w:p>
        </w:tc>
        <w:tc>
          <w:tcPr>
            <w:tcW w:type="dxa" w:w="4320"/>
          </w:tcPr>
          <w:p>
            <w:r>
              <w:t>$222.50</w:t>
            </w:r>
          </w:p>
        </w:tc>
      </w:tr>
      <w:tr>
        <w:tc>
          <w:tcPr>
            <w:tcW w:type="dxa" w:w="4320"/>
          </w:tcPr>
          <w:p>
            <w:r>
              <w:t>Target range</w:t>
            </w:r>
          </w:p>
        </w:tc>
        <w:tc>
          <w:tcPr>
            <w:tcW w:type="dxa" w:w="4320"/>
          </w:tcPr>
          <w:p>
            <w:r>
              <w:t>$179.00 to $242.00</w:t>
            </w:r>
          </w:p>
        </w:tc>
      </w:tr>
      <w:tr>
        <w:tc>
          <w:tcPr>
            <w:tcW w:type="dxa" w:w="4320"/>
          </w:tcPr>
          <w:p>
            <w:r>
              <w:t>Rating</w:t>
            </w:r>
          </w:p>
        </w:tc>
        <w:tc>
          <w:tcPr>
            <w:tcW w:type="dxa" w:w="4320"/>
          </w:tcPr>
          <w:p>
            <w:r>
              <w:t>2.1 - Buy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Buy</w:t>
            </w:r>
          </w:p>
        </w:tc>
      </w:tr>
      <w:tr>
        <w:tc>
          <w:tcPr>
            <w:tcW w:type="dxa" w:w="4320"/>
          </w:tcPr>
          <w:p>
            <w:r>
              <w:t>Analyst count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