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Self-Assessment Checklist (SAC)</w:t>
      </w:r>
    </w:p>
    <w:p>
      <w:pPr>
        <w:spacing w:after="60"/>
        <w:jc w:val="center"/>
      </w:pPr>
      <w:r>
        <w:rPr>
          <w:b/>
          <w:bCs/>
          <w:color w:val="2d5a87"/>
          <w:sz w:val="28"/>
          <w:szCs w:val="28"/>
        </w:rPr>
        <w:t xml:space="preserve">VeritasChain Protocol (VCP) v1.0</w:t>
      </w:r>
    </w:p>
    <w:p>
      <w:pPr>
        <w:spacing w:after="300"/>
        <w:jc w:val="center"/>
      </w:pPr>
      <w:r>
        <w:rPr>
          <w:color w:val="333333"/>
          <w:sz w:val="24"/>
          <w:szCs w:val="24"/>
        </w:rPr>
        <w:t xml:space="preserve">Silver Tier - Self-Assessment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VSO-CERT-SILVER-SAC-v1.0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2025-11-29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VeritasChain Standards Organization (VSO)</w:t>
            </w:r>
          </w:p>
        </w:tc>
      </w:tr>
    </w:tbl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This checklist is designed for organizations seeking VC-Certified Silver Tier compliance. Silver Tier focuses on retail environments (e.g., MT4/5, Prop Firms) requiring millisecond precision and best-effort synchronization.</w:t>
      </w:r>
    </w:p>
    <w:p>
      <w:pPr>
        <w:pStyle w:val="Heading1"/>
      </w:pPr>
      <w:r>
        <w:t xml:space="preserve">Section 1: VCP-CORE Requirements (Data Integrity &amp; Identification)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Notes/Evidence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CORE-01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Event Identification: EventID MUST use UUID v7 (RFC 9562) or UUID v4.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UUID v7 is strongly recommended for time-sortability.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CORE-02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Data Canonicalization: All VCP payloads MUST be canonicalized using RFC 8785 (JSON Canonicalization Scheme - JCS) before hashing and signing.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Ensures hash consistency across platforms.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CORE-03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Numeric Precision: All financial numeric values (Price, Quantity, etc.) MUST be encoded as Strings.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Avoids IEEE 754 floating-point issues. Example: {"Price": "123.45"}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CORE-04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Hash Chain Integrity: Each event includes the 'prev_hash' of the preceding event, forming an unbroken chain.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Calculation: hash(prev_hash + canonical_event).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CORE-05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Hash Algorithm Declaration: 'HashAlgo' field is correctly specified in the VCP header.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'SHA256' is the default.</w:t>
            </w:r>
          </w:p>
        </w:tc>
      </w:tr>
    </w:tbl>
    <w:p>
      <w:pPr>
        <w:pStyle w:val="Heading1"/>
      </w:pPr>
      <w:r>
        <w:t xml:space="preserve">Section 2: Time Synchronization &amp; Precision (Silver Tier Specific)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Notes/Evidence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TIME-01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Timestamp Precision: Timestamps MUST be recorded with Millisecond precision. 'TimestampPrecision': 'MILLISECOND'.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Unix Epoch (Int64).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TIME-02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Clock Synchronization: Best-effort clock synchronization (e.g., NTP) is in place.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OS-level NTP/Chrony is sufficient.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TIME-03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Clock Status Reporting: 'ClockSyncStatus' field MUST be set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Must be "BEST_EFFORT" or "NTP_SYNCED".</w:t>
            </w:r>
          </w:p>
        </w:tc>
      </w:tr>
    </w:tbl>
    <w:p>
      <w:pPr>
        <w:pStyle w:val="Heading1"/>
      </w:pPr>
      <w:r>
        <w:t xml:space="preserve">Section 3: VCP-TRADE &amp; Logging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Notes/Evidence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LOG-01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Event Coverage: Minimum required trading events are logged: ORD (Order), ACK (Acknowledge), EXE (Execution), REJ (Reject), CXL (Cancel).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Minimum required set for audit trail.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LOG-02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Data Export Format: Log files are exported in VCP standard format (JSON).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JSONLines preferred for efficient processing.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LOG-03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Traceability: Events belonging to the same order lifecycle share the same 'TraceID'.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Ensures end-to-end tracking.</w:t>
            </w:r>
          </w:p>
        </w:tc>
      </w:tr>
    </w:tbl>
    <w:p>
      <w:pPr>
        <w:pStyle w:val="Heading1"/>
      </w:pPr>
      <w:r>
        <w:t xml:space="preserve">Section 4: Security &amp; Cryptography (VCP-SEC)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Notes/Evidence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SEC-01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Digital Signatures: Events are signed using the Delegated Signing mechanism. (SignAlgo: Ed25519).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Adopter uses API key; VCC (or equivalent) signs on behalf.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SEC-02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Merkle Batching: Events are batched for Merkle tree construction.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Max interval: 24 hours. Must be RFC 6962 compliant (prevents second preimage attacks).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SEC-03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Merkle Anchoring: Daily Merkle root is submitted to an external anchor (e.g., VCC) within 24 hours.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Anchored to external TSA/Blockchain.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SEC-04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Proof Retrieval: Merkle proofs can be retrieved and verified.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Verified via Explorer API or equivalent.</w:t>
            </w:r>
          </w:p>
        </w:tc>
      </w:tr>
    </w:tbl>
    <w:p>
      <w:pPr>
        <w:pStyle w:val="Heading1"/>
      </w:pPr>
      <w:r>
        <w:t xml:space="preserve">Section 5: Privacy &amp; Compliance (VCP-PRIVACY)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6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Requirement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Notes/Evidence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PRIV-01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Pseudonymization: Sensitive identifiers (e.g., AccountID) are pseudonymized.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Hashed or tokenized identifiers.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PRIV-02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PII Protection: No raw Personally Identifiable Information (PII) is stored in the VCP payload.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6"/>
                <w:szCs w:val="16"/>
              </w:rPr>
              <w:t xml:space="preserve">Mandatory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Required for GDPR compliance support.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6"/>
                <w:szCs w:val="16"/>
              </w:rPr>
              <w:t xml:space="preserve">PRIV-03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Crypto-Shredding Support: System design supports GDPR 'Right to be Forgotten' via Crypto-Shredding.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28B22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4"/>
                <w:szCs w:val="14"/>
              </w:rPr>
              <w:t xml:space="preserve">Key deletion mechanism for data erasure.</w:t>
            </w:r>
          </w:p>
        </w:tc>
      </w:tr>
    </w:tbl>
    <w:p>
      <w:pPr>
        <w:pStyle w:val="Heading1"/>
      </w:pPr>
      <w:r>
        <w:t xml:space="preserve">Section 6: Integration Evidence (Required Artifacts)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1200"/>
        <w:gridCol w:w="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Artifact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 xml:space="preserve">EVIDENCE-01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Sample VCP Log File (10-20 continuous events showing hash chain).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 xml:space="preserve">EVIDENCE-02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Sample Merkle Proof (for one event in the sample log).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a365d"/>
                <w:sz w:val="18"/>
                <w:szCs w:val="18"/>
              </w:rPr>
              <w:t xml:space="preserve">EVIDENCE-03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Architecture Diagram (showing VCP integration point).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Assessment Summary &amp; Certification Criteria</w:t>
      </w:r>
    </w:p>
    <w:p>
      <w:pPr>
        <w:shd w:fill="E8F4FD" w:val="clear"/>
        <w:spacing w:after="200"/>
      </w:pPr>
      <w:r>
        <w:rPr>
          <w:b/>
          <w:bCs/>
        </w:rPr>
        <w:t xml:space="preserve">To achieve VC-Certified Silver Tier status, the Adopter must meet the following criteria:</w:t>
      </w:r>
    </w:p>
    <w:p>
      <w:pPr>
        <w:spacing w:after="100" left="360"/>
      </w:pPr>
      <w:r>
        <w:rPr>
          <w:b/>
          <w:bCs/>
        </w:rPr>
        <w:t xml:space="preserve">1. Mandatory Requirements: </w:t>
      </w:r>
      <w:r>
        <w:t xml:space="preserve">100% (All Mandatory items must be Implemented).</w:t>
      </w:r>
    </w:p>
    <w:p>
      <w:pPr>
        <w:spacing w:after="100" left="360"/>
      </w:pPr>
      <w:r>
        <w:rPr>
          <w:b/>
          <w:bCs/>
        </w:rPr>
        <w:t xml:space="preserve">2. Overall Compliance Rate: </w:t>
      </w:r>
      <w:r>
        <w:t xml:space="preserve">85% or higher.</w:t>
      </w:r>
    </w:p>
    <w:p>
      <w:pPr>
        <w:spacing w:after="200" left="360"/>
      </w:pPr>
      <w:r>
        <w:rPr>
          <w:b/>
          <w:bCs/>
        </w:rPr>
        <w:t xml:space="preserve">3. Evidence Submission: </w:t>
      </w:r>
      <w:r>
        <w:t xml:space="preserve">All required artifacts (Section 6) must be provided and validated by VSO.</w:t>
      </w:r>
    </w:p>
    <w:p>
      <w:pPr>
        <w:pStyle w:val="Heading2"/>
      </w:pPr>
      <w:r>
        <w:t xml:space="preserve">Submission Instructions</w:t>
      </w:r>
    </w:p>
    <w:p>
      <w:pPr>
        <w:spacing w:after="60" left="360"/>
      </w:pPr>
      <w:r>
        <w:rPr>
          <w:b/>
          <w:bCs/>
        </w:rPr>
        <w:t xml:space="preserve">Email: </w:t>
      </w:r>
      <w:r>
        <w:t xml:space="preserve">certification@veritaschain.org</w:t>
      </w:r>
    </w:p>
    <w:p>
      <w:pPr>
        <w:spacing w:after="60" left="360"/>
      </w:pPr>
      <w:r>
        <w:rPr>
          <w:b/>
          <w:bCs/>
        </w:rPr>
        <w:t xml:space="preserve">Portal: </w:t>
      </w:r>
      <w:r>
        <w:t xml:space="preserve">https://certified.veritaschain.org</w:t>
      </w:r>
    </w:p>
    <w:p>
      <w:pPr>
        <w:spacing w:after="300" left="360"/>
      </w:pPr>
      <w:r>
        <w:rPr>
          <w:b/>
          <w:bCs/>
        </w:rPr>
        <w:t xml:space="preserve">Reference: </w:t>
      </w:r>
      <w:r>
        <w:t xml:space="preserve">VCP Conformance Test Guide v1.0 (VSO-TEST-001)</w:t>
      </w:r>
    </w:p>
    <w:sectPr>
      <w:headerReference w:type="default" r:id="rId6"/>
      <w:footerReference w:type="default" r:id="rId7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© 2025 VeritasChain Standards Organization (VSO)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VSO-CERT-SILVER-SAC-v1.0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d5a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2025-11-28T22:32:19.038Z</dcterms:created>
  <dcterms:modified xsi:type="dcterms:W3CDTF">2025-11-28T22:32:19.039Z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