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073763"/>
          <w:sz w:val="60"/>
          <w:szCs w:val="60"/>
        </w:rPr>
        <w:t xml:space="preserve">ZDRAVÉ ČESKO</w:t>
      </w:r>
    </w:p>
    <w:p>
      <w:pPr>
        <w:spacing w:after="200"/>
        <w:jc w:val="center"/>
      </w:pPr>
      <w:r>
        <w:rPr>
          <w:rFonts w:ascii="Arial" w:cs="Arial" w:eastAsia="Arial" w:hAnsi="Arial"/>
          <w:color w:val="0B5394"/>
          <w:sz w:val="28"/>
          <w:szCs w:val="28"/>
        </w:rPr>
        <w:t xml:space="preserve">Národní portál pro hodnocení výkonnosti zdravotního systému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A6770"/>
          <w:sz w:val="24"/>
          <w:szCs w:val="24"/>
        </w:rPr>
        <w:t xml:space="preserve">— Strategický projektový plán —</w:t>
      </w:r>
    </w:p>
    <w:p>
      <w:pPr>
        <w:spacing w:after="100"/>
        <w:jc w:val="center"/>
      </w:pPr>
      <w:r>
        <w:rPr>
          <w:rFonts w:ascii="Arial" w:cs="Arial" w:eastAsia="Arial" w:hAnsi="Arial"/>
          <w:color w:val="073763"/>
          <w:sz w:val="24"/>
          <w:szCs w:val="24"/>
        </w:rPr>
        <w:t xml:space="preserve">Implementace HSPA podle metodiky OECD/WHO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A6770"/>
          <w:sz w:val="24"/>
          <w:szCs w:val="24"/>
        </w:rPr>
        <w:t xml:space="preserve">inspirovaná modelem Healthy Belgium</w:t>
      </w:r>
    </w:p>
    <w:p>
      <w:pPr>
        <w:spacing w:after="100"/>
        <w:jc w:val="center"/>
      </w:pPr>
      <w:r>
        <w:rPr>
          <w:rFonts w:ascii="Arial" w:cs="Arial" w:eastAsia="Arial" w:hAnsi="Arial"/>
          <w:color w:val="5A6770"/>
          <w:sz w:val="22"/>
          <w:szCs w:val="22"/>
        </w:rPr>
        <w:t xml:space="preserve">Verze 1.0 · květen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1 · Manažerské shrnutí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Český zdravotní systém prošel za posledních dvacet let zásadní transformací — má univerzální pokrytí, vysokou hustotu lékařů (4,2 / 1 000 obyvatel oproti OECD 3,9), kvalitní akutní kardiovaskulární a onkologickou péči a 75% spokojenost obyvatel s dostupností (OECD průměr 64 %). Současně však zaostává v naději dožití (79,9 oproti 81,1 v OECD), v 30denní úmrtnosti po cévní mozkové příhodě (11,2 % vs. 7,7 %), v sekundární prevenci a v digitalizaci. Klíčová slabina není v penězích, ale v měření, transparentnosti a koordinaci.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Tento dokument navrhuje vznik veřejného portálu Zdravé Česko po vzoru belgického Healthy Belgium — jediného místa, kde si občan, lékař i tvůrce politiky mohou ověřit, jak si české zdravotnictví reálně stojí. Projekt staví na již vzniklém rámci HSPA, který OECD ve spolupráci s Ministerstvem zdravotnictví a ÚZIS vytvořila v roce 2023 (12 domén, 28 subdomén, 122 indikátorů ve 4 oblastech). Návrh přidává tři ingredience, které dosud chybí: veřejnou viditelnost, vícevrstvou komunikaci pro tři publika a přírůstkový tematický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F06" w:sz="4"/>
              <w:left w:val="single" w:color="B45F06" w:sz="24"/>
              <w:bottom w:val="single" w:color="B45F06" w:sz="4"/>
              <w:right w:val="single" w:color="DDDDDD" w:sz="1"/>
            </w:tcBorders>
            <w:shd w:fill="FFF8E7" w:color="auto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F06"/>
                <w:sz w:val="22"/>
                <w:szCs w:val="22"/>
              </w:rPr>
              <w:t xml:space="preserve">Klíčová čísla projektu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Fáze 1 (12 měsíců, ~30 mil. Kč): jádrový set 40 indikátorů + portál + governance. Fáze 2 (rok 2): 4 tematické moduly (mentální zdraví, prevence, péče o seniory, equity). Fáze 3 (rok 3): paliativní péče, environmentální udržitelnost, AI/prediktivní analytika.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Klíčová doporučení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Postavit portál na existující infrastruktuře NZIS a Národního zdravotnického informačního portálu (NZIP) — nestavět nový datový sklad od nuly.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Aplikovat třívrstvou komunikační logiku: pro občany srozumitelná čísla a vizualizace; pro odborníky benchmarky a metodiku; pro tvůrce politik strategicky navázané indikátory s doporučenými opatřeními.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Adoptovat belgický princip externí vědecké garance — KCE/Sciensano model: nezávislá pracovní skupina sestavuje a ověřuje indikátory mimo MZČR.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Postupovat fázovaně: nejprve viditelný MVP s 30–50 indikátory, pak postupně přidávat tematické moduly. Belgická HSPA má dnes 142 indikátorů — vznikla sedmi iteracemi za 15 let.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Vázat každý indikátor na konkrétní strategický cíl (Zdraví 2030, Strategický rámec rozvoje péče o zdraví do 2035, Národní kardiovaskulární plán).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2 · Vize, kontext a problém, který řešíme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2.1 Vize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Do roku 2028 bude každý občan ČR moci na jednom veřejném portálu zjistit, jak si české zdravotnictví stojí v deseti klíčových oblastech, jak se to mění v čase, jak si stojí jeho region a co s tím chce stát dělat. Indikátory budou aktualizovány nejméně čtyřikrát ročně, podloženy ověřitelnými otevřenými daty a podléhat nezávislé vědecké garanci.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2.2 Proč nyní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Tři okolnosti činí letošní rok strategicky vhodným pro start projektu. Za prvé: OECD ve spolupráci s MZČR a ÚZIS publikovala v květnu 2023 oficiální HSPA rámec pro ČR a první HSPA zpráva byla plánována na leden 2025. Existuje tedy hotová metodická základna, která potřebuje veřejnou tvář. Za druhé: byl přijat Strategický rámec rozvoje péče o zdraví do roku 2035, který explicitně volá po datově podloženém řízení. Za třetí: Národní strategie elektronického zdravotnictví 2025–2035 buduje datovou interoperabilitu, na které portál může parazitovat.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2.3 Problém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Česká republika dnes neměří svůj zdravotní systém systematicky — měří jeho dílčí součásti. ÚZIS vede kvalitní registry, NRC publikuje indikátory kvality péče, MZČR má svoji statistiku, VZP a SZP mají svoje datové reporty. Občan ani novinář nemá jedno místo, kam jít. Lékař nezíská v jeden okamžik srovnání s evropským standardem. Tvůrce politik dostává čísla z různých zdrojů, často bez kontextu trendu, regionu nebo benchmarku. Neviditelnost dat zhoršuje veřejnou důvěru v systém, brzdí informovanou debatu a podlamuje motivaci nemocnic a praxí ke zlepšování.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2.4 Inspirace: Healthy Belgium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Belgie publikuje HSPA reporty od roku 2010, dnes je v 5. edici (2024). Jejich portál Healthy Belgium kombinuje 142 indikátorů ve 6 dimenzích (kvalita, dostupnost, udržitelnost, efektivita, equity, odolnost) a 4 tematických oblastech (preventivní péče, mentální zdraví, péče o seniory, péče v závěru života). Klíčem úspěchu je trojkombinace: (a) silný metodický garant — nezávislé centrum KCE / Sciensano, (b) široký konsenzus stakeholderů od ministerstva přes pojišťovny po pacientské organizace, (c) veřejně přístupné a srozumitelné rozhraní. V roce 2023 navíc Belgie přidala dimenzi environmentální udržitelnosti — důkaz, že rámec dokáže reflektovat nové výzvy.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3 · Rámec HSPA pro Českou republiku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Projekt staví na oficiálním rámci, který OECD vytvořila pro ČR v roce 2023. Ten organizuje hodnocení do čtyř oblastí (Výsledky, Výstupy, Procesy, Struktury) rozdělených na 12 domén a 28 subdomén, naplněných 122 indikátory.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3.1 Čtyři oblasti a dvanáct domén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Doména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měří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Výsledky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Zdravotní stav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Délka dožití, odvratitelná úmrtnost, subjektivní zdraví, zátěž nemocí.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Výsledky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Zdravotní rizika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Životní styl (kouření, alkohol, výživa, pohyb), znečištění ovzduší.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Výstupy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Dostupnost péče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Finanční, geografická a časová dostupnost služeb.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Výstupy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Kvalita péče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Bezpečí, klinická efektivnost, zaměření na člověka, odpovídající péče.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Výstupy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Finanční stabilita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Příjmová strana systému, fiskální udržitelnost, veř. zdrav. pojištění.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Integrované poskytování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Koordinace, kontinuita, dlouhodobá péče, prevence.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Nákladově efektivní poskyt.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Předpisy, hospitalizace, odvratitelné hospitalizace.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Spravedlivé poskytování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 v přístupu podle SES, věku, pohlaví, vzdělání.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Pracovní síla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Aktuální i budoucí kapacity zdravotnického personálu.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eHealth a technologie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Infrastruktura informací, hi-tech vybavení, AI.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Financování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Výdajová strana podle typů péče a diagnóz.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Odolnost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Schopnost absorbovat krize a šoky.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3.2 Vztah k mezinárodním rámcům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Český rámec je kompatibilní s belgickým a evropským přístupem, ale dimenze pojmenovává jako oblasti orientované na řetězec input–process–output–outcome, zatímco Belgie používá průřezové dimenze kvality, dostupnosti, udržitelnosti, efektivity, equity a odolnosti. Pro veřejnou prezentaci doporučujeme do portálu zařadit obě perspektivy — řetězcovou (logika OECD ČR) a průřezovou (logika Healthy Belgium) — protože každá odpovídá na jiný typ otázky uživatele.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3.3 Tematické moduly: čtyři oblasti péče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 vzoru Belgie a v souladu s českými prioritami doporučujeme rámec doplnit o průřezové tematické moduly. Ty kombinují indikátory napříč doménami a poskytují ucelený pohled na konkrétní oblast péče.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Mentální zdraví — pokrývá reformu psychiatrické péče, dostupnost CDZ, čekací doby, sebevražednost, antidepresiva, dětskou psychiatrii. Cca 22 indikátorů.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Péče o seniory a dlouhodobá péče — geriatrické přístupy, pády, polypragmazie, integrace zdravotně-sociální péče. Klíčová pro stárnoucí populaci.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Prevence — primární a sekundární prevence, screeningové programy (mamární, kolorektální, cervikální), zdravotní gramotnost, očkování.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Péče v závěru života — paliativní péče, místo úmrtí, late initiation paliativní péče u onkologických pacientů, kvalita umírání.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Equity — průřezový pohled na nerovnosti podle příjmu, vzdělání, regionu, pohlaví.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Environmentální udržitelnost — přidáno Belgií 2023; carbon footprint zdravotnictví, odpady, energetika nemocnic.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4 · Datové zdroje a jejich připravenost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 většinu navrhovaných indikátorů existují v ČR dostupná data. Nejedná se tedy primárně o problém sběru, ale o problém integrace, kvality a publikační rutiny. Následující tabulka shrnuje hlavní zdroje a jejich roli.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40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Správce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poskytuje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Připravenost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NZIS (26 registrů)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ÚZIS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Hospitalizace, výkony, registr poskytovatelů, perinatologie, onkologie, kardiovaskulární výkony.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NZIP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ÚZIS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Veřejný portál — již publikuje vybraná otevřená data (NRPZS, výkony).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NRC datasety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Indikátory kvality, HSMR, PROMs/PREMs, DRG.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VZP / SZP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Pojišťovny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Čerpání péče, k-kódy, recepty, farmakoterapie. Anonymizováno pro dohod. řízení.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SZÚ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EHES, EHIS, expozice ŽP, screeningy, zdrav. gramotnost.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ČSÚ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ČSÚ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Demografie, mortalitní statistiky, EU-SILC.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OECD/Eurostat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mezinárodní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Harmonizované benchmarky, Health at a Glance, HFA-DB.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SUKL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SUKL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Spotřeba léčiv, ePreskripce, ATB monitoring.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ČHMÚ / EEA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životní prostředí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PM2.5, NO₂, expozice.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NÚDZ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výzkum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Mentální zdraví, reforma psychiatrické péče.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4.1 Hlavní mezery v datech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Patient-reported outcome measures (PROMs) — sběr je fragmentární, chybí nárokový systém s pravidelným reportingem.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Long-term care indikátory — sociální péče (MPSV) a zdravotní péče (MZČR) nemají sdílenou datovou vrstvu.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Equity členění podle SES — registry obvykle neobsahují příjmové ani vzdělanostní pole; nutné propojení s ČSÚ EU-SILC nebo dotazníkové studie.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Environmentální stopa zdravotnictví — chybí systematické měření emisí na úrovni nemocnic.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Indikátory mentálního zdraví na úrovni komunitní péče — reforma probíhá, datový sběr ještě dobíhá.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5 · Architektura systému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5.1 Tři vrstvy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Systém Zdravé Česko se skládá ze tří navrstvených vrstev, které lze budovat samostatně, ale nakonec spolupracují.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Datová vrstva (Data Layer): </w:t>
      </w:r>
      <w:r>
        <w:rPr>
          <w:rFonts w:ascii="Arial" w:cs="Arial" w:eastAsia="Arial" w:hAnsi="Arial"/>
          <w:sz w:val="22"/>
          <w:szCs w:val="22"/>
        </w:rPr>
        <w:t xml:space="preserve">datové sklady NZIS/ÚZIS, NRC, ČSÚ, VZP/SZP, SZÚ. Doporučujeme nestavět novou centrální datovou věž — místo toho použít federovaný přístup s harmonizační vrstvou (DataHub) na ÚZIS, podobně jako belgický KCE pracuje s daty více poskytovatelů přes RIZIV/INAMI.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Indikátorová vrstva (Indicator Layer): </w:t>
      </w:r>
      <w:r>
        <w:rPr>
          <w:rFonts w:ascii="Arial" w:cs="Arial" w:eastAsia="Arial" w:hAnsi="Arial"/>
          <w:sz w:val="22"/>
          <w:szCs w:val="22"/>
        </w:rPr>
        <w:t xml:space="preserve">výpočetní engine, který bere surová data a podle metodických karet produkuje finální indikátory. Každý indikátor má unikátní ID, metodickou kartu (vstupní data, vzorec, omezení, frekvence aktualizace, garant), verzování a auditní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Prezentační vrstva (Presentation Layer): </w:t>
      </w:r>
      <w:r>
        <w:rPr>
          <w:rFonts w:ascii="Arial" w:cs="Arial" w:eastAsia="Arial" w:hAnsi="Arial"/>
          <w:sz w:val="22"/>
          <w:szCs w:val="22"/>
        </w:rPr>
        <w:t xml:space="preserve">veřejný portál (Zdravé Česko), API pro odbornou komunitu, výroční tištěná zpráva. Tři audience-specific UI vrstvy (občan / odborník / policy) sdílejí stejný backend.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5.2 Technologický stack — doporučení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Doporučená technologie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Zdůvodnění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Datová harmonizace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dbt, Apache Airflow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Open-source, transparentní data pipeline, snadná auditovatelnost.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Indikátorový katalog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 metadata + OMOP CDM (kde aplikovatelné)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Mezinárodní standard, propojitelnost s OECD/WHO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 Node.js + 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Robustní, rychlý vývoj, dostupné kompetence v ČR.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Chart.js / D3.js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Standardní stack, široká dostupnost vývojářů.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Státní cloud (vládní cloud) nebo ÚZIS infrastruktura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Soulad s NÚKIB, GDPR, datovou suverenitou.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Otevřená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CKAN / data.gov.cz integrace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Soulad s legislativou o otevřených datech.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5.3 API a interoperabilita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Veřejné API umožní odborné komunitě, akademické sféře i pojišťovnám pracovat s indikátory programově. Indikátory budou exportovatelné v CSV, JSON a SDMX formátu (kompatibilní s OECD a Eurostat). Kód výpočtových rutin bude open-source na GitHubu MZČR / ÚZIS — podobně jako KCE Belgie publikuje své R/SAS skripty.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6 · Governance a institucionální uspořádání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Hlavní lekce z mezinárodních HSPA: úspěch nestojí na technologii, stojí na governance. Belgické HSPA funguje patnáct let proto, že odpovědnosti jsou jasně rozděleny mezi ministerstvo (zadání), federální centrum znalostí KCE (vědecká garance), Sciensano (datový provoz) a sítě stakeholderů (validace).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6.1 Doporučená struktura pro ČR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Řídící výbor (High-Level Advisory Board, HLAB): </w:t>
      </w:r>
      <w:r>
        <w:rPr>
          <w:rFonts w:ascii="Arial" w:cs="Arial" w:eastAsia="Arial" w:hAnsi="Arial"/>
          <w:sz w:val="22"/>
          <w:szCs w:val="22"/>
        </w:rPr>
        <w:t xml:space="preserve">předsedá ministr zdravotnictví, zastoupení MZČR, MF, ÚZIS, SZÚ, NRC, VZP, SZP, ČLK, ČAS, AKČR, pacientské organizace, akademická obec, OECD/WHO observer. Schvaluje rámec, indikátory, zprávu.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Hlavní pracovní skupina: </w:t>
      </w:r>
      <w:r>
        <w:rPr>
          <w:rFonts w:ascii="Arial" w:cs="Arial" w:eastAsia="Arial" w:hAnsi="Arial"/>
          <w:sz w:val="22"/>
          <w:szCs w:val="22"/>
        </w:rPr>
        <w:t xml:space="preserve">operativní orgán, vede ji ÚZIS. Sestavuje indikátory, koordinuje technické skupiny, dohlíží na publikaci.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Technické fokusní skupiny: </w:t>
      </w:r>
      <w:r>
        <w:rPr>
          <w:rFonts w:ascii="Arial" w:cs="Arial" w:eastAsia="Arial" w:hAnsi="Arial"/>
          <w:sz w:val="22"/>
          <w:szCs w:val="22"/>
        </w:rPr>
        <w:t xml:space="preserve">po jedné na každou doménu, vedené garantem dat (např. NRC pro kvalitu péče, SZÚ pro rizikové faktory, VZP/SZP pro finanční dostupnost).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Externí vědecký panel: </w:t>
      </w:r>
      <w:r>
        <w:rPr>
          <w:rFonts w:ascii="Arial" w:cs="Arial" w:eastAsia="Arial" w:hAnsi="Arial"/>
          <w:sz w:val="22"/>
          <w:szCs w:val="22"/>
        </w:rPr>
        <w:t xml:space="preserve">sestává z nezávislých akademiků (LF, IZPE, CERGE-EI Health Lab, IPVZ). Posuzuje metodickou robustnost, diskutuje aspirační indikátory. Inspirace: belgický KCE.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Roční stakeholder konference: </w:t>
      </w:r>
      <w:r>
        <w:rPr>
          <w:rFonts w:ascii="Arial" w:cs="Arial" w:eastAsia="Arial" w:hAnsi="Arial"/>
          <w:sz w:val="22"/>
          <w:szCs w:val="22"/>
        </w:rPr>
        <w:t xml:space="preserve">veřejná, vysílaná online. Prezentace zprávy, debata o prioritách na další rok. Belgická obdoba má 300+ účastníků.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6.2 Frekvence a publikační rytmus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Velká HSPA zpráva: každé 4 roky, podle stejné metodiky jako belgický KCE / Sciensano.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Aktualizace dat na portálu: čtvrtletně pro indikátory s rychlou datovou frekvencí, ročně pro ostatní.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Tematické moduly: dvouleté revize.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Mimořádné reporty: pro krizové události (COVID-19, dlouhé čekací doby) v týdenním rytmu.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7 · Komunikační strategie pro tři publika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Belgické HSPA má tři typy uživatele a tři typy zobrazení dat. Český portál by měl převzít stejnou logiku, navíc zohlednit specifika české veřejné debaty o zdravotnictví.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7.1 Pro veřejnost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Cíl: srozumitelnost, důvěra, informovanost. Tonalita věcná, neutrální, bez politických hodnocení. Zobrazování dat: velké jednoduché grafy, mapa krajů, srovnání s evropským průměrem, vysvětlivky v běžné češtině. Doporučení: 8 hlavních ukazatelů na úvodní stránce, princip "co to znamená pro mě a mou rodinu".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7.2 Pro odborníky (lékaře, manažery, pojišťovny)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Cíl: benchmark vůči EU/OECD, klinická a manažerská relevance. Hlubší filtry: regionální, specializace, typ poskytovatele. Možnost stáhnout surová data, citovat metodiku, propojit na vlastní QI procesy v nemocnici. Doporučení: PREMs/PROMs sekce, integrace s NRC, audit trail.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7.3 Pro tvůrce politik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Cíl: navázat indikátory na strategické cíle (Zdraví 2030, Strategický rámec do 2035, Národní kardiovaskulární plán, reforma psychiatrické péče). Pro každý indikátor: trend, mezera vůči OECD, identifikace doporučených opatření, odkaz na strategický dokument. Doporučení: speciální "policy view" s přehledem priorit, opatřeními a měřitelnými cíli na 4 roky.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7.4 Veřejný launch a media plán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Pre-launch (3 měsíce): briefing s Asociací zdravotnických médií, ČTK, MF Dnes, Zdravotnický deník.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event: tisková konference s ministrem, ÚZIS ředitelem, OECD a externím vědeckým garantem.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Pravidelná komunikace: čtvrtletní výstupy ("indikátor čtvrtletí"), novinová série v Zdravotnickém deníku.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Sociální sítě: vizuální infografiky pro X/Bluesky, krátká videa pro YouTube/TikTok pro mladší cílovku.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8 · Implementační roadmapa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Projekt je navržen jako tříletá iterativní implementace, která respektuje princip "ship early, ship often". MVP je publikováno do 12 měsíců — viditelnost je důležitější než úplnost.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8.1 Fáze 1 — Jádro (M0–M12)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60"/>
        <w:gridCol w:w="37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Měsíc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Výstup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M0–M2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Zřízení governance struktury, jmenování HLAB a hlavní pracovní skupiny.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Mandát, zápisy, statut.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M2–M4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Selekce 40 jádrových indikátorů z 122 OECD HSPA. Metodické karty.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 indikátorů v1.0.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M3–M6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Datová pipeline: harmonizace zdrojů NZIS, NRC, ČSÚ, OECD.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Funkční ETL, interní dashboard.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M5–M9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Vývoj veřejného portálu — design, frontend, accessibility audit.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verze portálu.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M8–M11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Externí vědecká revize, právní revize (GDPR, FOI), uživatelské testování.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Validovaná v1.0.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M11–M12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Veřejný launch, tisková konference, první výroční zpráva.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Spuštěn portál Zdravé Česko.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8.2 Fáze 2 — Tematické moduly (M13–M24)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 Mentální zdraví — propojení s reformou psychiatrické péče (data NÚDZ, CDZ).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 Prevence — screeningy, očkování, zdravotní gramotnost.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 Péče o seniory — propojení MPSV a MZČR datasetů.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 Equity — drilldowns podle SES, regionu, pohlaví, věku.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Rozšíření regionálních pohledů, mapa krajů, drilldowns na úroveň ORP a poskytovatelů.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8.3 Fáze 3 — Pokročilá analytika (M25–M36)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 Péče v závěru života a paliativní péče.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 Environmentální udržitelnost (po vzoru Belgie 2023).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Prediktivní analytika a scénářové simulace (kapacity, čekací doby, demografie).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Otevřené API a integrace s data.gov.cz.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Druhá velká HSPA zpráva (2029).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9 · Rozpočet a zdroje financování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Odhad nákladů vychází ze srovnání s belgickým HSPA (KCE rozpočet ~ 4,5 mil. EUR/rok), českými IT projekty obdobné velikosti a běžnou praxí ÚZIS. Předpokládá efektivní využití existující infrastruktury NZIS.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Položka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Fáze 1 (rok 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Fáze 2 (rok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Fáze 3 (rok 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Celkem 3 roky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Vývoj portálu, design,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mil. Kč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mil. Kč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Datová integrace, ETL, infrastruktura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mil. Kč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mil. Kč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Personál (PMO, analytici, koordinátor)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mil. Kč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mil. Kč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Externí vědecká garance, fokusní skup.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mil. Kč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mil. Kč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Komunikace, akce, výroční zpráva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 mil. Kč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mil. Kč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Rezerva 10 %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2,4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 mil. Kč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7,7 mil. Kč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~33,5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~26,4 mil. Kč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~24,8 mil. Kč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~84,7 mil. Kč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9.1 Možné zdroje financování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Národní plán obnovy (NPO) — komponent eHealth a digitální transformace zdravotnictví.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Operační program Zdraví (OPZ) 2021–2027 a navazující programy 2028+.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Programy DG SANTE / EU4Health — Belgie čerpala obdobně.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Rozpočet MZČR — část jako rozšíření existující agendy ÚZIS.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Technická pomoc OECD/EK (po vzoru projektu HSPA framework 2021–2023).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10 · Rizika a jejich mitigace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9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Pravd.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Politický cyklus / změna ministra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Zakotvit projekt smluvně (memorandum) napříč politickými stranami; opřít o zákon č. 372/2011 Sb.; institucionalizovat na ÚZIS.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Resistence poskytovatelů (transparentnost srovnání)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Zapojit ČLK, ČAS, AKČR od počátku; benchmark anonymizovat na úrovni nemocnice ve Fázi 1, deanonymizovat postupně.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Datová mezera — chybějící PROMs, equity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katalogu označit "aspirační" indikátory; investovat do rozšíření NRC PROMs sběru.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Pomalá adopce uživateli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testování v Beta fázi; uživatelské workshopy; PR kampaň při launchi.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Technologický dluh ÚZIS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Použít moderní stack (dbt, FastAPI), neopírat se o legacy systémy NZIS pro výpočetní vrstvu.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Rozpočtové škrty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Fázování umožňuje pozastavení Fáze 3 bez zničení dosavadní hodnoty.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/ ochrana dat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Nízká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Veškerá data jsou agregátní; spolupráce s ÚOOÚ; anonymizační audit před launchem.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Kvalitativní mezera vůči Belgii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Nízký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Belgická HSPA má 15letý náskok — nesrovnávat se s nimi v roce 1, ale v roce 5.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11 · Měřitelné cíle úspěchu projektu (KPIs)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Projekt sám sebe podléhá hodnocení podle stejné logiky, kterou aplikuje na zdravotnický systém. Doporučujeme definovat osm klíčových KPI, které budou veřejně reportovány na vlastní podstránce portálu.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100"/>
        <w:gridCol w:w="2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Cíl Fáze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9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Cíl Fáze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publikovaných indikátorů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Frekvence aktualizace dat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 ročně (jádro)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měsíčně (vybrané)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Unikátní návštěvníci portálu / měsíc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stakeholderů v HLAB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Pokrytí indikátorů metodickou kartou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odkazů z odborných médií / rok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stažených otevřených datasetů / rok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Spokojenost uživatelů (UX survey)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70 %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80 %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12 · Závěr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Česká republika má všechny stavební kameny pro vznik veřejného HSPA portálu — má univerzální zdravotní pojištění, kvalitní datovou infrastrukturu (NZIS, NRC, VZP/SZP), vlastní rámec HSPA z dílny OECD, strategické dokumenty (Zdraví 2030, Strategický rámec do 2035), Národní zdravotnický informační portál jako platformu, a klíčové instituce, které jsou na pohybu připraveny. Co dosud chybí, je jediné společné místo, kde se to spojí, a politická vůle k tomu, aby se data o zdravotnictví stala veřejným statkem v plném slova smyslu.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Tento dokument předkládá konkrétní, fázovanou a rozpočtově ukotvenou cestu k tomu, jak ji vytvořit. Inspirace u belgického modelu Healthy Belgium není slepá imitace — je to převzetí osvědčené governance struktury a komunikační logiky a její adaptace na české instituce, jazyk a politické prostředí. Při dodržení doporučeného fázování je MVP v dosahu jednoho roku a 33 milionů korun. To je o řád méně než stojí jediné křídlo nové nemocnice — a viditelnost zdravotního systému, kterou tato investice vytvoří, bude působit na kvalitu péče v celé republice.</w:t>
      </w:r>
    </w:p>
    <w:p>
      <w:pPr>
        <w:spacing w:after="2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A6770"/>
          <w:sz w:val="22"/>
          <w:szCs w:val="22"/>
        </w:rPr>
        <w:t xml:space="preserve">— —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Příloha A: Vybrané zdroje a literatura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OECD (2023). Health System Performance Assessment Framework for the Czech Republic. OECD Publishing, Paris. https://doi.org/10.1787/5d59b667-en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OECD (2025). Health at a Glance 2025: Czechia country profile. OECD Publishing, Paris.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OECD (2026). Learning through national Health System Performance Assessment (HSPA). OECD Policy Paper, January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KCE (2024). Performance of the Belgian health system: Report 2024. KCE Reports 370.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European Commission / OECD (2025). State of Health in the EU — Czechia: Country Health Profile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Ministerstvo zdravotnictví ČR (2025). Strategický rámec rozvoje péče o zdraví v České republice do roku 2035.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Ministerstvo zdravotnictví ČR (2025). Národní strategie elektronického zdravotnictví 2025–2035.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ÚZIS ČR (2024). Koncepce rozvoje NZIS. Praha: Ústav zdravotnických informací a statistiky ČR.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Healthy Belgium (2024). https://www.healthybelgium.be/en/health-system-performance-assessment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Sciensano / KCE. Belgian HSPA online platform. https://www.sciensano.be/en/health-topics/health-system-performance-assessment-hspa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770"/>
        <w:sz w:val="18"/>
        <w:szCs w:val="18"/>
      </w:rPr>
      <w:t xml:space="preserve">Strana </w:t>
    </w:r>
    <w:r>
      <w:rPr>
        <w:rFonts w:ascii="Arial" w:cs="Arial" w:eastAsia="Arial" w:hAnsi="Arial"/>
        <w:color w:val="5A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770"/>
        <w:sz w:val="18"/>
        <w:szCs w:val="18"/>
      </w:rPr>
      <w:t xml:space="preserve"> z </w:t>
    </w:r>
    <w:r>
      <w:rPr>
        <w:rFonts w:ascii="Arial" w:cs="Arial" w:eastAsia="Arial" w:hAnsi="Arial"/>
        <w:color w:val="5A677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770"/>
        <w:sz w:val="18"/>
        <w:szCs w:val="18"/>
      </w:rPr>
      <w:t xml:space="preserve">   ·   v1.0 · květen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770"/>
        <w:sz w:val="18"/>
        <w:szCs w:val="18"/>
      </w:rPr>
      <w:t xml:space="preserve">Zdravé Česko · Strategický plán HSPA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7376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B539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737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Zdravé Česko — Strategický plán</dc:title>
  <dc:creator>HSPA Project</dc:creator>
  <dc:description>Implementace HSPA portálu pro Českou republiku</dc:description>
  <cp:lastModifiedBy>Un-named</cp:lastModifiedBy>
  <cp:revision>1</cp:revision>
  <dcterms:created xsi:type="dcterms:W3CDTF">2026-05-04T19:29:03.521Z</dcterms:created>
  <dcterms:modified xsi:type="dcterms:W3CDTF">2026-05-04T19:29:03.521Z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