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600" w:type="dxa"/>
          <w:left w:w="400" w:type="dxa"/>
          <w:bottom w:w="600" w:type="dxa"/>
          <w:right w:w="400" w:type="dxa"/>
        </w:tblCellMar>
      </w:tblPr>
      <w:tblGrid>
        <w:gridCol w:w="9360"/>
      </w:tblGrid>
      <w:tr>
        <w:trPr/>
        <w:tc>
          <w:tcPr>
            <w:tcW w:w="9360" w:type="dxa"/>
            <w:tcBorders/>
            <w:shd w:fill="1A5E2A" w:val="clear"/>
          </w:tcPr>
          <w:p>
            <w:pPr>
              <w:pStyle w:val="Normal"/>
              <w:spacing w:before="0" w:after="80"/>
              <w:jc w:val="center"/>
              <w:rPr/>
            </w:pPr>
            <w:r>
              <w:rPr>
                <w:rFonts w:eastAsia="Arial" w:cs="Arial"/>
                <w:sz w:val="72"/>
                <w:szCs w:val="72"/>
              </w:rPr>
              <w:t>AgriGuard</w:t>
            </w:r>
          </w:p>
          <w:p>
            <w:pPr>
              <w:pStyle w:val="Normal"/>
              <w:spacing w:before="0" w:after="120"/>
              <w:jc w:val="center"/>
              <w:rPr/>
            </w:pPr>
            <w:r>
              <w:rPr>
                <w:rFonts w:eastAsia="Arial" w:cs="Arial"/>
                <w:b/>
                <w:bCs/>
                <w:color w:val="FFFFFF"/>
                <w:sz w:val="72"/>
                <w:szCs w:val="72"/>
              </w:rPr>
              <w:t>AgriGuard</w:t>
            </w:r>
          </w:p>
          <w:p>
            <w:pPr>
              <w:pStyle w:val="Normal"/>
              <w:spacing w:before="0" w:after="120"/>
              <w:jc w:val="center"/>
              <w:rPr/>
            </w:pPr>
            <w:r>
              <w:rPr>
                <w:rFonts w:eastAsia="Arial" w:cs="Arial"/>
                <w:color w:val="C8E6C9"/>
                <w:sz w:val="28"/>
                <w:szCs w:val="28"/>
              </w:rPr>
              <w:t>Agricultural Intelligence System for Uganda</w:t>
            </w:r>
          </w:p>
          <w:p>
            <w:pPr>
              <w:pStyle w:val="Normal"/>
              <w:spacing w:before="0" w:after="0"/>
              <w:jc w:val="center"/>
              <w:rPr/>
            </w:pPr>
            <w:r>
              <w:rPr>
                <w:rFonts w:eastAsia="Arial" w:cs="Arial"/>
                <w:i/>
                <w:iCs/>
                <w:color w:val="C8E6C9"/>
                <w:sz w:val="22"/>
                <w:szCs w:val="22"/>
              </w:rPr>
              <w:t>In-Depth Project Report  •  SWOT Analysis  •  MVP Roadmap</w:t>
            </w:r>
          </w:p>
        </w:tc>
      </w:tr>
    </w:tbl>
    <w:p>
      <w:pPr>
        <w:pStyle w:val="Normal"/>
        <w:spacing w:lineRule="auto" w:line="276" w:before="0" w:after="120"/>
        <w:jc w:val="left"/>
        <w:rPr/>
      </w:pPr>
      <w:r>
        <w:rPr/>
      </w:r>
    </w:p>
    <w:tbl>
      <w:tblPr>
        <w:tblW w:w="9360" w:type="dxa"/>
        <w:jc w:val="left"/>
        <w:tblInd w:w="0" w:type="dxa"/>
        <w:tblLayout w:type="fixed"/>
        <w:tblCellMar>
          <w:top w:w="100" w:type="dxa"/>
          <w:left w:w="150" w:type="dxa"/>
          <w:bottom w:w="100" w:type="dxa"/>
          <w:right w:w="150" w:type="dxa"/>
        </w:tblCellMar>
      </w:tblPr>
      <w:tblGrid>
        <w:gridCol w:w="4680"/>
        <w:gridCol w:w="4679"/>
      </w:tblGrid>
      <w:tr>
        <w:trPr/>
        <w:tc>
          <w:tcPr>
            <w:tcW w:w="4680" w:type="dxa"/>
            <w:tcBorders/>
            <w:shd w:fill="F1F8F1" w:val="clear"/>
          </w:tcPr>
          <w:p>
            <w:pPr>
              <w:pStyle w:val="Normal"/>
              <w:spacing w:lineRule="auto" w:line="276" w:before="0" w:after="120"/>
              <w:jc w:val="left"/>
              <w:rPr/>
            </w:pPr>
            <w:r>
              <w:rPr>
                <w:rFonts w:eastAsia="Arial" w:cs="Arial"/>
                <w:b/>
                <w:bCs/>
                <w:i w:val="false"/>
                <w:iCs w:val="false"/>
                <w:color w:val="2E7D32"/>
                <w:sz w:val="20"/>
                <w:szCs w:val="20"/>
              </w:rPr>
              <w:t>Prepared by</w:t>
            </w:r>
          </w:p>
          <w:p>
            <w:pPr>
              <w:pStyle w:val="Normal"/>
              <w:spacing w:lineRule="auto" w:line="276" w:before="0" w:after="120"/>
              <w:jc w:val="left"/>
              <w:rPr/>
            </w:pPr>
            <w:r>
              <w:rPr>
                <w:rFonts w:eastAsia="Arial" w:cs="Arial"/>
                <w:b/>
                <w:bCs/>
                <w:i w:val="false"/>
                <w:iCs w:val="false"/>
                <w:color w:val="2C2C2C"/>
                <w:sz w:val="22"/>
                <w:szCs w:val="22"/>
              </w:rPr>
              <w:t>Keith Ndiema Kissa</w:t>
            </w:r>
          </w:p>
          <w:p>
            <w:pPr>
              <w:pStyle w:val="Normal"/>
              <w:spacing w:lineRule="auto" w:line="276" w:before="0" w:after="120"/>
              <w:jc w:val="left"/>
              <w:rPr/>
            </w:pPr>
            <w:r>
              <w:rPr>
                <w:rFonts w:eastAsia="Arial" w:cs="Arial"/>
                <w:b w:val="false"/>
                <w:bCs w:val="false"/>
                <w:i w:val="false"/>
                <w:iCs w:val="false"/>
                <w:color w:val="555555"/>
                <w:sz w:val="20"/>
                <w:szCs w:val="20"/>
              </w:rPr>
              <w:t>Computer Science Student</w:t>
            </w:r>
          </w:p>
          <w:p>
            <w:pPr>
              <w:pStyle w:val="Normal"/>
              <w:spacing w:lineRule="auto" w:line="276" w:before="0" w:after="120"/>
              <w:jc w:val="left"/>
              <w:rPr/>
            </w:pPr>
            <w:r>
              <w:rPr>
                <w:rFonts w:eastAsia="Arial" w:cs="Arial"/>
                <w:b w:val="false"/>
                <w:bCs w:val="false"/>
                <w:i w:val="false"/>
                <w:iCs w:val="false"/>
                <w:color w:val="555555"/>
                <w:sz w:val="20"/>
                <w:szCs w:val="20"/>
              </w:rPr>
              <w:t>Mbarara University of Science and Technology</w:t>
            </w:r>
          </w:p>
        </w:tc>
        <w:tc>
          <w:tcPr>
            <w:tcW w:w="4679" w:type="dxa"/>
            <w:tcBorders/>
            <w:shd w:fill="C8E6C9" w:val="clear"/>
          </w:tcPr>
          <w:p>
            <w:pPr>
              <w:pStyle w:val="Normal"/>
              <w:spacing w:lineRule="auto" w:line="276" w:before="0" w:after="120"/>
              <w:jc w:val="left"/>
              <w:rPr/>
            </w:pPr>
            <w:r>
              <w:rPr>
                <w:rFonts w:eastAsia="Arial" w:cs="Arial"/>
                <w:b/>
                <w:bCs/>
                <w:i w:val="false"/>
                <w:iCs w:val="false"/>
                <w:color w:val="2E7D32"/>
                <w:sz w:val="20"/>
                <w:szCs w:val="20"/>
              </w:rPr>
              <w:t>Document Details</w:t>
            </w:r>
          </w:p>
          <w:p>
            <w:pPr>
              <w:pStyle w:val="Normal"/>
              <w:spacing w:lineRule="auto" w:line="276" w:before="0" w:after="120"/>
              <w:jc w:val="left"/>
              <w:rPr/>
            </w:pPr>
            <w:r>
              <w:rPr>
                <w:rFonts w:eastAsia="Arial" w:cs="Arial"/>
                <w:b w:val="false"/>
                <w:bCs w:val="false"/>
                <w:i w:val="false"/>
                <w:iCs w:val="false"/>
                <w:color w:val="555555"/>
                <w:sz w:val="20"/>
                <w:szCs w:val="20"/>
              </w:rPr>
              <w:t>Version: 1.0  |  May 2026</w:t>
            </w:r>
          </w:p>
          <w:p>
            <w:pPr>
              <w:pStyle w:val="Normal"/>
              <w:spacing w:lineRule="auto" w:line="276" w:before="0" w:after="120"/>
              <w:jc w:val="left"/>
              <w:rPr/>
            </w:pPr>
            <w:r>
              <w:rPr>
                <w:rFonts w:eastAsia="Arial" w:cs="Arial"/>
                <w:b w:val="false"/>
                <w:bCs w:val="false"/>
                <w:i w:val="false"/>
                <w:iCs w:val="false"/>
                <w:color w:val="555555"/>
                <w:sz w:val="20"/>
                <w:szCs w:val="20"/>
              </w:rPr>
              <w:t>Classification: Confidential</w:t>
            </w:r>
          </w:p>
          <w:p>
            <w:pPr>
              <w:pStyle w:val="Normal"/>
              <w:spacing w:lineRule="auto" w:line="276" w:before="0" w:after="120"/>
              <w:jc w:val="left"/>
              <w:rPr/>
            </w:pPr>
            <w:r>
              <w:rPr>
                <w:rFonts w:eastAsia="Arial" w:cs="Arial"/>
                <w:b w:val="false"/>
                <w:bCs w:val="false"/>
                <w:i w:val="false"/>
                <w:iCs w:val="false"/>
                <w:color w:val="555555"/>
                <w:sz w:val="20"/>
                <w:szCs w:val="20"/>
              </w:rPr>
              <w:t>Domain: Agricultural Technology / Uganda</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EXECUTIVE SUMMARY</w:t>
            </w:r>
          </w:p>
        </w:tc>
      </w:tr>
    </w:tbl>
    <w:p>
      <w:pPr>
        <w:pStyle w:val="Normal"/>
        <w:spacing w:lineRule="auto" w:line="276" w:before="0" w:after="120"/>
        <w:jc w:val="left"/>
        <w:rPr/>
      </w:pPr>
      <w:r>
        <w:rPr/>
      </w:r>
    </w:p>
    <w:p>
      <w:pPr>
        <w:pStyle w:val="Normal"/>
        <w:spacing w:lineRule="auto" w:line="300" w:before="0" w:after="160"/>
        <w:jc w:val="left"/>
        <w:rPr/>
      </w:pPr>
      <w:r>
        <w:rPr>
          <w:rFonts w:eastAsia="Arial" w:cs="Arial"/>
          <w:b w:val="false"/>
          <w:bCs w:val="false"/>
          <w:i w:val="false"/>
          <w:iCs w:val="false"/>
          <w:color w:val="555555"/>
          <w:sz w:val="22"/>
          <w:szCs w:val="22"/>
        </w:rPr>
        <w:t>AgriGuard is a next-generation agricultural intelligence platform designed specifically for Uganda and scalable to the broader East African market. It addresses a critical and persistent gap in Uganda's agricultural sector: farmers, traders, and consumers operate in a state of information poverty — without reliable, timely, or predictive data on crop prices, farm input costs, or market dynamics. This report presents a comprehensive analysis of AgriGuard's strategic position, technical architecture, competitive landscape, MVP roadmap, and full tool stack.</w:t>
      </w:r>
    </w:p>
    <w:p>
      <w:pPr>
        <w:pStyle w:val="Normal"/>
        <w:spacing w:lineRule="auto" w:line="300" w:before="0" w:after="160"/>
        <w:jc w:val="left"/>
        <w:rPr/>
      </w:pPr>
      <w:r>
        <w:rPr>
          <w:rFonts w:eastAsia="Arial" w:cs="Arial"/>
          <w:b w:val="false"/>
          <w:bCs w:val="false"/>
          <w:i w:val="false"/>
          <w:iCs w:val="false"/>
          <w:color w:val="555555"/>
          <w:sz w:val="22"/>
          <w:szCs w:val="22"/>
        </w:rPr>
        <w:t>AgriGuard uniquely combines real-time price monitoring, machine learning price forecasting, input market anomaly detection, weather intelligence, and agricultural advisory in a single platform — a combination that no existing Ugandan platform offers. The project is led by Keith Kissa Ndiema, a Computer Science student at Mbarara University of Science and Technology, positioned at the intersection of academic rigor and real-world agricultural need.</w:t>
      </w:r>
    </w:p>
    <w:p>
      <w:pPr>
        <w:pStyle w:val="Normal"/>
        <w:spacing w:lineRule="auto" w:line="276" w:before="0" w:after="120"/>
        <w:jc w:val="left"/>
        <w:rPr/>
      </w:pPr>
      <w:r>
        <w:rPr/>
      </w:r>
    </w:p>
    <w:p>
      <w:pPr>
        <w:pStyle w:val="Heading1"/>
        <w:pBdr>
          <w:bottom w:val="single" w:sz="6" w:space="4" w:color="4CAF50"/>
        </w:pBdr>
        <w:spacing w:before="360" w:after="200"/>
        <w:rPr/>
      </w:pPr>
      <w:r>
        <w:rPr>
          <w:rFonts w:eastAsia="Arial" w:cs="Arial"/>
          <w:b/>
          <w:bCs/>
          <w:color w:val="1A5E2A"/>
          <w:sz w:val="32"/>
          <w:szCs w:val="32"/>
        </w:rPr>
        <w:t>1. Project Overview</w:t>
      </w:r>
    </w:p>
    <w:p>
      <w:pPr>
        <w:pStyle w:val="Normal"/>
        <w:spacing w:lineRule="auto" w:line="300" w:before="0" w:after="160"/>
        <w:jc w:val="left"/>
        <w:rPr/>
      </w:pPr>
      <w:r>
        <w:rPr>
          <w:rFonts w:eastAsia="Arial" w:cs="Arial"/>
          <w:b w:val="false"/>
          <w:bCs w:val="false"/>
          <w:i w:val="false"/>
          <w:iCs w:val="false"/>
          <w:color w:val="555555"/>
          <w:sz w:val="22"/>
          <w:szCs w:val="22"/>
        </w:rPr>
        <w:t>Uganda's agricultural sector accounts for approximately 26.5% of GDP and employs 68% of the working population. Yet despite this scale, the sector remains plagued by information asymmetry, price volatility, middleman exploitation, and counterfeit farm inputs. AgriGuard is built to confront all of these challenges through a single, unified platform.</w:t>
      </w:r>
    </w:p>
    <w:p>
      <w:pPr>
        <w:pStyle w:val="Heading2"/>
        <w:spacing w:before="280" w:after="160"/>
        <w:rPr/>
      </w:pPr>
      <w:r>
        <w:rPr>
          <w:rFonts w:eastAsia="Arial" w:cs="Arial"/>
          <w:b/>
          <w:bCs/>
          <w:color w:val="2E7D32"/>
          <w:sz w:val="26"/>
          <w:szCs w:val="26"/>
        </w:rPr>
        <w:t>1.1 Mission Statement</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AgriGuard Mission</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To provide every Ugandan farmer, trader, and consumer with real-time, predictive, and trustworthy agricultural market intelligence — eliminating information poverty and reducing exploitation across the entire agricultural value chain.</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1.2 Core Objectives</w:t>
      </w:r>
    </w:p>
    <w:p>
      <w:pPr>
        <w:pStyle w:val="ListParagraph"/>
        <w:numPr>
          <w:ilvl w:val="0"/>
          <w:numId w:val="4"/>
        </w:numPr>
        <w:spacing w:before="40" w:after="60"/>
        <w:rPr/>
      </w:pPr>
      <w:r>
        <w:rPr>
          <w:rFonts w:eastAsia="Arial" w:cs="Arial"/>
          <w:b w:val="false"/>
          <w:bCs w:val="false"/>
          <w:color w:val="2C2C2C"/>
          <w:sz w:val="21"/>
          <w:szCs w:val="21"/>
        </w:rPr>
        <w:t>Real-time price monitoring across multiple Ugandan markets for crops, livestock, and farm inputs</w:t>
      </w:r>
    </w:p>
    <w:p>
      <w:pPr>
        <w:pStyle w:val="ListParagraph"/>
        <w:numPr>
          <w:ilvl w:val="0"/>
          <w:numId w:val="5"/>
        </w:numPr>
        <w:spacing w:before="40" w:after="60"/>
        <w:rPr/>
      </w:pPr>
      <w:r>
        <w:rPr>
          <w:rFonts w:eastAsia="Arial" w:cs="Arial"/>
          <w:b w:val="false"/>
          <w:bCs w:val="false"/>
          <w:color w:val="2C2C2C"/>
          <w:sz w:val="21"/>
          <w:szCs w:val="21"/>
        </w:rPr>
        <w:t>Machine learning-based price forecasting to predict future commodity prices</w:t>
      </w:r>
    </w:p>
    <w:p>
      <w:pPr>
        <w:pStyle w:val="ListParagraph"/>
        <w:numPr>
          <w:ilvl w:val="0"/>
          <w:numId w:val="6"/>
        </w:numPr>
        <w:spacing w:before="40" w:after="60"/>
        <w:rPr/>
      </w:pPr>
      <w:r>
        <w:rPr>
          <w:rFonts w:eastAsia="Arial" w:cs="Arial"/>
          <w:b w:val="false"/>
          <w:bCs w:val="false"/>
          <w:color w:val="2C2C2C"/>
          <w:sz w:val="21"/>
          <w:szCs w:val="21"/>
        </w:rPr>
        <w:t>Anomaly detection to identify counterfeit or overpriced farm inputs</w:t>
      </w:r>
    </w:p>
    <w:p>
      <w:pPr>
        <w:pStyle w:val="ListParagraph"/>
        <w:numPr>
          <w:ilvl w:val="0"/>
          <w:numId w:val="7"/>
        </w:numPr>
        <w:spacing w:before="40" w:after="60"/>
        <w:rPr/>
      </w:pPr>
      <w:r>
        <w:rPr>
          <w:rFonts w:eastAsia="Arial" w:cs="Arial"/>
          <w:b w:val="false"/>
          <w:bCs w:val="false"/>
          <w:color w:val="2C2C2C"/>
          <w:sz w:val="21"/>
          <w:szCs w:val="21"/>
        </w:rPr>
        <w:t>Weather and agronomic advisory integration for holistic farmer decision support</w:t>
      </w:r>
    </w:p>
    <w:p>
      <w:pPr>
        <w:pStyle w:val="ListParagraph"/>
        <w:numPr>
          <w:ilvl w:val="0"/>
          <w:numId w:val="8"/>
        </w:numPr>
        <w:spacing w:before="40" w:after="60"/>
        <w:rPr/>
      </w:pPr>
      <w:r>
        <w:rPr>
          <w:rFonts w:eastAsia="Arial" w:cs="Arial"/>
          <w:b w:val="false"/>
          <w:bCs w:val="false"/>
          <w:color w:val="2C2C2C"/>
          <w:sz w:val="21"/>
          <w:szCs w:val="21"/>
        </w:rPr>
        <w:t>FastAPI-powered backend with mobile-first delivery (SMS, USSD, App)</w:t>
      </w:r>
    </w:p>
    <w:p>
      <w:pPr>
        <w:pStyle w:val="ListParagraph"/>
        <w:numPr>
          <w:ilvl w:val="0"/>
          <w:numId w:val="9"/>
        </w:numPr>
        <w:spacing w:before="40" w:after="60"/>
        <w:rPr/>
      </w:pPr>
      <w:r>
        <w:rPr>
          <w:rFonts w:eastAsia="Arial" w:cs="Arial"/>
          <w:b w:val="false"/>
          <w:bCs w:val="false"/>
          <w:color w:val="2C2C2C"/>
          <w:sz w:val="21"/>
          <w:szCs w:val="21"/>
        </w:rPr>
        <w:t>Scalable MySQL database architecture from Uganda → East Africa → Global</w:t>
      </w:r>
    </w:p>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1.3 Target Users</w:t>
      </w:r>
    </w:p>
    <w:tbl>
      <w:tblPr>
        <w:tblW w:w="9360" w:type="dxa"/>
        <w:jc w:val="left"/>
        <w:tblInd w:w="0" w:type="dxa"/>
        <w:tblLayout w:type="fixed"/>
        <w:tblCellMar>
          <w:top w:w="100" w:type="dxa"/>
          <w:left w:w="150" w:type="dxa"/>
          <w:bottom w:w="100" w:type="dxa"/>
          <w:right w:w="150" w:type="dxa"/>
        </w:tblCellMar>
      </w:tblPr>
      <w:tblGrid>
        <w:gridCol w:w="2340"/>
        <w:gridCol w:w="3510"/>
        <w:gridCol w:w="3510"/>
      </w:tblGrid>
      <w:tr>
        <w:trPr/>
        <w:tc>
          <w:tcPr>
            <w:tcW w:w="234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User Group</w:t>
            </w:r>
          </w:p>
        </w:tc>
        <w:tc>
          <w:tcPr>
            <w:tcW w:w="351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Primary Need</w:t>
            </w:r>
          </w:p>
        </w:tc>
        <w:tc>
          <w:tcPr>
            <w:tcW w:w="351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AgriGuard Value</w:t>
            </w:r>
          </w:p>
        </w:tc>
      </w:tr>
      <w:tr>
        <w:trPr/>
        <w:tc>
          <w:tcPr>
            <w:tcW w:w="234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Smallholder Farmers</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2"/>
                <w:szCs w:val="22"/>
              </w:rPr>
              <w:t>Best price, best market, best time to sell</w:t>
            </w:r>
          </w:p>
        </w:tc>
        <w:tc>
          <w:tcPr>
            <w:tcW w:w="351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Real-time prices + price forecasts + sell recommendations</w:t>
            </w:r>
          </w:p>
        </w:tc>
      </w:tr>
      <w:tr>
        <w:trPr/>
        <w:tc>
          <w:tcPr>
            <w:tcW w:w="234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Traders / Middlemen</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2"/>
                <w:szCs w:val="22"/>
              </w:rPr>
              <w:t>Market arbitrage opportunities</w:t>
            </w:r>
          </w:p>
        </w:tc>
        <w:tc>
          <w:tcPr>
            <w:tcW w:w="351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Cross-market price comparison + trend analysis</w:t>
            </w:r>
          </w:p>
        </w:tc>
      </w:tr>
      <w:tr>
        <w:trPr/>
        <w:tc>
          <w:tcPr>
            <w:tcW w:w="234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Agro-input Dealers</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2"/>
                <w:szCs w:val="22"/>
              </w:rPr>
              <w:t>Competitive pricing intelligence</w:t>
            </w:r>
          </w:p>
        </w:tc>
        <w:tc>
          <w:tcPr>
            <w:tcW w:w="351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Input price benchmarks + anomaly alerts</w:t>
            </w:r>
          </w:p>
        </w:tc>
      </w:tr>
      <w:tr>
        <w:trPr/>
        <w:tc>
          <w:tcPr>
            <w:tcW w:w="234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NGOs &amp; Development Partners</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2"/>
                <w:szCs w:val="22"/>
              </w:rPr>
              <w:t>Programme monitoring and impact data</w:t>
            </w:r>
          </w:p>
        </w:tc>
        <w:tc>
          <w:tcPr>
            <w:tcW w:w="351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API access to clean, validated agricultural data</w:t>
            </w:r>
          </w:p>
        </w:tc>
      </w:tr>
      <w:tr>
        <w:trPr/>
        <w:tc>
          <w:tcPr>
            <w:tcW w:w="234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Government / MAAIF</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2"/>
                <w:szCs w:val="22"/>
              </w:rPr>
              <w:t>Policy-level market visibility</w:t>
            </w:r>
          </w:p>
        </w:tc>
        <w:tc>
          <w:tcPr>
            <w:tcW w:w="351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2"/>
                <w:szCs w:val="22"/>
              </w:rPr>
              <w:t>Aggregated dashboards + early-warning price spike alerts</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2. SWOT ANALYSIS</w:t>
            </w:r>
          </w:p>
        </w:tc>
      </w:tr>
    </w:tbl>
    <w:p>
      <w:pPr>
        <w:pStyle w:val="Normal"/>
        <w:spacing w:lineRule="auto" w:line="276" w:before="0" w:after="120"/>
        <w:jc w:val="left"/>
        <w:rPr/>
      </w:pPr>
      <w:r>
        <w:rPr/>
      </w:r>
    </w:p>
    <w:p>
      <w:pPr>
        <w:pStyle w:val="Normal"/>
        <w:spacing w:lineRule="auto" w:line="276" w:before="0" w:after="200"/>
        <w:jc w:val="left"/>
        <w:rPr/>
      </w:pPr>
      <w:r>
        <w:rPr>
          <w:rFonts w:eastAsia="Arial" w:cs="Arial"/>
          <w:b w:val="false"/>
          <w:bCs w:val="false"/>
          <w:i w:val="false"/>
          <w:iCs w:val="false"/>
          <w:color w:val="555555"/>
          <w:sz w:val="22"/>
          <w:szCs w:val="22"/>
        </w:rPr>
        <w:t>A rigorous SWOT analysis situates AgriGuard within its operational, competitive, and environmental context.</w:t>
      </w:r>
    </w:p>
    <w:tbl>
      <w:tblPr>
        <w:tblW w:w="9360" w:type="dxa"/>
        <w:jc w:val="left"/>
        <w:tblInd w:w="0" w:type="dxa"/>
        <w:tblLayout w:type="fixed"/>
        <w:tblCellMar>
          <w:top w:w="100" w:type="dxa"/>
          <w:left w:w="150" w:type="dxa"/>
          <w:bottom w:w="100" w:type="dxa"/>
          <w:right w:w="150" w:type="dxa"/>
        </w:tblCellMar>
      </w:tblPr>
      <w:tblGrid>
        <w:gridCol w:w="1439"/>
        <w:gridCol w:w="3241"/>
        <w:gridCol w:w="1439"/>
        <w:gridCol w:w="3240"/>
      </w:tblGrid>
      <w:tr>
        <w:trPr/>
        <w:tc>
          <w:tcPr>
            <w:tcW w:w="1439" w:type="dxa"/>
            <w:tcBorders>
              <w:top w:val="single" w:sz="2" w:space="0" w:color="CCCCCC"/>
              <w:left w:val="single" w:sz="2" w:space="0" w:color="CCCCCC"/>
              <w:bottom w:val="single" w:sz="2" w:space="0" w:color="CCCCCC"/>
              <w:right w:val="single" w:sz="2" w:space="0" w:color="CCCCCC"/>
            </w:tcBorders>
            <w:shd w:fill="2E7D32" w:val="clear"/>
          </w:tcPr>
          <w:p>
            <w:pPr>
              <w:pStyle w:val="Normal"/>
              <w:spacing w:lineRule="auto" w:line="276" w:before="0" w:after="120"/>
              <w:jc w:val="center"/>
              <w:rPr/>
            </w:pPr>
            <w:r>
              <w:rPr>
                <w:rFonts w:eastAsia="Arial" w:cs="Arial"/>
                <w:b/>
                <w:bCs/>
                <w:i w:val="false"/>
                <w:iCs w:val="false"/>
                <w:color w:val="FFFFFF"/>
                <w:sz w:val="22"/>
                <w:szCs w:val="22"/>
              </w:rPr>
              <w:t>STRENGTHS</w:t>
            </w:r>
          </w:p>
        </w:tc>
        <w:tc>
          <w:tcPr>
            <w:tcW w:w="3241" w:type="dxa"/>
            <w:tcBorders>
              <w:top w:val="single" w:sz="2" w:space="0" w:color="CCCCCC"/>
              <w:left w:val="single" w:sz="2" w:space="0" w:color="CCCCCC"/>
              <w:bottom w:val="single" w:sz="2" w:space="0" w:color="CCCCCC"/>
              <w:right w:val="single" w:sz="2" w:space="0" w:color="CCCCCC"/>
            </w:tcBorders>
            <w:shd w:fill="C8E6C9" w:val="clear"/>
          </w:tcPr>
          <w:p>
            <w:pPr>
              <w:pStyle w:val="Normal"/>
              <w:spacing w:lineRule="auto" w:line="276" w:before="0" w:after="120"/>
              <w:jc w:val="left"/>
              <w:rPr/>
            </w:pPr>
            <w:r>
              <w:rPr>
                <w:rFonts w:eastAsia="Arial" w:cs="Arial"/>
                <w:b w:val="false"/>
                <w:bCs w:val="false"/>
                <w:i w:val="false"/>
                <w:iCs w:val="false"/>
                <w:color w:val="555555"/>
                <w:sz w:val="18"/>
                <w:szCs w:val="18"/>
              </w:rPr>
              <w:t>Internal advantages AgriGuard already has</w:t>
            </w:r>
          </w:p>
        </w:tc>
        <w:tc>
          <w:tcPr>
            <w:tcW w:w="1439" w:type="dxa"/>
            <w:tcBorders>
              <w:top w:val="single" w:sz="2" w:space="0" w:color="CCCCCC"/>
              <w:left w:val="single" w:sz="2" w:space="0" w:color="CCCCCC"/>
              <w:bottom w:val="single" w:sz="2" w:space="0" w:color="CCCCCC"/>
              <w:right w:val="single" w:sz="2" w:space="0" w:color="CCCCCC"/>
            </w:tcBorders>
            <w:shd w:fill="F57F17" w:val="clear"/>
          </w:tcPr>
          <w:p>
            <w:pPr>
              <w:pStyle w:val="Normal"/>
              <w:spacing w:lineRule="auto" w:line="276" w:before="0" w:after="120"/>
              <w:jc w:val="center"/>
              <w:rPr/>
            </w:pPr>
            <w:r>
              <w:rPr>
                <w:rFonts w:eastAsia="Arial" w:cs="Arial"/>
                <w:b/>
                <w:bCs/>
                <w:i w:val="false"/>
                <w:iCs w:val="false"/>
                <w:color w:val="FFFFFF"/>
                <w:sz w:val="22"/>
                <w:szCs w:val="22"/>
              </w:rPr>
              <w:t>WEAKNESSES</w:t>
            </w:r>
          </w:p>
        </w:tc>
        <w:tc>
          <w:tcPr>
            <w:tcW w:w="3240" w:type="dxa"/>
            <w:tcBorders>
              <w:top w:val="single" w:sz="2" w:space="0" w:color="CCCCCC"/>
              <w:left w:val="single" w:sz="2" w:space="0" w:color="CCCCCC"/>
              <w:bottom w:val="single" w:sz="2" w:space="0" w:color="CCCCCC"/>
              <w:right w:val="single" w:sz="2" w:space="0" w:color="CCCCCC"/>
            </w:tcBorders>
            <w:shd w:fill="FFFDE7" w:val="clear"/>
          </w:tcPr>
          <w:p>
            <w:pPr>
              <w:pStyle w:val="Normal"/>
              <w:spacing w:lineRule="auto" w:line="276" w:before="0" w:after="120"/>
              <w:jc w:val="left"/>
              <w:rPr/>
            </w:pPr>
            <w:r>
              <w:rPr>
                <w:rFonts w:eastAsia="Arial" w:cs="Arial"/>
                <w:b w:val="false"/>
                <w:bCs w:val="false"/>
                <w:i w:val="false"/>
                <w:iCs w:val="false"/>
                <w:color w:val="555555"/>
                <w:sz w:val="18"/>
                <w:szCs w:val="18"/>
              </w:rPr>
              <w:t>Internal gaps to address</w:t>
            </w:r>
          </w:p>
        </w:tc>
      </w:tr>
      <w:tr>
        <w:trPr/>
        <w:tc>
          <w:tcPr>
            <w:tcW w:w="1439" w:type="dxa"/>
            <w:tcBorders>
              <w:top w:val="single" w:sz="2" w:space="0" w:color="CCCCCC"/>
              <w:left w:val="single" w:sz="2" w:space="0" w:color="CCCCCC"/>
              <w:bottom w:val="single" w:sz="2" w:space="0" w:color="CCCCCC"/>
              <w:right w:val="single" w:sz="2" w:space="0" w:color="CCCCCC"/>
            </w:tcBorders>
            <w:shd w:fill="E8F5E9" w:val="clear"/>
          </w:tcPr>
          <w:p>
            <w:pPr>
              <w:pStyle w:val="Normal"/>
              <w:rPr/>
            </w:pPr>
            <w:r>
              <w:rPr>
                <w:rFonts w:eastAsia="Arial" w:cs="Arial"/>
                <w:b/>
                <w:bCs/>
                <w:color w:val="FFFFFF"/>
                <w:sz w:val="19"/>
                <w:szCs w:val="19"/>
              </w:rPr>
              <w:t>S1</w:t>
            </w:r>
          </w:p>
          <w:p>
            <w:pPr>
              <w:pStyle w:val="Normal"/>
              <w:rPr/>
            </w:pPr>
            <w:r>
              <w:rPr>
                <w:rFonts w:eastAsia="Arial" w:cs="Arial"/>
                <w:b/>
                <w:bCs/>
                <w:color w:val="FFFFFF"/>
                <w:sz w:val="19"/>
                <w:szCs w:val="19"/>
              </w:rPr>
              <w:t>S2</w:t>
            </w:r>
          </w:p>
          <w:p>
            <w:pPr>
              <w:pStyle w:val="Normal"/>
              <w:rPr/>
            </w:pPr>
            <w:r>
              <w:rPr>
                <w:rFonts w:eastAsia="Arial" w:cs="Arial"/>
                <w:b/>
                <w:bCs/>
                <w:color w:val="FFFFFF"/>
                <w:sz w:val="19"/>
                <w:szCs w:val="19"/>
              </w:rPr>
              <w:t>S3</w:t>
            </w:r>
          </w:p>
          <w:p>
            <w:pPr>
              <w:pStyle w:val="Normal"/>
              <w:rPr/>
            </w:pPr>
            <w:r>
              <w:rPr>
                <w:rFonts w:eastAsia="Arial" w:cs="Arial"/>
                <w:b/>
                <w:bCs/>
                <w:color w:val="FFFFFF"/>
                <w:sz w:val="19"/>
                <w:szCs w:val="19"/>
              </w:rPr>
              <w:t>S4</w:t>
            </w:r>
          </w:p>
          <w:p>
            <w:pPr>
              <w:pStyle w:val="Normal"/>
              <w:rPr/>
            </w:pPr>
            <w:r>
              <w:rPr>
                <w:rFonts w:eastAsia="Arial" w:cs="Arial"/>
                <w:b/>
                <w:bCs/>
                <w:color w:val="FFFFFF"/>
                <w:sz w:val="19"/>
                <w:szCs w:val="19"/>
              </w:rPr>
              <w:t>S5</w:t>
            </w:r>
          </w:p>
          <w:p>
            <w:pPr>
              <w:pStyle w:val="Normal"/>
              <w:rPr/>
            </w:pPr>
            <w:r>
              <w:rPr>
                <w:rFonts w:eastAsia="Arial" w:cs="Arial"/>
                <w:b/>
                <w:bCs/>
                <w:color w:val="FFFFFF"/>
                <w:sz w:val="19"/>
                <w:szCs w:val="19"/>
              </w:rPr>
              <w:t>S6</w:t>
            </w:r>
          </w:p>
          <w:p>
            <w:pPr>
              <w:pStyle w:val="Normal"/>
              <w:rPr/>
            </w:pPr>
            <w:r>
              <w:rPr>
                <w:rFonts w:eastAsia="Arial" w:cs="Arial"/>
                <w:b/>
                <w:bCs/>
                <w:color w:val="FFFFFF"/>
                <w:sz w:val="19"/>
                <w:szCs w:val="19"/>
              </w:rPr>
              <w:t>S7</w:t>
            </w:r>
          </w:p>
        </w:tc>
        <w:tc>
          <w:tcPr>
            <w:tcW w:w="3241"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Uganda-native: built for local crops, markets &amp; languages</w:t>
            </w:r>
          </w:p>
          <w:p>
            <w:pPr>
              <w:pStyle w:val="Normal"/>
              <w:spacing w:lineRule="auto" w:line="276" w:before="0" w:after="120"/>
              <w:jc w:val="left"/>
              <w:rPr/>
            </w:pPr>
            <w:r>
              <w:rPr>
                <w:rFonts w:eastAsia="Arial" w:cs="Arial"/>
                <w:b w:val="false"/>
                <w:bCs w:val="false"/>
                <w:i w:val="false"/>
                <w:iCs w:val="false"/>
                <w:color w:val="2C2C2C"/>
                <w:sz w:val="19"/>
                <w:szCs w:val="19"/>
              </w:rPr>
              <w:t>ML forecasting — no Ugandan competitor has this</w:t>
            </w:r>
          </w:p>
          <w:p>
            <w:pPr>
              <w:pStyle w:val="Normal"/>
              <w:spacing w:lineRule="auto" w:line="276" w:before="0" w:after="120"/>
              <w:jc w:val="left"/>
              <w:rPr/>
            </w:pPr>
            <w:r>
              <w:rPr>
                <w:rFonts w:eastAsia="Arial" w:cs="Arial"/>
                <w:b w:val="false"/>
                <w:bCs w:val="false"/>
                <w:i w:val="false"/>
                <w:iCs w:val="false"/>
                <w:color w:val="2C2C2C"/>
                <w:sz w:val="19"/>
                <w:szCs w:val="19"/>
              </w:rPr>
              <w:t>Input anomaly detection: uniquely guards against counterfeit inputs</w:t>
            </w:r>
          </w:p>
          <w:p>
            <w:pPr>
              <w:pStyle w:val="Normal"/>
              <w:spacing w:lineRule="auto" w:line="276" w:before="0" w:after="120"/>
              <w:jc w:val="left"/>
              <w:rPr/>
            </w:pPr>
            <w:r>
              <w:rPr>
                <w:rFonts w:eastAsia="Arial" w:cs="Arial"/>
                <w:b w:val="false"/>
                <w:bCs w:val="false"/>
                <w:i w:val="false"/>
                <w:iCs w:val="false"/>
                <w:color w:val="2C2C2C"/>
                <w:sz w:val="19"/>
                <w:szCs w:val="19"/>
              </w:rPr>
              <w:t>Modern API-first architecture (FastAPI) enabling third-party integrations</w:t>
            </w:r>
          </w:p>
          <w:p>
            <w:pPr>
              <w:pStyle w:val="Normal"/>
              <w:spacing w:lineRule="auto" w:line="276" w:before="0" w:after="120"/>
              <w:jc w:val="left"/>
              <w:rPr/>
            </w:pPr>
            <w:r>
              <w:rPr>
                <w:rFonts w:eastAsia="Arial" w:cs="Arial"/>
                <w:b w:val="false"/>
                <w:bCs w:val="false"/>
                <w:i w:val="false"/>
                <w:iCs w:val="false"/>
                <w:color w:val="2C2C2C"/>
                <w:sz w:val="19"/>
                <w:szCs w:val="19"/>
              </w:rPr>
              <w:t>Both present and future prices in one system</w:t>
            </w:r>
          </w:p>
          <w:p>
            <w:pPr>
              <w:pStyle w:val="Normal"/>
              <w:spacing w:lineRule="auto" w:line="276" w:before="0" w:after="120"/>
              <w:jc w:val="left"/>
              <w:rPr/>
            </w:pPr>
            <w:r>
              <w:rPr>
                <w:rFonts w:eastAsia="Arial" w:cs="Arial"/>
                <w:b w:val="false"/>
                <w:bCs w:val="false"/>
                <w:i w:val="false"/>
                <w:iCs w:val="false"/>
                <w:color w:val="2C2C2C"/>
                <w:sz w:val="19"/>
                <w:szCs w:val="19"/>
              </w:rPr>
              <w:t>Weather + agri tips + price intel in one platform</w:t>
            </w:r>
          </w:p>
          <w:p>
            <w:pPr>
              <w:pStyle w:val="Normal"/>
              <w:spacing w:lineRule="auto" w:line="276" w:before="0" w:after="120"/>
              <w:jc w:val="left"/>
              <w:rPr/>
            </w:pPr>
            <w:r>
              <w:rPr>
                <w:rFonts w:eastAsia="Arial" w:cs="Arial"/>
                <w:b w:val="false"/>
                <w:bCs w:val="false"/>
                <w:i w:val="false"/>
                <w:iCs w:val="false"/>
                <w:color w:val="2C2C2C"/>
                <w:sz w:val="19"/>
                <w:szCs w:val="19"/>
              </w:rPr>
              <w:t>Academic foundation at MUST — research credibility &amp; talent pipeline</w:t>
            </w:r>
          </w:p>
        </w:tc>
        <w:tc>
          <w:tcPr>
            <w:tcW w:w="1439" w:type="dxa"/>
            <w:tcBorders>
              <w:top w:val="single" w:sz="2" w:space="0" w:color="CCCCCC"/>
              <w:left w:val="single" w:sz="2" w:space="0" w:color="CCCCCC"/>
              <w:bottom w:val="single" w:sz="2" w:space="0" w:color="CCCCCC"/>
              <w:right w:val="single" w:sz="2" w:space="0" w:color="CCCCCC"/>
            </w:tcBorders>
            <w:shd w:fill="FFFDE7" w:val="clear"/>
          </w:tcPr>
          <w:p>
            <w:pPr>
              <w:pStyle w:val="Normal"/>
              <w:rPr/>
            </w:pPr>
            <w:r>
              <w:rPr>
                <w:rFonts w:eastAsia="Arial" w:cs="Arial"/>
                <w:b/>
                <w:bCs/>
                <w:color w:val="F57F17"/>
                <w:sz w:val="19"/>
                <w:szCs w:val="19"/>
              </w:rPr>
              <w:t>W1</w:t>
            </w:r>
          </w:p>
          <w:p>
            <w:pPr>
              <w:pStyle w:val="Normal"/>
              <w:rPr/>
            </w:pPr>
            <w:r>
              <w:rPr>
                <w:rFonts w:eastAsia="Arial" w:cs="Arial"/>
                <w:b/>
                <w:bCs/>
                <w:color w:val="F57F17"/>
                <w:sz w:val="19"/>
                <w:szCs w:val="19"/>
              </w:rPr>
              <w:t>W2</w:t>
            </w:r>
          </w:p>
          <w:p>
            <w:pPr>
              <w:pStyle w:val="Normal"/>
              <w:rPr/>
            </w:pPr>
            <w:r>
              <w:rPr>
                <w:rFonts w:eastAsia="Arial" w:cs="Arial"/>
                <w:b/>
                <w:bCs/>
                <w:color w:val="F57F17"/>
                <w:sz w:val="19"/>
                <w:szCs w:val="19"/>
              </w:rPr>
              <w:t>W3</w:t>
            </w:r>
          </w:p>
          <w:p>
            <w:pPr>
              <w:pStyle w:val="Normal"/>
              <w:rPr/>
            </w:pPr>
            <w:r>
              <w:rPr>
                <w:rFonts w:eastAsia="Arial" w:cs="Arial"/>
                <w:b/>
                <w:bCs/>
                <w:color w:val="F57F17"/>
                <w:sz w:val="19"/>
                <w:szCs w:val="19"/>
              </w:rPr>
              <w:t>W4</w:t>
            </w:r>
          </w:p>
          <w:p>
            <w:pPr>
              <w:pStyle w:val="Normal"/>
              <w:rPr/>
            </w:pPr>
            <w:r>
              <w:rPr>
                <w:rFonts w:eastAsia="Arial" w:cs="Arial"/>
                <w:b/>
                <w:bCs/>
                <w:color w:val="F57F17"/>
                <w:sz w:val="19"/>
                <w:szCs w:val="19"/>
              </w:rPr>
              <w:t>W5</w:t>
            </w:r>
          </w:p>
        </w:tc>
        <w:tc>
          <w:tcPr>
            <w:tcW w:w="3240" w:type="dxa"/>
            <w:tcBorders>
              <w:top w:val="single" w:sz="2" w:space="0" w:color="CCCCCC"/>
              <w:left w:val="single" w:sz="2" w:space="0" w:color="CCCCCC"/>
              <w:bottom w:val="single" w:sz="2" w:space="0" w:color="CCCCCC"/>
              <w:right w:val="single" w:sz="2" w:space="0" w:color="CCCCCC"/>
            </w:tcBorders>
            <w:shd w:fill="FFFDE7" w:val="clear"/>
          </w:tcPr>
          <w:p>
            <w:pPr>
              <w:pStyle w:val="Normal"/>
              <w:spacing w:lineRule="auto" w:line="276" w:before="0" w:after="120"/>
              <w:jc w:val="left"/>
              <w:rPr/>
            </w:pPr>
            <w:r>
              <w:rPr>
                <w:rFonts w:eastAsia="Arial" w:cs="Arial"/>
                <w:b w:val="false"/>
                <w:bCs w:val="false"/>
                <w:i w:val="false"/>
                <w:iCs w:val="false"/>
                <w:color w:val="2C2C2C"/>
                <w:sz w:val="19"/>
                <w:szCs w:val="19"/>
              </w:rPr>
              <w:t>No ground-level data collection network yet (agents in markets)</w:t>
            </w:r>
          </w:p>
          <w:p>
            <w:pPr>
              <w:pStyle w:val="Normal"/>
              <w:spacing w:lineRule="auto" w:line="276" w:before="0" w:after="120"/>
              <w:jc w:val="left"/>
              <w:rPr/>
            </w:pPr>
            <w:r>
              <w:rPr>
                <w:rFonts w:eastAsia="Arial" w:cs="Arial"/>
                <w:b w:val="false"/>
                <w:bCs w:val="false"/>
                <w:i w:val="false"/>
                <w:iCs w:val="false"/>
                <w:color w:val="2C2C2C"/>
                <w:sz w:val="19"/>
                <w:szCs w:val="19"/>
              </w:rPr>
              <w:t>Early-stage: no user base or proven revenue model</w:t>
            </w:r>
          </w:p>
          <w:p>
            <w:pPr>
              <w:pStyle w:val="Normal"/>
              <w:spacing w:lineRule="auto" w:line="276" w:before="0" w:after="120"/>
              <w:jc w:val="left"/>
              <w:rPr/>
            </w:pPr>
            <w:r>
              <w:rPr>
                <w:rFonts w:eastAsia="Arial" w:cs="Arial"/>
                <w:b w:val="false"/>
                <w:bCs w:val="false"/>
                <w:i w:val="false"/>
                <w:iCs w:val="false"/>
                <w:color w:val="2C2C2C"/>
                <w:sz w:val="19"/>
                <w:szCs w:val="19"/>
              </w:rPr>
              <w:t>Limited funding as a university student project</w:t>
            </w:r>
          </w:p>
          <w:p>
            <w:pPr>
              <w:pStyle w:val="Normal"/>
              <w:spacing w:lineRule="auto" w:line="276" w:before="0" w:after="120"/>
              <w:jc w:val="left"/>
              <w:rPr/>
            </w:pPr>
            <w:r>
              <w:rPr>
                <w:rFonts w:eastAsia="Arial" w:cs="Arial"/>
                <w:b w:val="false"/>
                <w:bCs w:val="false"/>
                <w:i w:val="false"/>
                <w:iCs w:val="false"/>
                <w:color w:val="2C2C2C"/>
                <w:sz w:val="19"/>
                <w:szCs w:val="19"/>
              </w:rPr>
              <w:t>ML models need substantial clean historical data to train</w:t>
            </w:r>
          </w:p>
          <w:p>
            <w:pPr>
              <w:pStyle w:val="Normal"/>
              <w:spacing w:lineRule="auto" w:line="276" w:before="0" w:after="120"/>
              <w:jc w:val="left"/>
              <w:rPr/>
            </w:pPr>
            <w:r>
              <w:rPr>
                <w:rFonts w:eastAsia="Arial" w:cs="Arial"/>
                <w:b w:val="false"/>
                <w:bCs w:val="false"/>
                <w:i w:val="false"/>
                <w:iCs w:val="false"/>
                <w:color w:val="2C2C2C"/>
                <w:sz w:val="19"/>
                <w:szCs w:val="19"/>
              </w:rPr>
              <w:t>No brand recognition in the agritech space yet</w:t>
            </w:r>
          </w:p>
        </w:tc>
      </w:tr>
    </w:tbl>
    <w:p>
      <w:pPr>
        <w:pStyle w:val="Normal"/>
        <w:spacing w:lineRule="auto" w:line="276" w:before="0" w:after="120"/>
        <w:jc w:val="left"/>
        <w:rPr/>
      </w:pPr>
      <w:r>
        <w:rPr/>
      </w:r>
    </w:p>
    <w:tbl>
      <w:tblPr>
        <w:tblW w:w="9360" w:type="dxa"/>
        <w:jc w:val="left"/>
        <w:tblInd w:w="0" w:type="dxa"/>
        <w:tblLayout w:type="fixed"/>
        <w:tblCellMar>
          <w:top w:w="100" w:type="dxa"/>
          <w:left w:w="150" w:type="dxa"/>
          <w:bottom w:w="100" w:type="dxa"/>
          <w:right w:w="150" w:type="dxa"/>
        </w:tblCellMar>
      </w:tblPr>
      <w:tblGrid>
        <w:gridCol w:w="1439"/>
        <w:gridCol w:w="3241"/>
        <w:gridCol w:w="1439"/>
        <w:gridCol w:w="3240"/>
      </w:tblGrid>
      <w:tr>
        <w:trPr/>
        <w:tc>
          <w:tcPr>
            <w:tcW w:w="1439" w:type="dxa"/>
            <w:tcBorders>
              <w:top w:val="single" w:sz="2" w:space="0" w:color="CCCCCC"/>
              <w:left w:val="single" w:sz="2" w:space="0" w:color="CCCCCC"/>
              <w:bottom w:val="single" w:sz="2" w:space="0" w:color="CCCCCC"/>
              <w:right w:val="single" w:sz="2" w:space="0" w:color="CCCCCC"/>
            </w:tcBorders>
            <w:shd w:fill="1565C0" w:val="clear"/>
          </w:tcPr>
          <w:p>
            <w:pPr>
              <w:pStyle w:val="Normal"/>
              <w:spacing w:lineRule="auto" w:line="276" w:before="0" w:after="120"/>
              <w:jc w:val="center"/>
              <w:rPr/>
            </w:pPr>
            <w:r>
              <w:rPr>
                <w:rFonts w:eastAsia="Arial" w:cs="Arial"/>
                <w:b/>
                <w:bCs/>
                <w:i w:val="false"/>
                <w:iCs w:val="false"/>
                <w:color w:val="FFFFFF"/>
                <w:sz w:val="22"/>
                <w:szCs w:val="22"/>
              </w:rPr>
              <w:t>OPPORTUNITIES</w:t>
            </w:r>
          </w:p>
        </w:tc>
        <w:tc>
          <w:tcPr>
            <w:tcW w:w="3241" w:type="dxa"/>
            <w:tcBorders>
              <w:top w:val="single" w:sz="2" w:space="0" w:color="CCCCCC"/>
              <w:left w:val="single" w:sz="2" w:space="0" w:color="CCCCCC"/>
              <w:bottom w:val="single" w:sz="2" w:space="0" w:color="CCCCCC"/>
              <w:right w:val="single" w:sz="2" w:space="0" w:color="CCCCCC"/>
            </w:tcBorders>
            <w:shd w:fill="E3F2FD" w:val="clear"/>
          </w:tcPr>
          <w:p>
            <w:pPr>
              <w:pStyle w:val="Normal"/>
              <w:spacing w:lineRule="auto" w:line="276" w:before="0" w:after="120"/>
              <w:jc w:val="left"/>
              <w:rPr/>
            </w:pPr>
            <w:r>
              <w:rPr>
                <w:rFonts w:eastAsia="Arial" w:cs="Arial"/>
                <w:b w:val="false"/>
                <w:bCs w:val="false"/>
                <w:i w:val="false"/>
                <w:iCs w:val="false"/>
                <w:color w:val="555555"/>
                <w:sz w:val="18"/>
                <w:szCs w:val="18"/>
              </w:rPr>
              <w:t>External factors AgriGuard can exploit</w:t>
            </w:r>
          </w:p>
        </w:tc>
        <w:tc>
          <w:tcPr>
            <w:tcW w:w="1439" w:type="dxa"/>
            <w:tcBorders>
              <w:top w:val="single" w:sz="2" w:space="0" w:color="CCCCCC"/>
              <w:left w:val="single" w:sz="2" w:space="0" w:color="CCCCCC"/>
              <w:bottom w:val="single" w:sz="2" w:space="0" w:color="CCCCCC"/>
              <w:right w:val="single" w:sz="2" w:space="0" w:color="CCCCCC"/>
            </w:tcBorders>
            <w:shd w:fill="C62828" w:val="clear"/>
          </w:tcPr>
          <w:p>
            <w:pPr>
              <w:pStyle w:val="Normal"/>
              <w:spacing w:lineRule="auto" w:line="276" w:before="0" w:after="120"/>
              <w:jc w:val="center"/>
              <w:rPr/>
            </w:pPr>
            <w:r>
              <w:rPr>
                <w:rFonts w:eastAsia="Arial" w:cs="Arial"/>
                <w:b/>
                <w:bCs/>
                <w:i w:val="false"/>
                <w:iCs w:val="false"/>
                <w:color w:val="FFFFFF"/>
                <w:sz w:val="22"/>
                <w:szCs w:val="22"/>
              </w:rPr>
              <w:t>THREATS</w:t>
            </w:r>
          </w:p>
        </w:tc>
        <w:tc>
          <w:tcPr>
            <w:tcW w:w="3240" w:type="dxa"/>
            <w:tcBorders>
              <w:top w:val="single" w:sz="2" w:space="0" w:color="CCCCCC"/>
              <w:left w:val="single" w:sz="2" w:space="0" w:color="CCCCCC"/>
              <w:bottom w:val="single" w:sz="2" w:space="0" w:color="CCCCCC"/>
              <w:right w:val="single" w:sz="2" w:space="0" w:color="CCCCCC"/>
            </w:tcBorders>
            <w:shd w:fill="FFEBEE" w:val="clear"/>
          </w:tcPr>
          <w:p>
            <w:pPr>
              <w:pStyle w:val="Normal"/>
              <w:spacing w:lineRule="auto" w:line="276" w:before="0" w:after="120"/>
              <w:jc w:val="left"/>
              <w:rPr/>
            </w:pPr>
            <w:r>
              <w:rPr>
                <w:rFonts w:eastAsia="Arial" w:cs="Arial"/>
                <w:b w:val="false"/>
                <w:bCs w:val="false"/>
                <w:i w:val="false"/>
                <w:iCs w:val="false"/>
                <w:color w:val="555555"/>
                <w:sz w:val="18"/>
                <w:szCs w:val="18"/>
              </w:rPr>
              <w:t>External risks to prepare for</w:t>
            </w:r>
          </w:p>
        </w:tc>
      </w:tr>
      <w:tr>
        <w:trPr/>
        <w:tc>
          <w:tcPr>
            <w:tcW w:w="1439"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b/>
                <w:bCs/>
                <w:color w:val="1565C0"/>
                <w:sz w:val="19"/>
                <w:szCs w:val="19"/>
              </w:rPr>
              <w:t>O1</w:t>
            </w:r>
          </w:p>
          <w:p>
            <w:pPr>
              <w:pStyle w:val="Normal"/>
              <w:rPr/>
            </w:pPr>
            <w:r>
              <w:rPr>
                <w:rFonts w:eastAsia="Arial" w:cs="Arial"/>
                <w:b/>
                <w:bCs/>
                <w:color w:val="1565C0"/>
                <w:sz w:val="19"/>
                <w:szCs w:val="19"/>
              </w:rPr>
              <w:t>O2</w:t>
            </w:r>
          </w:p>
          <w:p>
            <w:pPr>
              <w:pStyle w:val="Normal"/>
              <w:rPr/>
            </w:pPr>
            <w:r>
              <w:rPr>
                <w:rFonts w:eastAsia="Arial" w:cs="Arial"/>
                <w:b/>
                <w:bCs/>
                <w:color w:val="1565C0"/>
                <w:sz w:val="19"/>
                <w:szCs w:val="19"/>
              </w:rPr>
              <w:t>O3</w:t>
            </w:r>
          </w:p>
          <w:p>
            <w:pPr>
              <w:pStyle w:val="Normal"/>
              <w:rPr/>
            </w:pPr>
            <w:r>
              <w:rPr>
                <w:rFonts w:eastAsia="Arial" w:cs="Arial"/>
                <w:b/>
                <w:bCs/>
                <w:color w:val="1565C0"/>
                <w:sz w:val="19"/>
                <w:szCs w:val="19"/>
              </w:rPr>
              <w:t>O4</w:t>
            </w:r>
          </w:p>
          <w:p>
            <w:pPr>
              <w:pStyle w:val="Normal"/>
              <w:rPr/>
            </w:pPr>
            <w:r>
              <w:rPr>
                <w:rFonts w:eastAsia="Arial" w:cs="Arial"/>
                <w:b/>
                <w:bCs/>
                <w:color w:val="1565C0"/>
                <w:sz w:val="19"/>
                <w:szCs w:val="19"/>
              </w:rPr>
              <w:t>O5</w:t>
            </w:r>
          </w:p>
          <w:p>
            <w:pPr>
              <w:pStyle w:val="Normal"/>
              <w:rPr/>
            </w:pPr>
            <w:r>
              <w:rPr>
                <w:rFonts w:eastAsia="Arial" w:cs="Arial"/>
                <w:b/>
                <w:bCs/>
                <w:color w:val="1565C0"/>
                <w:sz w:val="19"/>
                <w:szCs w:val="19"/>
              </w:rPr>
              <w:t>O6</w:t>
            </w:r>
          </w:p>
        </w:tc>
        <w:tc>
          <w:tcPr>
            <w:tcW w:w="3241" w:type="dxa"/>
            <w:tcBorders>
              <w:top w:val="single" w:sz="2" w:space="0" w:color="CCCCCC"/>
              <w:left w:val="single" w:sz="2" w:space="0" w:color="CCCCCC"/>
              <w:bottom w:val="single" w:sz="2" w:space="0" w:color="CCCCCC"/>
              <w:right w:val="single" w:sz="2" w:space="0" w:color="CCCCCC"/>
            </w:tcBorders>
            <w:shd w:fill="E3F2FD" w:val="clear"/>
          </w:tcPr>
          <w:p>
            <w:pPr>
              <w:pStyle w:val="Normal"/>
              <w:spacing w:lineRule="auto" w:line="276" w:before="0" w:after="120"/>
              <w:jc w:val="left"/>
              <w:rPr/>
            </w:pPr>
            <w:r>
              <w:rPr>
                <w:rFonts w:eastAsia="Arial" w:cs="Arial"/>
                <w:b w:val="false"/>
                <w:bCs w:val="false"/>
                <w:i w:val="false"/>
                <w:iCs w:val="false"/>
                <w:color w:val="2C2C2C"/>
                <w:sz w:val="19"/>
                <w:szCs w:val="19"/>
              </w:rPr>
              <w:t>Uganda's agriculture is 26.5% of GDP — massive underserved market</w:t>
            </w:r>
          </w:p>
          <w:p>
            <w:pPr>
              <w:pStyle w:val="Normal"/>
              <w:spacing w:lineRule="auto" w:line="276" w:before="0" w:after="120"/>
              <w:jc w:val="left"/>
              <w:rPr/>
            </w:pPr>
            <w:r>
              <w:rPr>
                <w:rFonts w:eastAsia="Arial" w:cs="Arial"/>
                <w:b w:val="false"/>
                <w:bCs w:val="false"/>
                <w:i w:val="false"/>
                <w:iCs w:val="false"/>
                <w:color w:val="2C2C2C"/>
                <w:sz w:val="19"/>
                <w:szCs w:val="19"/>
              </w:rPr>
              <w:t>MTN &amp; Airtel mobile money infrastructure ready for USSD integration</w:t>
            </w:r>
          </w:p>
          <w:p>
            <w:pPr>
              <w:pStyle w:val="Normal"/>
              <w:spacing w:lineRule="auto" w:line="276" w:before="0" w:after="120"/>
              <w:jc w:val="left"/>
              <w:rPr/>
            </w:pPr>
            <w:r>
              <w:rPr>
                <w:rFonts w:eastAsia="Arial" w:cs="Arial"/>
                <w:b w:val="false"/>
                <w:bCs w:val="false"/>
                <w:i w:val="false"/>
                <w:iCs w:val="false"/>
                <w:color w:val="2C2C2C"/>
                <w:sz w:val="19"/>
                <w:szCs w:val="19"/>
              </w:rPr>
              <w:t>Government's MAAIF actively seeks digital solutions for the sector</w:t>
            </w:r>
          </w:p>
          <w:p>
            <w:pPr>
              <w:pStyle w:val="Normal"/>
              <w:spacing w:lineRule="auto" w:line="276" w:before="0" w:after="120"/>
              <w:jc w:val="left"/>
              <w:rPr/>
            </w:pPr>
            <w:r>
              <w:rPr>
                <w:rFonts w:eastAsia="Arial" w:cs="Arial"/>
                <w:b w:val="false"/>
                <w:bCs w:val="false"/>
                <w:i w:val="false"/>
                <w:iCs w:val="false"/>
                <w:color w:val="2C2C2C"/>
                <w:sz w:val="19"/>
                <w:szCs w:val="19"/>
              </w:rPr>
              <w:t>FAO, WFP, USAID actively fund agritech in East Africa</w:t>
            </w:r>
          </w:p>
          <w:p>
            <w:pPr>
              <w:pStyle w:val="Normal"/>
              <w:spacing w:lineRule="auto" w:line="276" w:before="0" w:after="120"/>
              <w:jc w:val="left"/>
              <w:rPr/>
            </w:pPr>
            <w:r>
              <w:rPr>
                <w:rFonts w:eastAsia="Arial" w:cs="Arial"/>
                <w:b w:val="false"/>
                <w:bCs w:val="false"/>
                <w:i w:val="false"/>
                <w:iCs w:val="false"/>
                <w:color w:val="2C2C2C"/>
                <w:sz w:val="19"/>
                <w:szCs w:val="19"/>
              </w:rPr>
              <w:t>Kudu platform failed — proving demand but leaving the market open</w:t>
            </w:r>
          </w:p>
          <w:p>
            <w:pPr>
              <w:pStyle w:val="Normal"/>
              <w:spacing w:lineRule="auto" w:line="276" w:before="0" w:after="120"/>
              <w:jc w:val="left"/>
              <w:rPr/>
            </w:pPr>
            <w:r>
              <w:rPr>
                <w:rFonts w:eastAsia="Arial" w:cs="Arial"/>
                <w:b w:val="false"/>
                <w:bCs w:val="false"/>
                <w:i w:val="false"/>
                <w:iCs w:val="false"/>
                <w:color w:val="2C2C2C"/>
                <w:sz w:val="19"/>
                <w:szCs w:val="19"/>
              </w:rPr>
              <w:t>Farmgain Africa is only a weekly data service — a beatable benchmark</w:t>
            </w:r>
          </w:p>
        </w:tc>
        <w:tc>
          <w:tcPr>
            <w:tcW w:w="143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b/>
                <w:bCs/>
                <w:color w:val="C62828"/>
                <w:sz w:val="19"/>
                <w:szCs w:val="19"/>
              </w:rPr>
              <w:t>T1</w:t>
            </w:r>
          </w:p>
          <w:p>
            <w:pPr>
              <w:pStyle w:val="Normal"/>
              <w:rPr/>
            </w:pPr>
            <w:r>
              <w:rPr>
                <w:rFonts w:eastAsia="Arial" w:cs="Arial"/>
                <w:b/>
                <w:bCs/>
                <w:color w:val="C62828"/>
                <w:sz w:val="19"/>
                <w:szCs w:val="19"/>
              </w:rPr>
              <w:t>T2</w:t>
            </w:r>
          </w:p>
          <w:p>
            <w:pPr>
              <w:pStyle w:val="Normal"/>
              <w:rPr/>
            </w:pPr>
            <w:r>
              <w:rPr>
                <w:rFonts w:eastAsia="Arial" w:cs="Arial"/>
                <w:b/>
                <w:bCs/>
                <w:color w:val="C62828"/>
                <w:sz w:val="19"/>
                <w:szCs w:val="19"/>
              </w:rPr>
              <w:t>T3</w:t>
            </w:r>
          </w:p>
          <w:p>
            <w:pPr>
              <w:pStyle w:val="Normal"/>
              <w:rPr/>
            </w:pPr>
            <w:r>
              <w:rPr>
                <w:rFonts w:eastAsia="Arial" w:cs="Arial"/>
                <w:b/>
                <w:bCs/>
                <w:color w:val="C62828"/>
                <w:sz w:val="19"/>
                <w:szCs w:val="19"/>
              </w:rPr>
              <w:t>T4</w:t>
            </w:r>
          </w:p>
          <w:p>
            <w:pPr>
              <w:pStyle w:val="Normal"/>
              <w:rPr/>
            </w:pPr>
            <w:r>
              <w:rPr>
                <w:rFonts w:eastAsia="Arial" w:cs="Arial"/>
                <w:b/>
                <w:bCs/>
                <w:color w:val="C62828"/>
                <w:sz w:val="19"/>
                <w:szCs w:val="19"/>
              </w:rPr>
              <w:t>T5</w:t>
            </w:r>
          </w:p>
        </w:tc>
        <w:tc>
          <w:tcPr>
            <w:tcW w:w="3240" w:type="dxa"/>
            <w:tcBorders>
              <w:top w:val="single" w:sz="2" w:space="0" w:color="CCCCCC"/>
              <w:left w:val="single" w:sz="2" w:space="0" w:color="CCCCCC"/>
              <w:bottom w:val="single" w:sz="2" w:space="0" w:color="CCCCCC"/>
              <w:right w:val="single" w:sz="2" w:space="0" w:color="CCCCCC"/>
            </w:tcBorders>
            <w:shd w:fill="FFEBEE" w:val="clear"/>
          </w:tcPr>
          <w:p>
            <w:pPr>
              <w:pStyle w:val="Normal"/>
              <w:spacing w:lineRule="auto" w:line="276" w:before="0" w:after="120"/>
              <w:jc w:val="left"/>
              <w:rPr/>
            </w:pPr>
            <w:r>
              <w:rPr>
                <w:rFonts w:eastAsia="Arial" w:cs="Arial"/>
                <w:b w:val="false"/>
                <w:bCs w:val="false"/>
                <w:i w:val="false"/>
                <w:iCs w:val="false"/>
                <w:color w:val="2C2C2C"/>
                <w:sz w:val="19"/>
                <w:szCs w:val="19"/>
              </w:rPr>
              <w:t>Low digital literacy among rural farmers — adoption barrier</w:t>
            </w:r>
          </w:p>
          <w:p>
            <w:pPr>
              <w:pStyle w:val="Normal"/>
              <w:spacing w:lineRule="auto" w:line="276" w:before="0" w:after="120"/>
              <w:jc w:val="left"/>
              <w:rPr/>
            </w:pPr>
            <w:r>
              <w:rPr>
                <w:rFonts w:eastAsia="Arial" w:cs="Arial"/>
                <w:b w:val="false"/>
                <w:bCs w:val="false"/>
                <w:i w:val="false"/>
                <w:iCs w:val="false"/>
                <w:color w:val="2C2C2C"/>
                <w:sz w:val="19"/>
                <w:szCs w:val="19"/>
              </w:rPr>
              <w:t>Esoko or a well-funded competitor could enter Uganda aggressively</w:t>
            </w:r>
          </w:p>
          <w:p>
            <w:pPr>
              <w:pStyle w:val="Normal"/>
              <w:spacing w:lineRule="auto" w:line="276" w:before="0" w:after="120"/>
              <w:jc w:val="left"/>
              <w:rPr/>
            </w:pPr>
            <w:r>
              <w:rPr>
                <w:rFonts w:eastAsia="Arial" w:cs="Arial"/>
                <w:b w:val="false"/>
                <w:bCs w:val="false"/>
                <w:i w:val="false"/>
                <w:iCs w:val="false"/>
                <w:color w:val="2C2C2C"/>
                <w:sz w:val="19"/>
                <w:szCs w:val="19"/>
              </w:rPr>
              <w:t>Unreliable internet connectivity in rural areas</w:t>
            </w:r>
          </w:p>
          <w:p>
            <w:pPr>
              <w:pStyle w:val="Normal"/>
              <w:spacing w:lineRule="auto" w:line="276" w:before="0" w:after="120"/>
              <w:jc w:val="left"/>
              <w:rPr/>
            </w:pPr>
            <w:r>
              <w:rPr>
                <w:rFonts w:eastAsia="Arial" w:cs="Arial"/>
                <w:b w:val="false"/>
                <w:bCs w:val="false"/>
                <w:i w:val="false"/>
                <w:iCs w:val="false"/>
                <w:color w:val="2C2C2C"/>
                <w:sz w:val="19"/>
                <w:szCs w:val="19"/>
              </w:rPr>
              <w:t>Data accuracy depends on ground agent quality and honesty</w:t>
            </w:r>
          </w:p>
          <w:p>
            <w:pPr>
              <w:pStyle w:val="Normal"/>
              <w:spacing w:lineRule="auto" w:line="276" w:before="0" w:after="120"/>
              <w:jc w:val="left"/>
              <w:rPr/>
            </w:pPr>
            <w:r>
              <w:rPr>
                <w:rFonts w:eastAsia="Arial" w:cs="Arial"/>
                <w:b w:val="false"/>
                <w:bCs w:val="false"/>
                <w:i w:val="false"/>
                <w:iCs w:val="false"/>
                <w:color w:val="2C2C2C"/>
                <w:sz w:val="19"/>
                <w:szCs w:val="19"/>
              </w:rPr>
              <w:t>Sustainability risk: Kudu proved monetization is genuinely hard</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3. COMPETITIVE EDGE — WHY AGRIGUARD WINS</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3.1 Competitive Landscape Matrix</w:t>
      </w:r>
    </w:p>
    <w:tbl>
      <w:tblPr>
        <w:tblW w:w="9360" w:type="dxa"/>
        <w:jc w:val="left"/>
        <w:tblInd w:w="0" w:type="dxa"/>
        <w:tblLayout w:type="fixed"/>
        <w:tblCellMar>
          <w:top w:w="100" w:type="dxa"/>
          <w:left w:w="150" w:type="dxa"/>
          <w:bottom w:w="100" w:type="dxa"/>
          <w:right w:w="150" w:type="dxa"/>
        </w:tblCellMar>
      </w:tblPr>
      <w:tblGrid>
        <w:gridCol w:w="1813"/>
        <w:gridCol w:w="944"/>
        <w:gridCol w:w="943"/>
        <w:gridCol w:w="943"/>
        <w:gridCol w:w="943"/>
        <w:gridCol w:w="944"/>
        <w:gridCol w:w="943"/>
        <w:gridCol w:w="943"/>
        <w:gridCol w:w="943"/>
      </w:tblGrid>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8"/>
                <w:szCs w:val="18"/>
              </w:rPr>
              <w:t>Platform</w:t>
            </w:r>
          </w:p>
        </w:tc>
        <w:tc>
          <w:tcPr>
            <w:tcW w:w="944"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Real-time Prices</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ML Forecast</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Input Safety</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Uganda Focus</w:t>
            </w:r>
          </w:p>
        </w:tc>
        <w:tc>
          <w:tcPr>
            <w:tcW w:w="944"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Weather Tips</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SMS/USSD</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API Access</w:t>
            </w:r>
          </w:p>
        </w:tc>
        <w:tc>
          <w:tcPr>
            <w:tcW w:w="943" w:type="dxa"/>
            <w:tcBorders>
              <w:top w:val="single" w:sz="2" w:space="0" w:color="CCCCCC"/>
              <w:left w:val="single" w:sz="2" w:space="0" w:color="CCCCCC"/>
              <w:bottom w:val="single" w:sz="2" w:space="0" w:color="CCCCCC"/>
              <w:right w:val="single" w:sz="2" w:space="0" w:color="CCCCCC"/>
            </w:tcBorders>
            <w:shd w:fill="1A5E2A" w:val="clear"/>
          </w:tcPr>
          <w:p>
            <w:pPr>
              <w:pStyle w:val="Normal"/>
              <w:jc w:val="center"/>
              <w:rPr/>
            </w:pPr>
            <w:r>
              <w:rPr>
                <w:rFonts w:eastAsia="Arial" w:cs="Arial"/>
                <w:b/>
                <w:bCs/>
                <w:color w:val="FFFFFF"/>
                <w:sz w:val="18"/>
                <w:szCs w:val="18"/>
              </w:rPr>
              <w:t>Active?</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Esoko (Ghana)</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WFP VAM</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FAO AMIS</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Farmgain Africa</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Kudu (Uganda)</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Agroprice Data</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2E7D32"/>
                <w:sz w:val="19"/>
                <w:szCs w:val="19"/>
              </w:rPr>
              <w:t>Y</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C62828"/>
                <w:sz w:val="19"/>
                <w:szCs w:val="19"/>
              </w:rPr>
              <w:t>N</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r>
      <w:tr>
        <w:trPr/>
        <w:tc>
          <w:tcPr>
            <w:tcW w:w="1813" w:type="dxa"/>
            <w:tcBorders>
              <w:top w:val="single" w:sz="2" w:space="0" w:color="CCCCCC"/>
              <w:left w:val="single" w:sz="2" w:space="0" w:color="CCCCCC"/>
              <w:bottom w:val="single" w:sz="2" w:space="0" w:color="CCCCCC"/>
              <w:right w:val="single" w:sz="2" w:space="0" w:color="CCCCCC"/>
            </w:tcBorders>
            <w:shd w:fill="1A5E2A" w:val="clear"/>
          </w:tcPr>
          <w:p>
            <w:pPr>
              <w:pStyle w:val="Normal"/>
              <w:jc w:val="left"/>
              <w:rPr/>
            </w:pPr>
            <w:r>
              <w:rPr>
                <w:rFonts w:eastAsia="Arial" w:cs="Arial"/>
                <w:b/>
                <w:bCs/>
                <w:color w:val="FFFFFF"/>
                <w:sz w:val="19"/>
                <w:szCs w:val="19"/>
              </w:rPr>
              <w:t>AgriGuard AgriGuard</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val="false"/>
                <w:bCs w:val="false"/>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bCs/>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c>
          <w:tcPr>
            <w:tcW w:w="94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bCs/>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bCs/>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b/>
                <w:bCs/>
                <w:color w:val="2E7D32"/>
                <w:sz w:val="19"/>
                <w:szCs w:val="19"/>
              </w:rPr>
              <w:t>Y</w:t>
            </w:r>
          </w:p>
        </w:tc>
        <w:tc>
          <w:tcPr>
            <w:tcW w:w="943" w:type="dxa"/>
            <w:tcBorders>
              <w:top w:val="single" w:sz="2" w:space="0" w:color="CCCCCC"/>
              <w:left w:val="single" w:sz="2" w:space="0" w:color="CCCCCC"/>
              <w:bottom w:val="single" w:sz="2" w:space="0" w:color="CCCCCC"/>
              <w:right w:val="single" w:sz="2" w:space="0" w:color="CCCCCC"/>
            </w:tcBorders>
            <w:shd w:fill="F1F8F1" w:val="clear"/>
          </w:tcPr>
          <w:p>
            <w:pPr>
              <w:pStyle w:val="Normal"/>
              <w:jc w:val="center"/>
              <w:rPr/>
            </w:pPr>
            <w:r>
              <w:rPr>
                <w:rFonts w:eastAsia="Arial" w:cs="Arial"/>
                <w:b w:val="false"/>
                <w:bCs w:val="false"/>
                <w:color w:val="2E7D32"/>
                <w:sz w:val="19"/>
                <w:szCs w:val="19"/>
              </w:rPr>
              <w:t>Y</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3.2 The Six Competitive Edges</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1 — Predictive Intelligence (ML Price Forecasting)</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No Ugandan or East African competitor uses machine learning to forecast future commodity prices. AgriGuard will train models on historical FAO/WFP/Kaggle data combined with live market feeds to give farmers a 7–30 day price outlook. This transforms the platform from an information tool into a decision engine.</w:t>
            </w:r>
          </w:p>
        </w:tc>
      </w:tr>
    </w:tbl>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2 — Input Market Safety &amp; Anomaly Detection</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Counterfeit fertilizers, seeds, and pesticides are a serious and underreported crisis in Uganda. AgriGuard's anomaly detection layer will flag statistically abnormal input prices — both suspiciously cheap (likely counterfeit) and exploitatively expensive. No platform in Africa currently does this. This is AgriGuard's most original feature.</w:t>
            </w:r>
          </w:p>
        </w:tc>
      </w:tr>
    </w:tbl>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3 — Uganda-Native Architecture</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AgriGuard is built from day one for Ugandan crops (maize, beans, cassava, coffee, matoke, groundnuts), Ugandan markets (Nakasero, Owino, Kalerwe, St. Balikuddembe), and Ugandan infrastructure constraints (MTN/Airtel USSD, low-bandwidth networks). No external platform will ever match this level of local specificity.</w:t>
            </w:r>
          </w:p>
        </w:tc>
      </w:tr>
    </w:tbl>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4 — Complete Intelligence Stack (Prices + Forecast + Weather + Tips)</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Farmers should not need three separate apps. AgriGuard consolidates real-time prices, future price forecasts, weather alerts, and agronomic tips into one platform — delivered across web, app, and SMS/USSD. This is the all-in-one agricultural intelligence hub that Uganda has never had.</w:t>
            </w:r>
          </w:p>
        </w:tc>
      </w:tr>
    </w:tbl>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5 — API-First Modern Architecture</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Built on FastAPI and MySQL, AgriGuard is developer-friendly from day one. NGOs, government ministries, and international organizations can consume AgriGuard data through clean REST API endpoints. This positions AgriGuard as infrastructure — not just an app — making it deeply embeddable in the ecosystem.</w:t>
            </w:r>
          </w:p>
        </w:tc>
      </w:tr>
    </w:tbl>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Edge 6 — Academic Credibility + MUST Ecosystem</w:t>
            </w:r>
          </w:p>
        </w:tc>
      </w:tr>
      <w:tr>
        <w:trPr/>
        <w:tc>
          <w:tcPr>
            <w:tcW w:w="9360" w:type="dxa"/>
            <w:tcBorders/>
            <w:shd w:fill="F1F8F1"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Being developed at Mbarara University of Science and Technology gives AgriGuard access to research supervision, potential co-investigators, student collaborators, and academic publication pathways. This adds credibility when approaching donors, NGOs, and government partners — something a private startup cannot easily replicate.</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4. FULL TOOL &amp; TECHNOLOGY STACK</w:t>
            </w:r>
          </w:p>
        </w:tc>
      </w:tr>
    </w:tbl>
    <w:p>
      <w:pPr>
        <w:pStyle w:val="Normal"/>
        <w:spacing w:lineRule="auto" w:line="276" w:before="0" w:after="120"/>
        <w:jc w:val="left"/>
        <w:rPr/>
      </w:pPr>
      <w:r>
        <w:rPr/>
      </w:r>
    </w:p>
    <w:p>
      <w:pPr>
        <w:pStyle w:val="Normal"/>
        <w:spacing w:lineRule="auto" w:line="276" w:before="0" w:after="200"/>
        <w:jc w:val="left"/>
        <w:rPr/>
      </w:pPr>
      <w:r>
        <w:rPr>
          <w:rFonts w:eastAsia="Arial" w:cs="Arial"/>
          <w:b w:val="false"/>
          <w:bCs w:val="false"/>
          <w:i w:val="false"/>
          <w:iCs w:val="false"/>
          <w:color w:val="555555"/>
          <w:sz w:val="22"/>
          <w:szCs w:val="22"/>
        </w:rPr>
        <w:t>Every tool selected below is justified by the specific requirements of AgriGuard: performance under Ugandan infrastructure constraints, ML pipeline compatibility, and open-source availability for a student-led project.</w:t>
      </w:r>
    </w:p>
    <w:tbl>
      <w:tblPr>
        <w:tblW w:w="12150" w:type="dxa"/>
        <w:jc w:val="left"/>
        <w:tblInd w:w="-1095" w:type="dxa"/>
        <w:tblLayout w:type="fixed"/>
        <w:tblCellMar>
          <w:top w:w="100" w:type="dxa"/>
          <w:left w:w="150" w:type="dxa"/>
          <w:bottom w:w="100" w:type="dxa"/>
          <w:right w:w="150" w:type="dxa"/>
        </w:tblCellMar>
      </w:tblPr>
      <w:tblGrid>
        <w:gridCol w:w="2700"/>
        <w:gridCol w:w="3390"/>
        <w:gridCol w:w="6060"/>
      </w:tblGrid>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Layer</w:t>
            </w:r>
          </w:p>
        </w:tc>
        <w:tc>
          <w:tcPr>
            <w:tcW w:w="339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Tools / Technologies</w:t>
            </w:r>
          </w:p>
        </w:tc>
        <w:tc>
          <w:tcPr>
            <w:tcW w:w="606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Purpose &amp; Justification</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Backend API</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FastAPI (Python)</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High-performance REST API; async support; auto-generates OpenAPI docs. Ideal for real-time data endpoints.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Database</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MySQL 8.0</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Relational DB for structured price data, market records, and historical time-series. Scales well with indexing.</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ORM</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SQLAlchemy</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Python ORM for clean database interaction; avoids raw SQL injection risks.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ML Framework</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scikit-learn, XGBoost, Prophet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scikit-learn for anomaly detection; XGBoost for regression forecasting; Prophet for time-series seasonality.</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Data Processing</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Pandas, NumPy</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Core data manipulation for cleaning, feature engineering, and analysis pipelines.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Data Sources</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FAO, WFP VAM, Kaggle (1992–2025), UBOS, Ground agents</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Multi-source data aggregation for training ML models and seeding the live price database.</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Weather API</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Open-Meteo API (free)</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Free, open-source weather API with Uganda coverage. No API key needed for basic tier.</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Frontend (Web)</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React.js + TailwindCSS</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Responsive dashboard for NGOs, government, and traders. Clean component-based UI.</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Mobile App</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Flutter (Dart)</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Single codebase for Android + iOS. Lightweight — critical for low-end Ugandan smartphones.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SMS / USSD</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Africa's Talking API</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Ugandan-native SMS and USSD gateway. Integrates with MTN and Airtel Uganda networks.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Authentication</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JWT (JSON Web Tokens)</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Stateless auth for API security. Lightweight and standard for FastAPI deployments.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Task Scheduling</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Celery + Redis</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Background jobs for price scraping, model retraining, and SMS blast scheduling.</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Containerisation</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Docker + Docker Compose</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Reproducible development and deployment environments. Essential for team collaboration.</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Cloud / Hosting</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AWS Free Tier / Railway.app</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Railway for MVP (easy deployment); AWS for production scaling. Both affordable for student projects.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Version Control</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Git + GitHub</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Source control, CI workflows, issue tracking, and collaboration hub.</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API Testing</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Postman / pytest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Postman for manual API testing; pytest for automated test suites.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Data Validation</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Pydantic</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FastAPI-native schema validation — ensures clean, typed data at every API boundary.</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Monitoring</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Sentry + Uptime Robot</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Error tracking and uptime monitoring. Both have generous free tiers.</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Notebooks</w:t>
            </w:r>
          </w:p>
        </w:tc>
        <w:tc>
          <w:tcPr>
            <w:tcW w:w="339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Jupyter Notebook</w:t>
            </w:r>
          </w:p>
        </w:tc>
        <w:tc>
          <w:tcPr>
            <w:tcW w:w="6060"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555555"/>
                <w:sz w:val="19"/>
                <w:szCs w:val="19"/>
              </w:rPr>
              <w:t>EDA, ML experimentation, and model validation during research phase.</w:t>
            </w:r>
          </w:p>
        </w:tc>
      </w:tr>
      <w:tr>
        <w:trPr/>
        <w:tc>
          <w:tcPr>
            <w:tcW w:w="2700" w:type="dxa"/>
            <w:tcBorders>
              <w:top w:val="single" w:sz="2" w:space="0" w:color="CCCCCC"/>
              <w:left w:val="single" w:sz="2" w:space="0" w:color="CCCCCC"/>
              <w:bottom w:val="single" w:sz="2" w:space="0" w:color="CCCCCC"/>
              <w:right w:val="single" w:sz="2" w:space="0" w:color="CCCCCC"/>
            </w:tcBorders>
            <w:shd w:fill="1A5E2A" w:val="clear"/>
          </w:tcPr>
          <w:p>
            <w:pPr>
              <w:pStyle w:val="Normal"/>
              <w:rPr/>
            </w:pPr>
            <w:r>
              <w:rPr>
                <w:rFonts w:eastAsia="Arial" w:cs="Arial"/>
                <w:b/>
                <w:bCs/>
                <w:color w:val="FFFFFF"/>
                <w:sz w:val="19"/>
                <w:szCs w:val="19"/>
              </w:rPr>
              <w:t>Visualization</w:t>
            </w:r>
          </w:p>
        </w:tc>
        <w:tc>
          <w:tcPr>
            <w:tcW w:w="33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2C2C"/>
                <w:sz w:val="19"/>
                <w:szCs w:val="19"/>
              </w:rPr>
              <w:t>Plotly / Chart.js</w:t>
            </w:r>
          </w:p>
        </w:tc>
        <w:tc>
          <w:tcPr>
            <w:tcW w:w="6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555555"/>
                <w:sz w:val="19"/>
                <w:szCs w:val="19"/>
              </w:rPr>
              <w:t>Interactive price trend charts for the web dashboard.</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5. MVP — MINIMUM VIABLE PRODUCT DEFINITION</w:t>
            </w:r>
          </w:p>
        </w:tc>
      </w:tr>
    </w:tbl>
    <w:p>
      <w:pPr>
        <w:pStyle w:val="Normal"/>
        <w:spacing w:lineRule="auto" w:line="276" w:before="0" w:after="120"/>
        <w:jc w:val="left"/>
        <w:rPr/>
      </w:pPr>
      <w:r>
        <w:rPr/>
      </w:r>
    </w:p>
    <w:p>
      <w:pPr>
        <w:pStyle w:val="Normal"/>
        <w:spacing w:lineRule="auto" w:line="276" w:before="0" w:after="200"/>
        <w:jc w:val="left"/>
        <w:rPr/>
      </w:pPr>
      <w:r>
        <w:rPr>
          <w:rFonts w:eastAsia="Arial" w:cs="Arial"/>
          <w:b w:val="false"/>
          <w:bCs w:val="false"/>
          <w:i w:val="false"/>
          <w:iCs w:val="false"/>
          <w:color w:val="555555"/>
          <w:sz w:val="22"/>
          <w:szCs w:val="22"/>
        </w:rPr>
        <w:t>The AgriGuard MVP is designed to be achievable within 3–4 months by a solo developer (with potential collaborators from MUST), while delivering enough value to attract early users, gather real data, and build credibility for future funding rounds.</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MVP Core Principle</w:t>
            </w:r>
          </w:p>
        </w:tc>
      </w:tr>
      <w:tr>
        <w:trPr/>
        <w:tc>
          <w:tcPr>
            <w:tcW w:w="9360" w:type="dxa"/>
            <w:tcBorders/>
            <w:shd w:fill="C8E6C9"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Do one thing better than anyone in Uganda. The MVP will focus on real-time price data + basic price trend visualization for the top 10 Ugandan commodities across the top 15 markets. Everything else is Phase 2 or beyond.</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5.1 MVP Phased Roadmap</w:t>
      </w:r>
    </w:p>
    <w:tbl>
      <w:tblPr>
        <w:tblW w:w="9360" w:type="dxa"/>
        <w:jc w:val="left"/>
        <w:tblInd w:w="0" w:type="dxa"/>
        <w:tblLayout w:type="fixed"/>
        <w:tblCellMar>
          <w:top w:w="100" w:type="dxa"/>
          <w:left w:w="150" w:type="dxa"/>
          <w:bottom w:w="100" w:type="dxa"/>
          <w:right w:w="150" w:type="dxa"/>
        </w:tblCellMar>
      </w:tblPr>
      <w:tblGrid>
        <w:gridCol w:w="1400"/>
        <w:gridCol w:w="1598"/>
        <w:gridCol w:w="6362"/>
      </w:tblGrid>
      <w:tr>
        <w:trPr/>
        <w:tc>
          <w:tcPr>
            <w:tcW w:w="140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Phase</w:t>
            </w:r>
          </w:p>
        </w:tc>
        <w:tc>
          <w:tcPr>
            <w:tcW w:w="1598"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Timeline</w:t>
            </w:r>
          </w:p>
        </w:tc>
        <w:tc>
          <w:tcPr>
            <w:tcW w:w="6362"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Deliverables</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0 Foundation</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1–2</w:t>
            </w:r>
          </w:p>
        </w:tc>
        <w:tc>
          <w:tcPr>
            <w:tcW w:w="6362" w:type="dxa"/>
            <w:tcBorders>
              <w:top w:val="single" w:sz="2" w:space="0" w:color="CCCCCC"/>
              <w:left w:val="single" w:sz="2" w:space="0" w:color="CCCCCC"/>
              <w:bottom w:val="single" w:sz="2" w:space="0" w:color="CCCCCC"/>
              <w:right w:val="single" w:sz="2" w:space="0" w:color="CCCCCC"/>
            </w:tcBorders>
            <w:shd w:fill="F1F8F1" w:val="clear"/>
          </w:tcPr>
          <w:p>
            <w:pPr>
              <w:pStyle w:val="ListParagraph"/>
              <w:numPr>
                <w:ilvl w:val="0"/>
                <w:numId w:val="10"/>
              </w:numPr>
              <w:spacing w:before="30" w:after="40"/>
              <w:rPr/>
            </w:pPr>
            <w:r>
              <w:rPr>
                <w:rFonts w:eastAsia="Arial" w:cs="Arial"/>
                <w:color w:val="2C2C2C"/>
                <w:sz w:val="18"/>
                <w:szCs w:val="18"/>
              </w:rPr>
              <w:t>Set up MySQL database schema (commodities, markets, prices, users)</w:t>
            </w:r>
          </w:p>
          <w:p>
            <w:pPr>
              <w:pStyle w:val="ListParagraph"/>
              <w:numPr>
                <w:ilvl w:val="0"/>
                <w:numId w:val="11"/>
              </w:numPr>
              <w:spacing w:before="30" w:after="40"/>
              <w:rPr/>
            </w:pPr>
            <w:r>
              <w:rPr>
                <w:rFonts w:eastAsia="Arial" w:cs="Arial"/>
                <w:color w:val="2C2C2C"/>
                <w:sz w:val="18"/>
                <w:szCs w:val="18"/>
              </w:rPr>
              <w:t>Seed database with Kaggle Global Food Prices 1992–2025 (cleaned)</w:t>
            </w:r>
          </w:p>
          <w:p>
            <w:pPr>
              <w:pStyle w:val="ListParagraph"/>
              <w:numPr>
                <w:ilvl w:val="0"/>
                <w:numId w:val="12"/>
              </w:numPr>
              <w:spacing w:before="30" w:after="40"/>
              <w:rPr/>
            </w:pPr>
            <w:r>
              <w:rPr>
                <w:rFonts w:eastAsia="Arial" w:cs="Arial"/>
                <w:color w:val="2C2C2C"/>
                <w:sz w:val="18"/>
                <w:szCs w:val="18"/>
              </w:rPr>
              <w:t>Set up FastAPI project structure with SQLAlchemy ORM</w:t>
            </w:r>
          </w:p>
          <w:p>
            <w:pPr>
              <w:pStyle w:val="ListParagraph"/>
              <w:numPr>
                <w:ilvl w:val="0"/>
                <w:numId w:val="13"/>
              </w:numPr>
              <w:spacing w:before="30" w:after="40"/>
              <w:rPr/>
            </w:pPr>
            <w:r>
              <w:rPr>
                <w:rFonts w:eastAsia="Arial" w:cs="Arial"/>
                <w:color w:val="2C2C2C"/>
                <w:sz w:val="18"/>
                <w:szCs w:val="18"/>
              </w:rPr>
              <w:t>Define API endpoints: /prices, /markets, /commodities, /trends</w:t>
            </w:r>
          </w:p>
          <w:p>
            <w:pPr>
              <w:pStyle w:val="ListParagraph"/>
              <w:numPr>
                <w:ilvl w:val="0"/>
                <w:numId w:val="14"/>
              </w:numPr>
              <w:spacing w:before="30" w:after="40"/>
              <w:rPr/>
            </w:pPr>
            <w:r>
              <w:rPr>
                <w:rFonts w:eastAsia="Arial" w:cs="Arial"/>
                <w:color w:val="2C2C2C"/>
                <w:sz w:val="18"/>
                <w:szCs w:val="18"/>
              </w:rPr>
              <w:t>Dockerize the development environment</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1 Core API</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3–5</w:t>
            </w:r>
          </w:p>
        </w:tc>
        <w:tc>
          <w:tcPr>
            <w:tcW w:w="6362" w:type="dxa"/>
            <w:tcBorders>
              <w:top w:val="single" w:sz="2" w:space="0" w:color="CCCCCC"/>
              <w:left w:val="single" w:sz="2" w:space="0" w:color="CCCCCC"/>
              <w:bottom w:val="single" w:sz="2" w:space="0" w:color="CCCCCC"/>
              <w:right w:val="single" w:sz="2" w:space="0" w:color="CCCCCC"/>
            </w:tcBorders>
            <w:shd w:fill="FFFFFF" w:val="clear"/>
          </w:tcPr>
          <w:p>
            <w:pPr>
              <w:pStyle w:val="ListParagraph"/>
              <w:numPr>
                <w:ilvl w:val="0"/>
                <w:numId w:val="15"/>
              </w:numPr>
              <w:spacing w:before="30" w:after="40"/>
              <w:rPr/>
            </w:pPr>
            <w:r>
              <w:rPr>
                <w:rFonts w:eastAsia="Arial" w:cs="Arial"/>
                <w:color w:val="2C2C2C"/>
                <w:sz w:val="18"/>
                <w:szCs w:val="18"/>
              </w:rPr>
              <w:t>Build and expose GET /prices?market=&amp;commodity=&amp;date= endpoint</w:t>
            </w:r>
          </w:p>
          <w:p>
            <w:pPr>
              <w:pStyle w:val="ListParagraph"/>
              <w:numPr>
                <w:ilvl w:val="0"/>
                <w:numId w:val="16"/>
              </w:numPr>
              <w:spacing w:before="30" w:after="40"/>
              <w:rPr/>
            </w:pPr>
            <w:r>
              <w:rPr>
                <w:rFonts w:eastAsia="Arial" w:cs="Arial"/>
                <w:color w:val="2C2C2C"/>
                <w:sz w:val="18"/>
                <w:szCs w:val="18"/>
              </w:rPr>
              <w:t>Build GET /trends?commodity=&amp;days= for historical trend data</w:t>
            </w:r>
          </w:p>
          <w:p>
            <w:pPr>
              <w:pStyle w:val="ListParagraph"/>
              <w:numPr>
                <w:ilvl w:val="0"/>
                <w:numId w:val="17"/>
              </w:numPr>
              <w:spacing w:before="30" w:after="40"/>
              <w:rPr/>
            </w:pPr>
            <w:r>
              <w:rPr>
                <w:rFonts w:eastAsia="Arial" w:cs="Arial"/>
                <w:color w:val="2C2C2C"/>
                <w:sz w:val="18"/>
                <w:szCs w:val="18"/>
              </w:rPr>
              <w:t>Build POST /prices for manual or agent price submission</w:t>
            </w:r>
          </w:p>
          <w:p>
            <w:pPr>
              <w:pStyle w:val="ListParagraph"/>
              <w:numPr>
                <w:ilvl w:val="0"/>
                <w:numId w:val="18"/>
              </w:numPr>
              <w:spacing w:before="30" w:after="40"/>
              <w:rPr/>
            </w:pPr>
            <w:r>
              <w:rPr>
                <w:rFonts w:eastAsia="Arial" w:cs="Arial"/>
                <w:color w:val="2C2C2C"/>
                <w:sz w:val="18"/>
                <w:szCs w:val="18"/>
              </w:rPr>
              <w:t>Implement JWT authentication for data submission agents</w:t>
            </w:r>
          </w:p>
          <w:p>
            <w:pPr>
              <w:pStyle w:val="ListParagraph"/>
              <w:numPr>
                <w:ilvl w:val="0"/>
                <w:numId w:val="19"/>
              </w:numPr>
              <w:spacing w:before="30" w:after="40"/>
              <w:rPr/>
            </w:pPr>
            <w:r>
              <w:rPr>
                <w:rFonts w:eastAsia="Arial" w:cs="Arial"/>
                <w:color w:val="2C2C2C"/>
                <w:sz w:val="18"/>
                <w:szCs w:val="18"/>
              </w:rPr>
              <w:t>Deploy to Railway.app — live public API endpoint</w:t>
            </w:r>
          </w:p>
          <w:p>
            <w:pPr>
              <w:pStyle w:val="ListParagraph"/>
              <w:numPr>
                <w:ilvl w:val="0"/>
                <w:numId w:val="20"/>
              </w:numPr>
              <w:spacing w:before="30" w:after="40"/>
              <w:rPr/>
            </w:pPr>
            <w:r>
              <w:rPr>
                <w:rFonts w:eastAsia="Arial" w:cs="Arial"/>
                <w:color w:val="2C2C2C"/>
                <w:sz w:val="18"/>
                <w:szCs w:val="18"/>
              </w:rPr>
              <w:t>Write Postman collection + basic API documentation</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2 Web Dashboard</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6–8</w:t>
            </w:r>
          </w:p>
        </w:tc>
        <w:tc>
          <w:tcPr>
            <w:tcW w:w="6362" w:type="dxa"/>
            <w:tcBorders>
              <w:top w:val="single" w:sz="2" w:space="0" w:color="CCCCCC"/>
              <w:left w:val="single" w:sz="2" w:space="0" w:color="CCCCCC"/>
              <w:bottom w:val="single" w:sz="2" w:space="0" w:color="CCCCCC"/>
              <w:right w:val="single" w:sz="2" w:space="0" w:color="CCCCCC"/>
            </w:tcBorders>
            <w:shd w:fill="F1F8F1" w:val="clear"/>
          </w:tcPr>
          <w:p>
            <w:pPr>
              <w:pStyle w:val="ListParagraph"/>
              <w:numPr>
                <w:ilvl w:val="0"/>
                <w:numId w:val="21"/>
              </w:numPr>
              <w:spacing w:before="30" w:after="40"/>
              <w:rPr/>
            </w:pPr>
            <w:r>
              <w:rPr>
                <w:rFonts w:eastAsia="Arial" w:cs="Arial"/>
                <w:color w:val="2C2C2C"/>
                <w:sz w:val="18"/>
                <w:szCs w:val="18"/>
              </w:rPr>
              <w:t>React.js dashboard with market price tables (top 10 crops, top 15 markets)</w:t>
            </w:r>
          </w:p>
          <w:p>
            <w:pPr>
              <w:pStyle w:val="ListParagraph"/>
              <w:numPr>
                <w:ilvl w:val="0"/>
                <w:numId w:val="22"/>
              </w:numPr>
              <w:spacing w:before="30" w:after="40"/>
              <w:rPr/>
            </w:pPr>
            <w:r>
              <w:rPr>
                <w:rFonts w:eastAsia="Arial" w:cs="Arial"/>
                <w:color w:val="2C2C2C"/>
                <w:sz w:val="18"/>
                <w:szCs w:val="18"/>
              </w:rPr>
              <w:t>Interactive Plotly price trend charts with date range filtering</w:t>
            </w:r>
          </w:p>
          <w:p>
            <w:pPr>
              <w:pStyle w:val="ListParagraph"/>
              <w:numPr>
                <w:ilvl w:val="0"/>
                <w:numId w:val="23"/>
              </w:numPr>
              <w:spacing w:before="30" w:after="40"/>
              <w:rPr/>
            </w:pPr>
            <w:r>
              <w:rPr>
                <w:rFonts w:eastAsia="Arial" w:cs="Arial"/>
                <w:color w:val="2C2C2C"/>
                <w:sz w:val="18"/>
                <w:szCs w:val="18"/>
              </w:rPr>
              <w:t>Market comparison view: same crop across multiple markets</w:t>
            </w:r>
          </w:p>
          <w:p>
            <w:pPr>
              <w:pStyle w:val="ListParagraph"/>
              <w:numPr>
                <w:ilvl w:val="0"/>
                <w:numId w:val="24"/>
              </w:numPr>
              <w:spacing w:before="30" w:after="40"/>
              <w:rPr/>
            </w:pPr>
            <w:r>
              <w:rPr>
                <w:rFonts w:eastAsia="Arial" w:cs="Arial"/>
                <w:color w:val="2C2C2C"/>
                <w:sz w:val="18"/>
                <w:szCs w:val="18"/>
              </w:rPr>
              <w:t>Basic search: find price of commodity X in market Y</w:t>
            </w:r>
          </w:p>
          <w:p>
            <w:pPr>
              <w:pStyle w:val="ListParagraph"/>
              <w:numPr>
                <w:ilvl w:val="0"/>
                <w:numId w:val="25"/>
              </w:numPr>
              <w:spacing w:before="30" w:after="40"/>
              <w:rPr/>
            </w:pPr>
            <w:r>
              <w:rPr>
                <w:rFonts w:eastAsia="Arial" w:cs="Arial"/>
                <w:color w:val="2C2C2C"/>
                <w:sz w:val="18"/>
                <w:szCs w:val="18"/>
              </w:rPr>
              <w:t>Mobile-responsive design with TailwindCSS</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3 ML Layer</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9–11</w:t>
            </w:r>
          </w:p>
        </w:tc>
        <w:tc>
          <w:tcPr>
            <w:tcW w:w="6362" w:type="dxa"/>
            <w:tcBorders>
              <w:top w:val="single" w:sz="2" w:space="0" w:color="CCCCCC"/>
              <w:left w:val="single" w:sz="2" w:space="0" w:color="CCCCCC"/>
              <w:bottom w:val="single" w:sz="2" w:space="0" w:color="CCCCCC"/>
              <w:right w:val="single" w:sz="2" w:space="0" w:color="CCCCCC"/>
            </w:tcBorders>
            <w:shd w:fill="FFFFFF" w:val="clear"/>
          </w:tcPr>
          <w:p>
            <w:pPr>
              <w:pStyle w:val="ListParagraph"/>
              <w:numPr>
                <w:ilvl w:val="0"/>
                <w:numId w:val="26"/>
              </w:numPr>
              <w:spacing w:before="30" w:after="40"/>
              <w:rPr/>
            </w:pPr>
            <w:r>
              <w:rPr>
                <w:rFonts w:eastAsia="Arial" w:cs="Arial"/>
                <w:color w:val="2C2C2C"/>
                <w:sz w:val="18"/>
                <w:szCs w:val="18"/>
              </w:rPr>
              <w:t>Train XGBoost regression model on cleaned historical price data</w:t>
            </w:r>
          </w:p>
          <w:p>
            <w:pPr>
              <w:pStyle w:val="ListParagraph"/>
              <w:numPr>
                <w:ilvl w:val="0"/>
                <w:numId w:val="27"/>
              </w:numPr>
              <w:spacing w:before="30" w:after="40"/>
              <w:rPr/>
            </w:pPr>
            <w:r>
              <w:rPr>
                <w:rFonts w:eastAsia="Arial" w:cs="Arial"/>
                <w:color w:val="2C2C2C"/>
                <w:sz w:val="18"/>
                <w:szCs w:val="18"/>
              </w:rPr>
              <w:t>Implement Prophet for seasonal price trend decomposition</w:t>
            </w:r>
          </w:p>
          <w:p>
            <w:pPr>
              <w:pStyle w:val="ListParagraph"/>
              <w:numPr>
                <w:ilvl w:val="0"/>
                <w:numId w:val="28"/>
              </w:numPr>
              <w:spacing w:before="30" w:after="40"/>
              <w:rPr/>
            </w:pPr>
            <w:r>
              <w:rPr>
                <w:rFonts w:eastAsia="Arial" w:cs="Arial"/>
                <w:color w:val="2C2C2C"/>
                <w:sz w:val="18"/>
                <w:szCs w:val="18"/>
              </w:rPr>
              <w:t>Build GET /forecast?commodity=&amp;market=&amp;days= endpoint</w:t>
            </w:r>
          </w:p>
          <w:p>
            <w:pPr>
              <w:pStyle w:val="ListParagraph"/>
              <w:numPr>
                <w:ilvl w:val="0"/>
                <w:numId w:val="29"/>
              </w:numPr>
              <w:spacing w:before="30" w:after="40"/>
              <w:rPr/>
            </w:pPr>
            <w:r>
              <w:rPr>
                <w:rFonts w:eastAsia="Arial" w:cs="Arial"/>
                <w:color w:val="2C2C2C"/>
                <w:sz w:val="18"/>
                <w:szCs w:val="18"/>
              </w:rPr>
              <w:t>Train Isolation Forest anomaly detection on input market prices</w:t>
            </w:r>
          </w:p>
          <w:p>
            <w:pPr>
              <w:pStyle w:val="ListParagraph"/>
              <w:numPr>
                <w:ilvl w:val="0"/>
                <w:numId w:val="30"/>
              </w:numPr>
              <w:spacing w:before="30" w:after="40"/>
              <w:rPr/>
            </w:pPr>
            <w:r>
              <w:rPr>
                <w:rFonts w:eastAsia="Arial" w:cs="Arial"/>
                <w:color w:val="2C2C2C"/>
                <w:sz w:val="18"/>
                <w:szCs w:val="18"/>
              </w:rPr>
              <w:t>Build GET /anomalies?market= to surface suspicious input prices</w:t>
            </w:r>
          </w:p>
          <w:p>
            <w:pPr>
              <w:pStyle w:val="ListParagraph"/>
              <w:numPr>
                <w:ilvl w:val="0"/>
                <w:numId w:val="31"/>
              </w:numPr>
              <w:spacing w:before="30" w:after="40"/>
              <w:rPr/>
            </w:pPr>
            <w:r>
              <w:rPr>
                <w:rFonts w:eastAsia="Arial" w:cs="Arial"/>
                <w:color w:val="2C2C2C"/>
                <w:sz w:val="18"/>
                <w:szCs w:val="18"/>
              </w:rPr>
              <w:t>Integrate forecast charts into web dashboard</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4 Mobile &amp; SMS</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12–14</w:t>
            </w:r>
          </w:p>
        </w:tc>
        <w:tc>
          <w:tcPr>
            <w:tcW w:w="6362" w:type="dxa"/>
            <w:tcBorders>
              <w:top w:val="single" w:sz="2" w:space="0" w:color="CCCCCC"/>
              <w:left w:val="single" w:sz="2" w:space="0" w:color="CCCCCC"/>
              <w:bottom w:val="single" w:sz="2" w:space="0" w:color="CCCCCC"/>
              <w:right w:val="single" w:sz="2" w:space="0" w:color="CCCCCC"/>
            </w:tcBorders>
            <w:shd w:fill="F1F8F1" w:val="clear"/>
          </w:tcPr>
          <w:p>
            <w:pPr>
              <w:pStyle w:val="ListParagraph"/>
              <w:numPr>
                <w:ilvl w:val="0"/>
                <w:numId w:val="32"/>
              </w:numPr>
              <w:spacing w:before="30" w:after="40"/>
              <w:rPr/>
            </w:pPr>
            <w:r>
              <w:rPr>
                <w:rFonts w:eastAsia="Arial" w:cs="Arial"/>
                <w:color w:val="2C2C2C"/>
                <w:sz w:val="18"/>
                <w:szCs w:val="18"/>
              </w:rPr>
              <w:t>Africa's Talking USSD integration: farmers dial *384# for price queries</w:t>
            </w:r>
          </w:p>
          <w:p>
            <w:pPr>
              <w:pStyle w:val="ListParagraph"/>
              <w:numPr>
                <w:ilvl w:val="0"/>
                <w:numId w:val="33"/>
              </w:numPr>
              <w:spacing w:before="30" w:after="40"/>
              <w:rPr/>
            </w:pPr>
            <w:r>
              <w:rPr>
                <w:rFonts w:eastAsia="Arial" w:cs="Arial"/>
                <w:color w:val="2C2C2C"/>
                <w:sz w:val="18"/>
                <w:szCs w:val="18"/>
              </w:rPr>
              <w:t>SMS alert subscription system (price drops/spikes for subscribed crops)</w:t>
            </w:r>
          </w:p>
          <w:p>
            <w:pPr>
              <w:pStyle w:val="ListParagraph"/>
              <w:numPr>
                <w:ilvl w:val="0"/>
                <w:numId w:val="34"/>
              </w:numPr>
              <w:spacing w:before="30" w:after="40"/>
              <w:rPr/>
            </w:pPr>
            <w:r>
              <w:rPr>
                <w:rFonts w:eastAsia="Arial" w:cs="Arial"/>
                <w:color w:val="2C2C2C"/>
                <w:sz w:val="18"/>
                <w:szCs w:val="18"/>
              </w:rPr>
              <w:t>Flutter mobile app (Android-first): price lookup + forecast view</w:t>
            </w:r>
          </w:p>
          <w:p>
            <w:pPr>
              <w:pStyle w:val="ListParagraph"/>
              <w:numPr>
                <w:ilvl w:val="0"/>
                <w:numId w:val="35"/>
              </w:numPr>
              <w:spacing w:before="30" w:after="40"/>
              <w:rPr/>
            </w:pPr>
            <w:r>
              <w:rPr>
                <w:rFonts w:eastAsia="Arial" w:cs="Arial"/>
                <w:color w:val="2C2C2C"/>
                <w:sz w:val="18"/>
                <w:szCs w:val="18"/>
              </w:rPr>
              <w:t>Open-Meteo weather widget in mobile app and dashboard</w:t>
            </w:r>
          </w:p>
          <w:p>
            <w:pPr>
              <w:pStyle w:val="ListParagraph"/>
              <w:numPr>
                <w:ilvl w:val="0"/>
                <w:numId w:val="36"/>
              </w:numPr>
              <w:spacing w:before="30" w:after="40"/>
              <w:rPr/>
            </w:pPr>
            <w:r>
              <w:rPr>
                <w:rFonts w:eastAsia="Arial" w:cs="Arial"/>
                <w:color w:val="2C2C2C"/>
                <w:sz w:val="18"/>
                <w:szCs w:val="18"/>
              </w:rPr>
              <w:t>Basic agronomic tips library by crop and season</w:t>
            </w:r>
          </w:p>
        </w:tc>
      </w:tr>
      <w:tr>
        <w:trPr/>
        <w:tc>
          <w:tcPr>
            <w:tcW w:w="1400" w:type="dxa"/>
            <w:tcBorders>
              <w:top w:val="single" w:sz="2" w:space="0" w:color="CCCCCC"/>
              <w:left w:val="single" w:sz="2" w:space="0" w:color="CCCCCC"/>
              <w:bottom w:val="single" w:sz="2" w:space="0" w:color="CCCCCC"/>
              <w:right w:val="single" w:sz="2" w:space="0" w:color="CCCCCC"/>
            </w:tcBorders>
            <w:shd w:fill="2E7D32" w:val="clear"/>
          </w:tcPr>
          <w:p>
            <w:pPr>
              <w:pStyle w:val="Normal"/>
              <w:rPr/>
            </w:pPr>
            <w:r>
              <w:rPr>
                <w:rFonts w:eastAsia="Arial" w:cs="Arial"/>
                <w:b/>
                <w:bCs/>
                <w:color w:val="FFFFFF"/>
                <w:sz w:val="20"/>
                <w:szCs w:val="20"/>
              </w:rPr>
              <w:t>Phase 5 Launch &amp; Validate</w:t>
            </w:r>
          </w:p>
        </w:tc>
        <w:tc>
          <w:tcPr>
            <w:tcW w:w="1598" w:type="dxa"/>
            <w:tcBorders>
              <w:top w:val="single" w:sz="2" w:space="0" w:color="CCCCCC"/>
              <w:left w:val="single" w:sz="2" w:space="0" w:color="CCCCCC"/>
              <w:bottom w:val="single" w:sz="2" w:space="0" w:color="CCCCCC"/>
              <w:right w:val="single" w:sz="2" w:space="0" w:color="CCCCCC"/>
            </w:tcBorders>
            <w:shd w:fill="F1F8F1" w:val="clear"/>
          </w:tcPr>
          <w:p>
            <w:pPr>
              <w:pStyle w:val="Normal"/>
              <w:rPr/>
            </w:pPr>
            <w:r>
              <w:rPr>
                <w:rFonts w:eastAsia="Arial" w:cs="Arial"/>
                <w:color w:val="2C2C2C"/>
                <w:sz w:val="19"/>
                <w:szCs w:val="19"/>
              </w:rPr>
              <w:t>Weeks 15–16</w:t>
            </w:r>
          </w:p>
        </w:tc>
        <w:tc>
          <w:tcPr>
            <w:tcW w:w="6362" w:type="dxa"/>
            <w:tcBorders>
              <w:top w:val="single" w:sz="2" w:space="0" w:color="CCCCCC"/>
              <w:left w:val="single" w:sz="2" w:space="0" w:color="CCCCCC"/>
              <w:bottom w:val="single" w:sz="2" w:space="0" w:color="CCCCCC"/>
              <w:right w:val="single" w:sz="2" w:space="0" w:color="CCCCCC"/>
            </w:tcBorders>
            <w:shd w:fill="FFFFFF" w:val="clear"/>
          </w:tcPr>
          <w:p>
            <w:pPr>
              <w:pStyle w:val="ListParagraph"/>
              <w:numPr>
                <w:ilvl w:val="0"/>
                <w:numId w:val="37"/>
              </w:numPr>
              <w:spacing w:before="30" w:after="40"/>
              <w:rPr/>
            </w:pPr>
            <w:r>
              <w:rPr>
                <w:rFonts w:eastAsia="Arial" w:cs="Arial"/>
                <w:color w:val="2C2C2C"/>
                <w:sz w:val="18"/>
                <w:szCs w:val="18"/>
              </w:rPr>
              <w:t>Pilot launch with 50 farmers in Mbarara/Bushenyi region</w:t>
            </w:r>
          </w:p>
          <w:p>
            <w:pPr>
              <w:pStyle w:val="ListParagraph"/>
              <w:numPr>
                <w:ilvl w:val="0"/>
                <w:numId w:val="38"/>
              </w:numPr>
              <w:spacing w:before="30" w:after="40"/>
              <w:rPr/>
            </w:pPr>
            <w:r>
              <w:rPr>
                <w:rFonts w:eastAsia="Arial" w:cs="Arial"/>
                <w:color w:val="2C2C2C"/>
                <w:sz w:val="18"/>
                <w:szCs w:val="18"/>
              </w:rPr>
              <w:t>Ground agent onboarding: 5 agents submitting live prices weekly</w:t>
            </w:r>
          </w:p>
          <w:p>
            <w:pPr>
              <w:pStyle w:val="ListParagraph"/>
              <w:numPr>
                <w:ilvl w:val="0"/>
                <w:numId w:val="39"/>
              </w:numPr>
              <w:spacing w:before="30" w:after="40"/>
              <w:rPr/>
            </w:pPr>
            <w:r>
              <w:rPr>
                <w:rFonts w:eastAsia="Arial" w:cs="Arial"/>
                <w:color w:val="2C2C2C"/>
                <w:sz w:val="18"/>
                <w:szCs w:val="18"/>
              </w:rPr>
              <w:t>User feedback collection and iteration sprint</w:t>
            </w:r>
          </w:p>
          <w:p>
            <w:pPr>
              <w:pStyle w:val="ListParagraph"/>
              <w:numPr>
                <w:ilvl w:val="0"/>
                <w:numId w:val="40"/>
              </w:numPr>
              <w:spacing w:before="30" w:after="40"/>
              <w:rPr/>
            </w:pPr>
            <w:r>
              <w:rPr>
                <w:rFonts w:eastAsia="Arial" w:cs="Arial"/>
                <w:color w:val="2C2C2C"/>
                <w:sz w:val="18"/>
                <w:szCs w:val="18"/>
              </w:rPr>
              <w:t>Performance monitoring with Sentry + Uptime Robot</w:t>
            </w:r>
          </w:p>
          <w:p>
            <w:pPr>
              <w:pStyle w:val="ListParagraph"/>
              <w:numPr>
                <w:ilvl w:val="0"/>
                <w:numId w:val="41"/>
              </w:numPr>
              <w:spacing w:before="30" w:after="40"/>
              <w:rPr/>
            </w:pPr>
            <w:r>
              <w:rPr>
                <w:rFonts w:eastAsia="Arial" w:cs="Arial"/>
                <w:color w:val="2C2C2C"/>
                <w:sz w:val="18"/>
                <w:szCs w:val="18"/>
              </w:rPr>
              <w:t>Prepare funding pitch deck for NGOs / USAID / government</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5.2 MVP Success Metrics</w:t>
      </w:r>
    </w:p>
    <w:tbl>
      <w:tblPr>
        <w:tblW w:w="9360" w:type="dxa"/>
        <w:jc w:val="left"/>
        <w:tblInd w:w="0" w:type="dxa"/>
        <w:tblLayout w:type="fixed"/>
        <w:tblCellMar>
          <w:top w:w="100" w:type="dxa"/>
          <w:left w:w="150" w:type="dxa"/>
          <w:bottom w:w="100" w:type="dxa"/>
          <w:right w:w="15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Metric</w:t>
            </w:r>
          </w:p>
        </w:tc>
        <w:tc>
          <w:tcPr>
            <w:tcW w:w="4679"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MVP Target (End of Month 4)</w:t>
            </w:r>
          </w:p>
        </w:tc>
      </w:tr>
      <w:tr>
        <w:trPr/>
        <w:tc>
          <w:tcPr>
            <w:tcW w:w="46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0"/>
                <w:szCs w:val="20"/>
              </w:rPr>
              <w:t>Commodities tracked</w:t>
            </w:r>
          </w:p>
        </w:tc>
        <w:tc>
          <w:tcPr>
            <w:tcW w:w="46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10 (maize, beans, cassava, groundnuts, coffee, matoke, rice, sorghum, onions, tomatoes)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0"/>
                <w:szCs w:val="20"/>
              </w:rPr>
              <w:t>Markets covered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15 Ugandan markets (Kampala + regional)</w:t>
            </w:r>
          </w:p>
        </w:tc>
      </w:tr>
      <w:tr>
        <w:trPr/>
        <w:tc>
          <w:tcPr>
            <w:tcW w:w="46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0"/>
                <w:szCs w:val="20"/>
              </w:rPr>
              <w:t>API uptime</w:t>
            </w:r>
          </w:p>
        </w:tc>
        <w:tc>
          <w:tcPr>
            <w:tcW w:w="46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95%</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0"/>
                <w:szCs w:val="20"/>
              </w:rPr>
              <w:t>Price forecast accuracy (MAE)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20"/>
                <w:szCs w:val="20"/>
              </w:rPr>
              <w:t>&lt; 15% mean absolute error on test set</w:t>
            </w:r>
          </w:p>
        </w:tc>
      </w:tr>
      <w:tr>
        <w:trPr/>
        <w:tc>
          <w:tcPr>
            <w:tcW w:w="46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0"/>
                <w:szCs w:val="20"/>
              </w:rPr>
              <w:t>Anomaly detection precision</w:t>
            </w:r>
          </w:p>
        </w:tc>
        <w:tc>
          <w:tcPr>
            <w:tcW w:w="46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80% on known outlier test cases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0"/>
                <w:szCs w:val="20"/>
              </w:rPr>
              <w:t>Ground agents active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5 submitting weekly price data</w:t>
            </w:r>
          </w:p>
        </w:tc>
      </w:tr>
      <w:tr>
        <w:trPr/>
        <w:tc>
          <w:tcPr>
            <w:tcW w:w="46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20"/>
                <w:szCs w:val="20"/>
              </w:rPr>
              <w:t>Pilot farmer users</w:t>
            </w:r>
          </w:p>
        </w:tc>
        <w:tc>
          <w:tcPr>
            <w:tcW w:w="46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50 farmers using USSD or SMS service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20"/>
                <w:szCs w:val="20"/>
              </w:rPr>
              <w:t>NGO / partner interest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20"/>
                <w:szCs w:val="20"/>
              </w:rPr>
              <w:t xml:space="preserve">≥ </w:t>
            </w:r>
            <w:r>
              <w:rPr>
                <w:rFonts w:eastAsia="Arial" w:cs="Arial"/>
                <w:b/>
                <w:bCs/>
                <w:i w:val="false"/>
                <w:iCs w:val="false"/>
                <w:color w:val="2E7D32"/>
                <w:sz w:val="20"/>
                <w:szCs w:val="20"/>
              </w:rPr>
              <w:t>1 formal letter of intent from partner</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6. DATA STRATEGY</w:t>
            </w:r>
          </w:p>
        </w:tc>
      </w:tr>
    </w:tbl>
    <w:p>
      <w:pPr>
        <w:pStyle w:val="Normal"/>
        <w:spacing w:lineRule="auto" w:line="276" w:before="0" w:after="120"/>
        <w:jc w:val="left"/>
        <w:rPr/>
      </w:pPr>
      <w:r>
        <w:rPr/>
      </w:r>
    </w:p>
    <w:p>
      <w:pPr>
        <w:pStyle w:val="Normal"/>
        <w:spacing w:lineRule="auto" w:line="276" w:before="0" w:after="200"/>
        <w:jc w:val="left"/>
        <w:rPr/>
      </w:pPr>
      <w:r>
        <w:rPr>
          <w:rFonts w:eastAsia="Arial" w:cs="Arial"/>
          <w:b w:val="false"/>
          <w:bCs w:val="false"/>
          <w:i w:val="false"/>
          <w:iCs w:val="false"/>
          <w:color w:val="555555"/>
          <w:sz w:val="22"/>
          <w:szCs w:val="22"/>
        </w:rPr>
        <w:t>AgriGuard's intelligence is only as good as its data. This section outlines the layered data strategy across three phases.</w:t>
      </w:r>
    </w:p>
    <w:p>
      <w:pPr>
        <w:pStyle w:val="Heading2"/>
        <w:spacing w:before="280" w:after="160"/>
        <w:rPr/>
      </w:pPr>
      <w:r>
        <w:rPr>
          <w:rFonts w:eastAsia="Arial" w:cs="Arial"/>
          <w:b/>
          <w:bCs/>
          <w:color w:val="2E7D32"/>
          <w:sz w:val="26"/>
          <w:szCs w:val="26"/>
        </w:rPr>
        <w:t>Phase 1 — Seed Data (Historical Foundation)</w:t>
      </w:r>
    </w:p>
    <w:p>
      <w:pPr>
        <w:pStyle w:val="ListParagraph"/>
        <w:numPr>
          <w:ilvl w:val="0"/>
          <w:numId w:val="42"/>
        </w:numPr>
        <w:spacing w:before="40" w:after="60"/>
        <w:rPr/>
      </w:pPr>
      <w:r>
        <w:rPr>
          <w:rFonts w:eastAsia="Arial" w:cs="Arial"/>
          <w:b w:val="false"/>
          <w:bCs w:val="false"/>
          <w:color w:val="2C2C2C"/>
          <w:sz w:val="21"/>
          <w:szCs w:val="21"/>
        </w:rPr>
        <w:t>Kaggle Global Food Prices Dataset (1992–2025): cleaned, standardized, and loaded into MySQL</w:t>
      </w:r>
    </w:p>
    <w:p>
      <w:pPr>
        <w:pStyle w:val="ListParagraph"/>
        <w:numPr>
          <w:ilvl w:val="0"/>
          <w:numId w:val="43"/>
        </w:numPr>
        <w:spacing w:before="40" w:after="60"/>
        <w:rPr/>
      </w:pPr>
      <w:r>
        <w:rPr>
          <w:rFonts w:eastAsia="Arial" w:cs="Arial"/>
          <w:b w:val="false"/>
          <w:bCs w:val="false"/>
          <w:color w:val="2C2C2C"/>
          <w:sz w:val="21"/>
          <w:szCs w:val="21"/>
        </w:rPr>
        <w:t>WFP VAM Uganda price bulletins: downloadable historical CSV data</w:t>
      </w:r>
    </w:p>
    <w:p>
      <w:pPr>
        <w:pStyle w:val="ListParagraph"/>
        <w:numPr>
          <w:ilvl w:val="0"/>
          <w:numId w:val="44"/>
        </w:numPr>
        <w:spacing w:before="40" w:after="60"/>
        <w:rPr/>
      </w:pPr>
      <w:r>
        <w:rPr>
          <w:rFonts w:eastAsia="Arial" w:cs="Arial"/>
          <w:b w:val="false"/>
          <w:bCs w:val="false"/>
          <w:color w:val="2C2C2C"/>
          <w:sz w:val="21"/>
          <w:szCs w:val="21"/>
        </w:rPr>
        <w:t>UBOS (Uganda Bureau of Statistics): national agricultural statistics</w:t>
      </w:r>
    </w:p>
    <w:p>
      <w:pPr>
        <w:pStyle w:val="ListParagraph"/>
        <w:numPr>
          <w:ilvl w:val="0"/>
          <w:numId w:val="45"/>
        </w:numPr>
        <w:spacing w:before="40" w:after="60"/>
        <w:rPr/>
      </w:pPr>
      <w:r>
        <w:rPr>
          <w:rFonts w:eastAsia="Arial" w:cs="Arial"/>
          <w:b w:val="false"/>
          <w:bCs w:val="false"/>
          <w:color w:val="2C2C2C"/>
          <w:sz w:val="21"/>
          <w:szCs w:val="21"/>
        </w:rPr>
        <w:t>FAO GIEWS: country-level price trend data</w:t>
      </w:r>
    </w:p>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Phase 2 — Live Data (Ground Agent Network)</w:t>
      </w:r>
    </w:p>
    <w:p>
      <w:pPr>
        <w:pStyle w:val="ListParagraph"/>
        <w:numPr>
          <w:ilvl w:val="0"/>
          <w:numId w:val="46"/>
        </w:numPr>
        <w:spacing w:before="40" w:after="60"/>
        <w:rPr/>
      </w:pPr>
      <w:r>
        <w:rPr>
          <w:rFonts w:eastAsia="Arial" w:cs="Arial"/>
          <w:b w:val="false"/>
          <w:bCs w:val="false"/>
          <w:color w:val="2C2C2C"/>
          <w:sz w:val="21"/>
          <w:szCs w:val="21"/>
        </w:rPr>
        <w:t>Recruit 5–10 market agents in key Ugandan markets (Nakasero, Owino, Kalerwe, Mbarara Main Market, Gulu)</w:t>
      </w:r>
    </w:p>
    <w:p>
      <w:pPr>
        <w:pStyle w:val="ListParagraph"/>
        <w:numPr>
          <w:ilvl w:val="0"/>
          <w:numId w:val="47"/>
        </w:numPr>
        <w:spacing w:before="40" w:after="60"/>
        <w:rPr/>
      </w:pPr>
      <w:r>
        <w:rPr>
          <w:rFonts w:eastAsia="Arial" w:cs="Arial"/>
          <w:b w:val="false"/>
          <w:bCs w:val="false"/>
          <w:color w:val="2C2C2C"/>
          <w:sz w:val="21"/>
          <w:szCs w:val="21"/>
        </w:rPr>
        <w:t>Agents submit prices via simple USSD form or WhatsApp bot — no smartphone required</w:t>
      </w:r>
    </w:p>
    <w:p>
      <w:pPr>
        <w:pStyle w:val="ListParagraph"/>
        <w:numPr>
          <w:ilvl w:val="0"/>
          <w:numId w:val="48"/>
        </w:numPr>
        <w:spacing w:before="40" w:after="60"/>
        <w:rPr/>
      </w:pPr>
      <w:r>
        <w:rPr>
          <w:rFonts w:eastAsia="Arial" w:cs="Arial"/>
          <w:b w:val="false"/>
          <w:bCs w:val="false"/>
          <w:color w:val="2C2C2C"/>
          <w:sz w:val="21"/>
          <w:szCs w:val="21"/>
        </w:rPr>
        <w:t>Each submission is timestamped, geotagged, and validated against statistical bounds before acceptance</w:t>
      </w:r>
    </w:p>
    <w:p>
      <w:pPr>
        <w:pStyle w:val="ListParagraph"/>
        <w:numPr>
          <w:ilvl w:val="0"/>
          <w:numId w:val="49"/>
        </w:numPr>
        <w:spacing w:before="40" w:after="60"/>
        <w:rPr/>
      </w:pPr>
      <w:r>
        <w:rPr>
          <w:rFonts w:eastAsia="Arial" w:cs="Arial"/>
          <w:b w:val="false"/>
          <w:bCs w:val="false"/>
          <w:color w:val="2C2C2C"/>
          <w:sz w:val="21"/>
          <w:szCs w:val="21"/>
        </w:rPr>
        <w:t>Quality incentives: agents paid per verified submission (mobile money via MTN/Airtel)</w:t>
      </w:r>
    </w:p>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Phase 3 — Automated Data (API &amp; Scraping)</w:t>
      </w:r>
    </w:p>
    <w:p>
      <w:pPr>
        <w:pStyle w:val="ListParagraph"/>
        <w:numPr>
          <w:ilvl w:val="0"/>
          <w:numId w:val="50"/>
        </w:numPr>
        <w:spacing w:before="40" w:after="60"/>
        <w:rPr/>
      </w:pPr>
      <w:r>
        <w:rPr>
          <w:rFonts w:eastAsia="Arial" w:cs="Arial"/>
          <w:b w:val="false"/>
          <w:bCs w:val="false"/>
          <w:color w:val="2C2C2C"/>
          <w:sz w:val="21"/>
          <w:szCs w:val="21"/>
        </w:rPr>
        <w:t>Open-Meteo API for weather data (free, no key required)</w:t>
      </w:r>
    </w:p>
    <w:p>
      <w:pPr>
        <w:pStyle w:val="ListParagraph"/>
        <w:numPr>
          <w:ilvl w:val="0"/>
          <w:numId w:val="51"/>
        </w:numPr>
        <w:spacing w:before="40" w:after="60"/>
        <w:rPr/>
      </w:pPr>
      <w:r>
        <w:rPr>
          <w:rFonts w:eastAsia="Arial" w:cs="Arial"/>
          <w:b w:val="false"/>
          <w:bCs w:val="false"/>
          <w:color w:val="2C2C2C"/>
          <w:sz w:val="21"/>
          <w:szCs w:val="21"/>
        </w:rPr>
        <w:t>Celery scheduled tasks for periodic price aggregation and model retraining</w:t>
      </w:r>
    </w:p>
    <w:p>
      <w:pPr>
        <w:pStyle w:val="ListParagraph"/>
        <w:numPr>
          <w:ilvl w:val="0"/>
          <w:numId w:val="52"/>
        </w:numPr>
        <w:spacing w:before="40" w:after="60"/>
        <w:rPr/>
      </w:pPr>
      <w:r>
        <w:rPr>
          <w:rFonts w:eastAsia="Arial" w:cs="Arial"/>
          <w:b w:val="false"/>
          <w:bCs w:val="false"/>
          <w:color w:val="2C2C2C"/>
          <w:sz w:val="21"/>
          <w:szCs w:val="21"/>
        </w:rPr>
        <w:t>Potential integration with MAAIF (Ministry of Agriculture) data feeds if partnership secured</w:t>
      </w:r>
    </w:p>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Critical Data Rule</w:t>
            </w:r>
          </w:p>
        </w:tc>
      </w:tr>
      <w:tr>
        <w:trPr/>
        <w:tc>
          <w:tcPr>
            <w:tcW w:w="9360" w:type="dxa"/>
            <w:tcBorders/>
            <w:shd w:fill="C8E6C9"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Every price entry in AgriGuard must have: commodity name (standardized), market name (standardized), price (UGX), unit (kg/bag/bunch), date, and source. No exceptions. Data quality is the bedrock of every feature above it.</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7. MONETIZATION &amp; SUSTAINABILITY STRATEGY</w:t>
            </w:r>
          </w:p>
        </w:tc>
      </w:tr>
    </w:tbl>
    <w:p>
      <w:pPr>
        <w:pStyle w:val="Normal"/>
        <w:spacing w:lineRule="auto" w:line="276" w:before="0" w:after="120"/>
        <w:jc w:val="left"/>
        <w:rPr/>
      </w:pPr>
      <w:r>
        <w:rPr/>
      </w:r>
    </w:p>
    <w:p>
      <w:pPr>
        <w:pStyle w:val="Normal"/>
        <w:spacing w:lineRule="auto" w:line="276" w:before="0" w:after="200"/>
        <w:jc w:val="left"/>
        <w:rPr/>
      </w:pPr>
      <w:r>
        <w:rPr>
          <w:rFonts w:eastAsia="Arial" w:cs="Arial"/>
          <w:b w:val="false"/>
          <w:bCs w:val="false"/>
          <w:i w:val="false"/>
          <w:iCs w:val="false"/>
          <w:color w:val="555555"/>
          <w:sz w:val="22"/>
          <w:szCs w:val="22"/>
        </w:rPr>
        <w:t>Kudu (Uganda's previous platform) failed primarily because it could not monetize. AgriGuard must have a clear, diversified revenue model from the beginning.</w:t>
      </w:r>
    </w:p>
    <w:tbl>
      <w:tblPr>
        <w:tblW w:w="9360" w:type="dxa"/>
        <w:jc w:val="left"/>
        <w:tblInd w:w="0" w:type="dxa"/>
        <w:tblLayout w:type="fixed"/>
        <w:tblCellMar>
          <w:top w:w="100" w:type="dxa"/>
          <w:left w:w="150" w:type="dxa"/>
          <w:bottom w:w="100" w:type="dxa"/>
          <w:right w:w="150" w:type="dxa"/>
        </w:tblCellMar>
      </w:tblPr>
      <w:tblGrid>
        <w:gridCol w:w="2199"/>
        <w:gridCol w:w="2201"/>
        <w:gridCol w:w="2479"/>
        <w:gridCol w:w="2480"/>
      </w:tblGrid>
      <w:tr>
        <w:trPr/>
        <w:tc>
          <w:tcPr>
            <w:tcW w:w="2199"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Revenue Stream</w:t>
            </w:r>
          </w:p>
        </w:tc>
        <w:tc>
          <w:tcPr>
            <w:tcW w:w="2201"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Target Customer</w:t>
            </w:r>
          </w:p>
        </w:tc>
        <w:tc>
          <w:tcPr>
            <w:tcW w:w="2479"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Model</w:t>
            </w:r>
          </w:p>
        </w:tc>
        <w:tc>
          <w:tcPr>
            <w:tcW w:w="248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Realistic MVP Revenue</w:t>
            </w:r>
          </w:p>
        </w:tc>
      </w:tr>
      <w:tr>
        <w:trPr/>
        <w:tc>
          <w:tcPr>
            <w:tcW w:w="21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API Data Access</w:t>
            </w:r>
          </w:p>
        </w:tc>
        <w:tc>
          <w:tcPr>
            <w:tcW w:w="2201"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NGOs, researchers, fintechs</w:t>
            </w:r>
          </w:p>
        </w:tc>
        <w:tc>
          <w:tcPr>
            <w:tcW w:w="24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Monthly subscription tiers</w:t>
            </w:r>
          </w:p>
        </w:tc>
        <w:tc>
          <w:tcPr>
            <w:tcW w:w="24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UGX 200K–1M/month per org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C2C2C"/>
                <w:sz w:val="19"/>
                <w:szCs w:val="19"/>
              </w:rPr>
              <w:t>SMS Alert Subscriptions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19"/>
                <w:szCs w:val="19"/>
              </w:rPr>
              <w:t>Farmers, traders</w:t>
            </w:r>
          </w:p>
        </w:tc>
        <w:tc>
          <w:tcPr>
            <w:tcW w:w="24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19"/>
                <w:szCs w:val="19"/>
              </w:rPr>
              <w:t>UGX 2,000–5,000/month per user</w:t>
            </w:r>
          </w:p>
        </w:tc>
        <w:tc>
          <w:tcPr>
            <w:tcW w:w="24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19"/>
                <w:szCs w:val="19"/>
              </w:rPr>
              <w:t>UGX 100K–500K with 50 users</w:t>
            </w:r>
          </w:p>
        </w:tc>
      </w:tr>
      <w:tr>
        <w:trPr/>
        <w:tc>
          <w:tcPr>
            <w:tcW w:w="21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Premium Forecasts</w:t>
            </w:r>
          </w:p>
        </w:tc>
        <w:tc>
          <w:tcPr>
            <w:tcW w:w="2201"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Agri-traders, cooperatives</w:t>
            </w:r>
          </w:p>
        </w:tc>
        <w:tc>
          <w:tcPr>
            <w:tcW w:w="24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Pay-per-forecast or monthly plan</w:t>
            </w:r>
          </w:p>
        </w:tc>
        <w:tc>
          <w:tcPr>
            <w:tcW w:w="24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UGX 500K–2M/month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C2C2C"/>
                <w:sz w:val="19"/>
                <w:szCs w:val="19"/>
              </w:rPr>
              <w:t>Government / NGO Contracts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19"/>
                <w:szCs w:val="19"/>
              </w:rPr>
              <w:t xml:space="preserve">MAAIF, FAO, </w:t>
            </w:r>
            <w:r>
              <w:rPr>
                <w:rFonts w:eastAsia="Arial" w:cs="Arial"/>
                <w:b w:val="false"/>
                <w:bCs w:val="false"/>
                <w:i w:val="false"/>
                <w:iCs w:val="false"/>
                <w:color w:val="2C2C2C"/>
                <w:sz w:val="19"/>
                <w:szCs w:val="19"/>
              </w:rPr>
              <w:t>e</w:t>
            </w:r>
            <w:r>
              <w:rPr>
                <w:rFonts w:eastAsia="Arial" w:cs="Arial"/>
                <w:b w:val="false"/>
                <w:bCs w:val="false"/>
                <w:i w:val="false"/>
                <w:iCs w:val="false"/>
                <w:color w:val="2C2C2C"/>
                <w:sz w:val="19"/>
                <w:szCs w:val="19"/>
              </w:rPr>
              <w:t xml:space="preserve">t </w:t>
            </w:r>
            <w:r>
              <w:rPr>
                <w:rFonts w:eastAsia="Arial" w:cs="Arial"/>
                <w:b w:val="false"/>
                <w:bCs w:val="false"/>
                <w:i w:val="false"/>
                <w:iCs w:val="false"/>
                <w:color w:val="2C2C2C"/>
                <w:sz w:val="19"/>
                <w:szCs w:val="19"/>
              </w:rPr>
              <w:t>a</w:t>
            </w:r>
            <w:r>
              <w:rPr>
                <w:rFonts w:eastAsia="Arial" w:cs="Arial"/>
                <w:b w:val="false"/>
                <w:bCs w:val="false"/>
                <w:i w:val="false"/>
                <w:iCs w:val="false"/>
                <w:color w:val="2C2C2C"/>
                <w:sz w:val="19"/>
                <w:szCs w:val="19"/>
              </w:rPr>
              <w:t>l</w:t>
            </w:r>
          </w:p>
        </w:tc>
        <w:tc>
          <w:tcPr>
            <w:tcW w:w="247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2C2C2C"/>
                <w:sz w:val="19"/>
                <w:szCs w:val="19"/>
              </w:rPr>
              <w:t>Data provision contracts</w:t>
            </w:r>
          </w:p>
        </w:tc>
        <w:tc>
          <w:tcPr>
            <w:tcW w:w="248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E7D32"/>
                <w:sz w:val="19"/>
                <w:szCs w:val="19"/>
              </w:rPr>
              <w:t>UGX 5M–50M per contract</w:t>
            </w:r>
          </w:p>
        </w:tc>
      </w:tr>
      <w:tr>
        <w:trPr/>
        <w:tc>
          <w:tcPr>
            <w:tcW w:w="21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Agri-input Dealer Listings</w:t>
            </w:r>
          </w:p>
        </w:tc>
        <w:tc>
          <w:tcPr>
            <w:tcW w:w="2201"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Certified input dealers</w:t>
            </w:r>
          </w:p>
        </w:tc>
        <w:tc>
          <w:tcPr>
            <w:tcW w:w="247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2C2C2C"/>
                <w:sz w:val="19"/>
                <w:szCs w:val="19"/>
              </w:rPr>
              <w:t>Monthly verified listing fee</w:t>
            </w:r>
          </w:p>
        </w:tc>
        <w:tc>
          <w:tcPr>
            <w:tcW w:w="248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UGX 100K–300K/dealer/month</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8. RISK REGISTER &amp; MITIGATION PLAN</w:t>
            </w:r>
          </w:p>
        </w:tc>
      </w:tr>
    </w:tbl>
    <w:p>
      <w:pPr>
        <w:pStyle w:val="Normal"/>
        <w:spacing w:lineRule="auto" w:line="276" w:before="0" w:after="120"/>
        <w:jc w:val="left"/>
        <w:rPr/>
      </w:pPr>
      <w:r>
        <w:rPr/>
      </w:r>
    </w:p>
    <w:tbl>
      <w:tblPr>
        <w:tblW w:w="9360" w:type="dxa"/>
        <w:jc w:val="left"/>
        <w:tblInd w:w="0" w:type="dxa"/>
        <w:tblLayout w:type="fixed"/>
        <w:tblCellMar>
          <w:top w:w="100" w:type="dxa"/>
          <w:left w:w="150" w:type="dxa"/>
          <w:bottom w:w="100" w:type="dxa"/>
          <w:right w:w="150" w:type="dxa"/>
        </w:tblCellMar>
      </w:tblPr>
      <w:tblGrid>
        <w:gridCol w:w="2600"/>
        <w:gridCol w:w="1400"/>
        <w:gridCol w:w="5360"/>
      </w:tblGrid>
      <w:tr>
        <w:trPr/>
        <w:tc>
          <w:tcPr>
            <w:tcW w:w="260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Risk</w:t>
            </w:r>
          </w:p>
        </w:tc>
        <w:tc>
          <w:tcPr>
            <w:tcW w:w="140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Level</w:t>
            </w:r>
          </w:p>
        </w:tc>
        <w:tc>
          <w:tcPr>
            <w:tcW w:w="536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Mitigation Strategy</w:t>
            </w:r>
          </w:p>
        </w:tc>
      </w:tr>
      <w:tr>
        <w:trPr/>
        <w:tc>
          <w:tcPr>
            <w:tcW w:w="26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Insufficient ground data quality</w:t>
            </w:r>
          </w:p>
        </w:tc>
        <w:tc>
          <w:tcPr>
            <w:tcW w:w="14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center"/>
              <w:rPr/>
            </w:pPr>
            <w:r>
              <w:rPr>
                <w:rFonts w:eastAsia="Arial" w:cs="Arial"/>
                <w:b w:val="false"/>
                <w:bCs w:val="false"/>
                <w:i w:val="false"/>
                <w:iCs w:val="false"/>
                <w:color w:val="2C2C2C"/>
                <w:sz w:val="19"/>
                <w:szCs w:val="19"/>
              </w:rPr>
              <w:t>HIGH: HIGH</w:t>
            </w:r>
          </w:p>
        </w:tc>
        <w:tc>
          <w:tcPr>
            <w:tcW w:w="53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Implement statistical validation gates on all agent submissions. Cross-verify with WFP/FAO data. Pay agents per verified (not raw) submission.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C2C2C"/>
                <w:sz w:val="19"/>
                <w:szCs w:val="19"/>
              </w:rPr>
              <w:t>Low farmer digital adoption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center"/>
              <w:rPr/>
            </w:pPr>
            <w:r>
              <w:rPr>
                <w:rFonts w:eastAsia="Arial" w:cs="Arial"/>
                <w:b w:val="false"/>
                <w:bCs w:val="false"/>
                <w:i w:val="false"/>
                <w:iCs w:val="false"/>
                <w:color w:val="2C2C2C"/>
                <w:sz w:val="19"/>
                <w:szCs w:val="19"/>
              </w:rPr>
              <w:t>HIGH: HIGH</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Lead with USSD (*384#) — requires only a basic phone. Conduct in-person demos at Mbarara markets. Partner with farmer cooperatives for trust.</w:t>
            </w:r>
          </w:p>
        </w:tc>
      </w:tr>
      <w:tr>
        <w:trPr/>
        <w:tc>
          <w:tcPr>
            <w:tcW w:w="26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ML model poor accuracy (sparse data)</w:t>
            </w:r>
          </w:p>
        </w:tc>
        <w:tc>
          <w:tcPr>
            <w:tcW w:w="14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center"/>
              <w:rPr/>
            </w:pPr>
            <w:r>
              <w:rPr>
                <w:rFonts w:eastAsia="Arial" w:cs="Arial"/>
                <w:b w:val="false"/>
                <w:bCs w:val="false"/>
                <w:i w:val="false"/>
                <w:iCs w:val="false"/>
                <w:color w:val="2C2C2C"/>
                <w:sz w:val="19"/>
                <w:szCs w:val="19"/>
              </w:rPr>
              <w:t>MED: MEDIUM</w:t>
            </w:r>
          </w:p>
        </w:tc>
        <w:tc>
          <w:tcPr>
            <w:tcW w:w="53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Start with simpler models (linear regression, moving averages). Add XGBoost only when data volume justifies it. Communicate confidence intervals.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C2C2C"/>
                <w:sz w:val="19"/>
                <w:szCs w:val="19"/>
              </w:rPr>
              <w:t>Competitor entry (e.g. Esoko Uganda expansion)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center"/>
              <w:rPr/>
            </w:pPr>
            <w:r>
              <w:rPr>
                <w:rFonts w:eastAsia="Arial" w:cs="Arial"/>
                <w:b w:val="false"/>
                <w:bCs w:val="false"/>
                <w:i w:val="false"/>
                <w:iCs w:val="false"/>
                <w:color w:val="2C2C2C"/>
                <w:sz w:val="19"/>
                <w:szCs w:val="19"/>
              </w:rPr>
              <w:t>MED: MEDIUM</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Move fast on Uganda-specific features. Lock in government and NGO partnerships early. Localization is the moat.</w:t>
            </w:r>
          </w:p>
        </w:tc>
      </w:tr>
      <w:tr>
        <w:trPr/>
        <w:tc>
          <w:tcPr>
            <w:tcW w:w="26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Monetization failure (Kudu precedent)</w:t>
            </w:r>
          </w:p>
        </w:tc>
        <w:tc>
          <w:tcPr>
            <w:tcW w:w="14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center"/>
              <w:rPr/>
            </w:pPr>
            <w:r>
              <w:rPr>
                <w:rFonts w:eastAsia="Arial" w:cs="Arial"/>
                <w:b w:val="false"/>
                <w:bCs w:val="false"/>
                <w:i w:val="false"/>
                <w:iCs w:val="false"/>
                <w:color w:val="2C2C2C"/>
                <w:sz w:val="19"/>
                <w:szCs w:val="19"/>
              </w:rPr>
              <w:t>MED: MEDIUM</w:t>
            </w:r>
          </w:p>
        </w:tc>
        <w:tc>
          <w:tcPr>
            <w:tcW w:w="53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Target B2B revenue (NGOs, government) before B2C. Secure one paying partner before full launch.</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bCs/>
                <w:i w:val="false"/>
                <w:iCs w:val="false"/>
                <w:color w:val="2C2C2C"/>
                <w:sz w:val="19"/>
                <w:szCs w:val="19"/>
              </w:rPr>
              <w:t>Hosting costs exceed budget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center"/>
              <w:rPr/>
            </w:pPr>
            <w:r>
              <w:rPr>
                <w:rFonts w:eastAsia="Arial" w:cs="Arial"/>
                <w:b w:val="false"/>
                <w:bCs w:val="false"/>
                <w:i w:val="false"/>
                <w:iCs w:val="false"/>
                <w:color w:val="2C2C2C"/>
                <w:sz w:val="19"/>
                <w:szCs w:val="19"/>
              </w:rPr>
              <w:t>LOW: LOW</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Use Railway.app free tier for MVP. Apply for AWS Activate (free credits for startups). GitHub Student Pack provides free cloud resources.</w:t>
            </w:r>
          </w:p>
        </w:tc>
      </w:tr>
      <w:tr>
        <w:trPr/>
        <w:tc>
          <w:tcPr>
            <w:tcW w:w="26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C2C2C"/>
                <w:sz w:val="19"/>
                <w:szCs w:val="19"/>
              </w:rPr>
              <w:t>Data privacy violations</w:t>
            </w:r>
          </w:p>
        </w:tc>
        <w:tc>
          <w:tcPr>
            <w:tcW w:w="140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center"/>
              <w:rPr/>
            </w:pPr>
            <w:r>
              <w:rPr>
                <w:rFonts w:eastAsia="Arial" w:cs="Arial"/>
                <w:b w:val="false"/>
                <w:bCs w:val="false"/>
                <w:i w:val="false"/>
                <w:iCs w:val="false"/>
                <w:color w:val="2C2C2C"/>
                <w:sz w:val="19"/>
                <w:szCs w:val="19"/>
              </w:rPr>
              <w:t>LOW: LOW</w:t>
            </w:r>
          </w:p>
        </w:tc>
        <w:tc>
          <w:tcPr>
            <w:tcW w:w="53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Anonymize all farmer data. No PII stored in price records. Follow Uganda's Data Protection Act 2019 guidelines.</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9. FUNDING &amp; PARTNERSHIP OPPORTUNITIES</w:t>
            </w:r>
          </w:p>
        </w:tc>
      </w:tr>
    </w:tbl>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9.1 Grants &amp; Competitions to Target</w:t>
      </w:r>
    </w:p>
    <w:p>
      <w:pPr>
        <w:pStyle w:val="ListParagraph"/>
        <w:numPr>
          <w:ilvl w:val="0"/>
          <w:numId w:val="53"/>
        </w:numPr>
        <w:spacing w:before="40" w:after="60"/>
        <w:rPr/>
      </w:pPr>
      <w:r>
        <w:rPr>
          <w:rFonts w:eastAsia="Arial" w:cs="Arial"/>
          <w:b w:val="false"/>
          <w:bCs w:val="false"/>
          <w:color w:val="2C2C2C"/>
          <w:sz w:val="21"/>
          <w:szCs w:val="21"/>
        </w:rPr>
        <w:t>Tony Elumelu Foundation Entrepreneurship Programme — $5,000 seed + mentorship</w:t>
      </w:r>
    </w:p>
    <w:p>
      <w:pPr>
        <w:pStyle w:val="ListParagraph"/>
        <w:numPr>
          <w:ilvl w:val="0"/>
          <w:numId w:val="54"/>
        </w:numPr>
        <w:spacing w:before="40" w:after="60"/>
        <w:rPr/>
      </w:pPr>
      <w:r>
        <w:rPr>
          <w:rFonts w:eastAsia="Arial" w:cs="Arial"/>
          <w:b w:val="false"/>
          <w:bCs w:val="false"/>
          <w:color w:val="2C2C2C"/>
          <w:sz w:val="21"/>
          <w:szCs w:val="21"/>
        </w:rPr>
        <w:t>Hult Prize — global student impact competition (AgriGuard fits SDG 2 perfectly)</w:t>
      </w:r>
    </w:p>
    <w:p>
      <w:pPr>
        <w:pStyle w:val="ListParagraph"/>
        <w:numPr>
          <w:ilvl w:val="0"/>
          <w:numId w:val="55"/>
        </w:numPr>
        <w:spacing w:before="40" w:after="60"/>
        <w:rPr/>
      </w:pPr>
      <w:r>
        <w:rPr>
          <w:rFonts w:eastAsia="Arial" w:cs="Arial"/>
          <w:b w:val="false"/>
          <w:bCs w:val="false"/>
          <w:color w:val="2C2C2C"/>
          <w:sz w:val="21"/>
          <w:szCs w:val="21"/>
        </w:rPr>
        <w:t>Google.org Impact Challenge Africa — AI for social good</w:t>
      </w:r>
    </w:p>
    <w:p>
      <w:pPr>
        <w:pStyle w:val="ListParagraph"/>
        <w:numPr>
          <w:ilvl w:val="0"/>
          <w:numId w:val="56"/>
        </w:numPr>
        <w:spacing w:before="40" w:after="60"/>
        <w:rPr/>
      </w:pPr>
      <w:r>
        <w:rPr>
          <w:rFonts w:eastAsia="Arial" w:cs="Arial"/>
          <w:b w:val="false"/>
          <w:bCs w:val="false"/>
          <w:color w:val="2C2C2C"/>
          <w:sz w:val="21"/>
          <w:szCs w:val="21"/>
        </w:rPr>
        <w:t>Makerere University / MUST Innovation Grants — in-country academic funding</w:t>
      </w:r>
    </w:p>
    <w:p>
      <w:pPr>
        <w:pStyle w:val="ListParagraph"/>
        <w:numPr>
          <w:ilvl w:val="0"/>
          <w:numId w:val="57"/>
        </w:numPr>
        <w:spacing w:before="40" w:after="60"/>
        <w:rPr/>
      </w:pPr>
      <w:r>
        <w:rPr>
          <w:rFonts w:eastAsia="Arial" w:cs="Arial"/>
          <w:b w:val="false"/>
          <w:bCs w:val="false"/>
          <w:color w:val="2C2C2C"/>
          <w:sz w:val="21"/>
          <w:szCs w:val="21"/>
        </w:rPr>
        <w:t>GSMA Innovation Fund — explicitly funds mobile agritech in Sub-Saharan Africa</w:t>
      </w:r>
    </w:p>
    <w:p>
      <w:pPr>
        <w:pStyle w:val="ListParagraph"/>
        <w:numPr>
          <w:ilvl w:val="0"/>
          <w:numId w:val="58"/>
        </w:numPr>
        <w:spacing w:before="40" w:after="60"/>
        <w:rPr/>
      </w:pPr>
      <w:r>
        <w:rPr>
          <w:rFonts w:eastAsia="Arial" w:cs="Arial"/>
          <w:b w:val="false"/>
          <w:bCs w:val="false"/>
          <w:color w:val="2C2C2C"/>
          <w:sz w:val="21"/>
          <w:szCs w:val="21"/>
        </w:rPr>
        <w:t>Africa's Talking Hack — annual hackathon with cash prizes and AWS credits</w:t>
      </w:r>
    </w:p>
    <w:p>
      <w:pPr>
        <w:pStyle w:val="Normal"/>
        <w:spacing w:lineRule="auto" w:line="276" w:before="0" w:after="120"/>
        <w:jc w:val="left"/>
        <w:rPr/>
      </w:pPr>
      <w:r>
        <w:rPr/>
      </w:r>
    </w:p>
    <w:p>
      <w:pPr>
        <w:pStyle w:val="Heading2"/>
        <w:spacing w:before="280" w:after="160"/>
        <w:rPr/>
      </w:pPr>
      <w:r>
        <w:rPr>
          <w:rFonts w:eastAsia="Arial" w:cs="Arial"/>
          <w:b/>
          <w:bCs/>
          <w:color w:val="2E7D32"/>
          <w:sz w:val="26"/>
          <w:szCs w:val="26"/>
        </w:rPr>
        <w:t>9.2 Strategic Partnerships to Pursue</w:t>
      </w:r>
    </w:p>
    <w:p>
      <w:pPr>
        <w:pStyle w:val="ListParagraph"/>
        <w:numPr>
          <w:ilvl w:val="0"/>
          <w:numId w:val="59"/>
        </w:numPr>
        <w:spacing w:before="40" w:after="60"/>
        <w:rPr/>
      </w:pPr>
      <w:r>
        <w:rPr>
          <w:rFonts w:eastAsia="Arial" w:cs="Arial"/>
          <w:b w:val="false"/>
          <w:bCs w:val="false"/>
          <w:color w:val="2C2C2C"/>
          <w:sz w:val="21"/>
          <w:szCs w:val="21"/>
        </w:rPr>
        <w:t>MAAIF (Ministry of Agriculture) — data sharing MOU + government legitimacy</w:t>
      </w:r>
    </w:p>
    <w:p>
      <w:pPr>
        <w:pStyle w:val="ListParagraph"/>
        <w:numPr>
          <w:ilvl w:val="0"/>
          <w:numId w:val="60"/>
        </w:numPr>
        <w:spacing w:before="40" w:after="60"/>
        <w:rPr/>
      </w:pPr>
      <w:r>
        <w:rPr>
          <w:rFonts w:eastAsia="Arial" w:cs="Arial"/>
          <w:b w:val="false"/>
          <w:bCs w:val="false"/>
          <w:color w:val="2C2C2C"/>
          <w:sz w:val="21"/>
          <w:szCs w:val="21"/>
        </w:rPr>
        <w:t>MTN Uganda / Airtel Uganda — USSD shortcode and co-marketing for farmers</w:t>
      </w:r>
    </w:p>
    <w:p>
      <w:pPr>
        <w:pStyle w:val="ListParagraph"/>
        <w:numPr>
          <w:ilvl w:val="0"/>
          <w:numId w:val="61"/>
        </w:numPr>
        <w:spacing w:before="40" w:after="60"/>
        <w:rPr/>
      </w:pPr>
      <w:r>
        <w:rPr>
          <w:rFonts w:eastAsia="Arial" w:cs="Arial"/>
          <w:b w:val="false"/>
          <w:bCs w:val="false"/>
          <w:color w:val="2C2C2C"/>
          <w:sz w:val="21"/>
          <w:szCs w:val="21"/>
        </w:rPr>
        <w:t xml:space="preserve">Mbarara University of Science &amp; Technology Faculty of Computing and Informatics + </w:t>
      </w:r>
      <w:r>
        <w:rPr>
          <w:rFonts w:eastAsia="Arial" w:cs="Arial"/>
          <w:b w:val="false"/>
          <w:bCs w:val="false"/>
          <w:color w:val="2C2C2C"/>
          <w:sz w:val="21"/>
          <w:szCs w:val="21"/>
        </w:rPr>
        <w:t>Makerere University College of Computing — research collaboration + data sharing</w:t>
      </w:r>
    </w:p>
    <w:p>
      <w:pPr>
        <w:pStyle w:val="ListParagraph"/>
        <w:numPr>
          <w:ilvl w:val="0"/>
          <w:numId w:val="62"/>
        </w:numPr>
        <w:spacing w:before="40" w:after="60"/>
        <w:rPr/>
      </w:pPr>
      <w:r>
        <w:rPr>
          <w:rFonts w:eastAsia="Arial" w:cs="Arial"/>
          <w:b w:val="false"/>
          <w:bCs w:val="false"/>
          <w:color w:val="2C2C2C"/>
          <w:sz w:val="21"/>
          <w:szCs w:val="21"/>
        </w:rPr>
        <w:t>WFP Uganda Country Office — integrate AgriGuard into their price monitoring</w:t>
      </w:r>
    </w:p>
    <w:p>
      <w:pPr>
        <w:pStyle w:val="ListParagraph"/>
        <w:numPr>
          <w:ilvl w:val="0"/>
          <w:numId w:val="63"/>
        </w:numPr>
        <w:spacing w:before="40" w:after="60"/>
        <w:rPr/>
      </w:pPr>
      <w:r>
        <w:rPr>
          <w:rFonts w:eastAsia="Arial" w:cs="Arial"/>
          <w:b w:val="false"/>
          <w:bCs w:val="false"/>
          <w:color w:val="2C2C2C"/>
          <w:sz w:val="21"/>
          <w:szCs w:val="21"/>
        </w:rPr>
        <w:t>NARO (National Agricultural Research Organisation) — agronomic tips content</w:t>
      </w:r>
    </w:p>
    <w:p>
      <w:pPr>
        <w:pStyle w:val="ListParagraph"/>
        <w:numPr>
          <w:ilvl w:val="0"/>
          <w:numId w:val="64"/>
        </w:numPr>
        <w:spacing w:before="40" w:after="60"/>
        <w:rPr/>
      </w:pPr>
      <w:r>
        <w:rPr>
          <w:rFonts w:eastAsia="Arial" w:cs="Arial"/>
          <w:b w:val="false"/>
          <w:bCs w:val="false"/>
          <w:color w:val="2C2C2C"/>
          <w:sz w:val="21"/>
          <w:szCs w:val="21"/>
        </w:rPr>
        <w:t>VODANET / Uganda Cooperative Alliance — farmer network distribution channel</w:t>
      </w:r>
    </w:p>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10. 12-MONTH STRATEGIC ROADMAP</w:t>
            </w:r>
          </w:p>
        </w:tc>
      </w:tr>
    </w:tbl>
    <w:p>
      <w:pPr>
        <w:pStyle w:val="Normal"/>
        <w:spacing w:lineRule="auto" w:line="276" w:before="0" w:after="120"/>
        <w:jc w:val="left"/>
        <w:rPr/>
      </w:pPr>
      <w:r>
        <w:rPr/>
      </w:r>
    </w:p>
    <w:tbl>
      <w:tblPr>
        <w:tblW w:w="9360" w:type="dxa"/>
        <w:jc w:val="left"/>
        <w:tblInd w:w="0" w:type="dxa"/>
        <w:tblLayout w:type="fixed"/>
        <w:tblCellMar>
          <w:top w:w="100" w:type="dxa"/>
          <w:left w:w="150" w:type="dxa"/>
          <w:bottom w:w="100" w:type="dxa"/>
          <w:right w:w="150" w:type="dxa"/>
        </w:tblCellMar>
      </w:tblPr>
      <w:tblGrid>
        <w:gridCol w:w="1560"/>
        <w:gridCol w:w="7799"/>
      </w:tblGrid>
      <w:tr>
        <w:trPr/>
        <w:tc>
          <w:tcPr>
            <w:tcW w:w="1560"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Period</w:t>
            </w:r>
          </w:p>
        </w:tc>
        <w:tc>
          <w:tcPr>
            <w:tcW w:w="7799" w:type="dxa"/>
            <w:tcBorders>
              <w:top w:val="single" w:sz="2" w:space="0" w:color="CCCCCC"/>
              <w:left w:val="single" w:sz="2" w:space="0" w:color="CCCCCC"/>
              <w:bottom w:val="single" w:sz="2" w:space="0" w:color="CCCCCC"/>
              <w:right w:val="single" w:sz="2" w:space="0" w:color="CCCCCC"/>
            </w:tcBorders>
            <w:shd w:fill="1A5E2A" w:val="clear"/>
          </w:tcPr>
          <w:p>
            <w:pPr>
              <w:pStyle w:val="Normal"/>
              <w:spacing w:lineRule="auto" w:line="276" w:before="0" w:after="120"/>
              <w:jc w:val="left"/>
              <w:rPr/>
            </w:pPr>
            <w:r>
              <w:rPr>
                <w:rFonts w:eastAsia="Arial" w:cs="Arial"/>
                <w:b/>
                <w:bCs/>
                <w:i w:val="false"/>
                <w:iCs w:val="false"/>
                <w:color w:val="FFFFFF"/>
                <w:sz w:val="22"/>
                <w:szCs w:val="22"/>
              </w:rPr>
              <w:t>Key Milestones</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1–2</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Database setup, historical data seeding, FastAPI backend, core /prices endpoint live</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3–4</w:t>
            </w:r>
          </w:p>
        </w:tc>
        <w:tc>
          <w:tcPr>
            <w:tcW w:w="77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Web dashboard (React), 15 markets tracked, 10 commodities, pilot API deployed publicly</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5–6</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ML forecasting integrated, anomaly detection live, Africa's Talking USSD *384# active</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7–8</w:t>
            </w:r>
          </w:p>
        </w:tc>
        <w:tc>
          <w:tcPr>
            <w:tcW w:w="77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Flutter mobile app (Android) launched, weather integration, agronomic tips library</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9–10</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lineRule="auto" w:line="276" w:before="0" w:after="120"/>
              <w:jc w:val="left"/>
              <w:rPr/>
            </w:pPr>
            <w:r>
              <w:rPr>
                <w:rFonts w:eastAsia="Arial" w:cs="Arial"/>
                <w:b w:val="false"/>
                <w:bCs w:val="false"/>
                <w:i w:val="false"/>
                <w:iCs w:val="false"/>
                <w:color w:val="555555"/>
                <w:sz w:val="19"/>
                <w:szCs w:val="19"/>
              </w:rPr>
              <w:t>Formal pilot: 50+ farmers onboarded, 5+ ground agents, first NGO data contract</w:t>
            </w:r>
          </w:p>
        </w:tc>
      </w:tr>
      <w:tr>
        <w:trPr/>
        <w:tc>
          <w:tcPr>
            <w:tcW w:w="1560"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bCs/>
                <w:i w:val="false"/>
                <w:iCs w:val="false"/>
                <w:color w:val="2E7D32"/>
                <w:sz w:val="19"/>
                <w:szCs w:val="19"/>
              </w:rPr>
              <w:t>Month 11–12</w:t>
            </w:r>
          </w:p>
        </w:tc>
        <w:tc>
          <w:tcPr>
            <w:tcW w:w="7799" w:type="dxa"/>
            <w:tcBorders>
              <w:top w:val="single" w:sz="2" w:space="0" w:color="CCCCCC"/>
              <w:left w:val="single" w:sz="2" w:space="0" w:color="CCCCCC"/>
              <w:bottom w:val="single" w:sz="2" w:space="0" w:color="CCCCCC"/>
              <w:right w:val="single" w:sz="2" w:space="0" w:color="CCCCCC"/>
            </w:tcBorders>
            <w:shd w:fill="F1F8F1" w:val="clear"/>
          </w:tcPr>
          <w:p>
            <w:pPr>
              <w:pStyle w:val="Normal"/>
              <w:spacing w:lineRule="auto" w:line="276" w:before="0" w:after="120"/>
              <w:jc w:val="left"/>
              <w:rPr/>
            </w:pPr>
            <w:r>
              <w:rPr>
                <w:rFonts w:eastAsia="Arial" w:cs="Arial"/>
                <w:b w:val="false"/>
                <w:bCs w:val="false"/>
                <w:i w:val="false"/>
                <w:iCs w:val="false"/>
                <w:color w:val="555555"/>
                <w:sz w:val="19"/>
                <w:szCs w:val="19"/>
              </w:rPr>
              <w:t>Full Uganda coverage (all major markets), revenue model validated, Series A pitch ready</w:t>
            </w:r>
          </w:p>
        </w:tc>
      </w:tr>
    </w:tbl>
    <w:p>
      <w:pPr>
        <w:pStyle w:val="Normal"/>
        <w:spacing w:lineRule="auto" w:line="276" w:before="0" w:after="120"/>
        <w:jc w:val="left"/>
        <w:rPr/>
      </w:pPr>
      <w:r>
        <w:rPr/>
      </w:r>
    </w:p>
    <w:p>
      <w:pPr>
        <w:pStyle w:val="Normal"/>
        <w:rPr/>
      </w:pPr>
      <w:r>
        <w:rPr/>
      </w:r>
      <w:r>
        <w:br w:type="page"/>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5E2A" w:val="clear"/>
          </w:tcPr>
          <w:p>
            <w:pPr>
              <w:pStyle w:val="Normal"/>
              <w:pageBreakBefore/>
              <w:spacing w:before="0" w:after="0"/>
              <w:jc w:val="center"/>
              <w:rPr/>
            </w:pPr>
            <w:r>
              <w:rPr>
                <w:rFonts w:eastAsia="Arial" w:cs="Arial"/>
                <w:b/>
                <w:bCs/>
                <w:color w:val="FFFFFF"/>
                <w:sz w:val="28"/>
                <w:szCs w:val="28"/>
              </w:rPr>
              <w:t>11. CONCLUSION</w:t>
            </w:r>
          </w:p>
        </w:tc>
      </w:tr>
    </w:tbl>
    <w:p>
      <w:pPr>
        <w:pStyle w:val="Normal"/>
        <w:spacing w:lineRule="auto" w:line="276" w:before="0" w:after="120"/>
        <w:jc w:val="left"/>
        <w:rPr/>
      </w:pPr>
      <w:r>
        <w:rPr/>
      </w:r>
    </w:p>
    <w:p>
      <w:pPr>
        <w:pStyle w:val="Normal"/>
        <w:spacing w:lineRule="auto" w:line="300" w:before="0" w:after="180"/>
        <w:jc w:val="left"/>
        <w:rPr/>
      </w:pPr>
      <w:r>
        <w:rPr>
          <w:rFonts w:eastAsia="Arial" w:cs="Arial"/>
          <w:b w:val="false"/>
          <w:bCs w:val="false"/>
          <w:i w:val="false"/>
          <w:iCs w:val="false"/>
          <w:color w:val="555555"/>
          <w:sz w:val="22"/>
          <w:szCs w:val="22"/>
        </w:rPr>
        <w:t>AgriGuard is not just a student project — it is a response to a real, documented, and costly information crisis in Uganda's agricultural sector. The combination of real-time price intelligence, ML-driven forecasting, input market safety monitoring, weather integration, and SMS/USSD accessibility creates a platform that is genuinely without precedent in Uganda.</w:t>
      </w:r>
    </w:p>
    <w:p>
      <w:pPr>
        <w:pStyle w:val="Normal"/>
        <w:spacing w:lineRule="auto" w:line="300" w:before="0" w:after="180"/>
        <w:jc w:val="left"/>
        <w:rPr/>
      </w:pPr>
      <w:r>
        <w:rPr>
          <w:rFonts w:eastAsia="Arial" w:cs="Arial"/>
          <w:b w:val="false"/>
          <w:bCs w:val="false"/>
          <w:i w:val="false"/>
          <w:iCs w:val="false"/>
          <w:color w:val="555555"/>
          <w:sz w:val="22"/>
          <w:szCs w:val="22"/>
        </w:rPr>
        <w:t>The competitive analysis is clear: the closest Ugandan competitor (Farmgain Africa) provides weekly data with no ML, no forecasting, and no input safety features. The most technologically similar platform (Kudu) is dead. AgriGuard enters an open, high-need market with a strong technical foundation, a credible academic base, and a compelling social mission aligned with SDG 2 (Zero Hunger).</w:t>
      </w:r>
    </w:p>
    <w:p>
      <w:pPr>
        <w:pStyle w:val="Normal"/>
        <w:spacing w:lineRule="auto" w:line="300" w:before="0" w:after="180"/>
        <w:jc w:val="left"/>
        <w:rPr/>
      </w:pPr>
      <w:r>
        <w:rPr>
          <w:rFonts w:eastAsia="Arial" w:cs="Arial"/>
          <w:b w:val="false"/>
          <w:bCs w:val="false"/>
          <w:i w:val="false"/>
          <w:iCs w:val="false"/>
          <w:color w:val="555555"/>
          <w:sz w:val="22"/>
          <w:szCs w:val="22"/>
        </w:rPr>
        <w:t>The path forward is clear: build the MVP, validate with real farmers, secure one institutional partner, and use that evidence base to unlock grant funding and scale. Uganda's farmers deserve better data. AgriGuard is how they get it.</w:t>
      </w:r>
    </w:p>
    <w:p>
      <w:pPr>
        <w:pStyle w:val="Normal"/>
        <w:spacing w:lineRule="auto" w:line="276" w:before="0" w:after="120"/>
        <w:jc w:val="left"/>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C8E6C9" w:val="clear"/>
          </w:tcPr>
          <w:p>
            <w:pPr>
              <w:pStyle w:val="Normal"/>
              <w:rPr/>
            </w:pPr>
            <w:r>
              <w:rPr>
                <w:rFonts w:eastAsia="Arial" w:cs="Arial"/>
                <w:b/>
                <w:bCs/>
                <w:color w:val="1A5E2A"/>
                <w:sz w:val="22"/>
                <w:szCs w:val="22"/>
              </w:rPr>
              <w:t>Final Positioning Statement</w:t>
            </w:r>
          </w:p>
        </w:tc>
      </w:tr>
      <w:tr>
        <w:trPr/>
        <w:tc>
          <w:tcPr>
            <w:tcW w:w="9360" w:type="dxa"/>
            <w:tcBorders/>
            <w:shd w:fill="C8E6C9" w:val="clear"/>
            <w:tcMar>
              <w:top w:w="100" w:type="dxa"/>
              <w:bottom w:w="100" w:type="dxa"/>
            </w:tcMar>
          </w:tcPr>
          <w:p>
            <w:pPr>
              <w:pStyle w:val="Normal"/>
              <w:spacing w:lineRule="auto" w:line="276" w:before="0" w:after="120"/>
              <w:jc w:val="left"/>
              <w:rPr/>
            </w:pPr>
            <w:r>
              <w:rPr>
                <w:rFonts w:eastAsia="Arial" w:cs="Arial"/>
                <w:b w:val="false"/>
                <w:bCs w:val="false"/>
                <w:i w:val="false"/>
                <w:iCs w:val="false"/>
                <w:color w:val="555555"/>
                <w:sz w:val="22"/>
                <w:szCs w:val="22"/>
              </w:rPr>
              <w:t>AgriGuard is Uganda's first real-time agricultural intelligence system — combining live market prices, machine learning forecasts, input safety alerts, weather data, and agronomic advice in a single platform accessible by any phone. Built by a Ugandan student, for Ugandan farmers, at scale.</w:t>
            </w:r>
          </w:p>
        </w:tc>
      </w:tr>
    </w:tbl>
    <w:p>
      <w:pPr>
        <w:pStyle w:val="Normal"/>
        <w:spacing w:lineRule="auto" w:line="276" w:before="0" w:after="120"/>
        <w:jc w:val="left"/>
        <w:rPr/>
      </w:pPr>
      <w:r>
        <w:rPr/>
      </w:r>
    </w:p>
    <w:p>
      <w:pPr>
        <w:pStyle w:val="Normal"/>
        <w:spacing w:lineRule="auto" w:line="276" w:before="0" w:after="120"/>
        <w:jc w:val="left"/>
        <w:rPr/>
      </w:pPr>
      <w:r>
        <w:rPr/>
      </w:r>
    </w:p>
    <w:p>
      <w:pPr>
        <w:pStyle w:val="Normal"/>
        <w:pBdr>
          <w:top w:val="single" w:sz="4" w:space="4" w:color="4CAF50"/>
        </w:pBdr>
        <w:spacing w:before="200" w:after="0"/>
        <w:jc w:val="center"/>
        <w:rPr/>
      </w:pPr>
      <w:r>
        <w:rPr>
          <w:rFonts w:eastAsia="Arial" w:cs="Arial"/>
          <w:i/>
          <w:iCs/>
          <w:color w:val="555555"/>
          <w:sz w:val="18"/>
          <w:szCs w:val="18"/>
        </w:rPr>
        <w:t>Keith Kissa Ndiema  |  AgriGuard  |  Mbarara University of Science and Technology  |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4CAF50"/>
      </w:pBdr>
      <w:tabs>
        <w:tab w:val="clear" w:pos="720"/>
        <w:tab w:val="right" w:pos="9360" w:leader="none"/>
      </w:tabs>
      <w:spacing w:before="80" w:after="0"/>
      <w:rPr/>
    </w:pPr>
    <w:r>
      <w:rPr>
        <w:rFonts w:eastAsia="Arial" w:cs="Arial"/>
        <w:b/>
        <w:bCs/>
        <w:color w:val="555555"/>
        <w:sz w:val="17"/>
        <w:szCs w:val="17"/>
      </w:rPr>
      <w:t>Keith Ndiema Kissa</w:t>
    </w:r>
    <w:r>
      <w:rPr>
        <w:rFonts w:eastAsia="Arial" w:cs="Arial"/>
        <w:color w:val="555555"/>
        <w:sz w:val="17"/>
        <w:szCs w:val="17"/>
      </w:rPr>
      <w:t xml:space="preserve">  | </w:t>
    </w:r>
    <w:r>
      <w:rPr>
        <w:rFonts w:eastAsia="Arial" w:cs="Arial"/>
        <w:b/>
        <w:bCs/>
        <w:i w:val="false"/>
        <w:iCs w:val="false"/>
        <w:color w:val="555555"/>
        <w:sz w:val="17"/>
        <w:szCs w:val="17"/>
      </w:rPr>
      <w:t>May 2026</w:t>
    </w:r>
    <w:r>
      <w:rPr>
        <w:rFonts w:eastAsia="Arial" w:cs="Arial"/>
        <w:color w:val="555555"/>
        <w:sz w:val="17"/>
        <w:szCs w:val="17"/>
      </w:rPr>
      <w:t xml:space="preserve"> </w:t>
    </w:r>
    <w:r>
      <w:rPr>
        <w:rFonts w:eastAsia="Arial" w:cs="Arial"/>
        <w:color w:val="555555"/>
        <w:sz w:val="17"/>
        <w:szCs w:val="17"/>
      </w:rPr>
      <w:t xml:space="preserve">| </w:t>
    </w:r>
    <w:r>
      <w:rPr>
        <w:rFonts w:eastAsia="Arial" w:cs="Arial"/>
        <w:b/>
        <w:bCs/>
        <w:i w:val="false"/>
        <w:iCs w:val="false"/>
        <w:color w:val="555555"/>
        <w:sz w:val="17"/>
        <w:szCs w:val="17"/>
      </w:rPr>
      <w:t>Mbarara University of Science and Technology</w:t>
    </w:r>
    <w:r>
      <w:rPr>
        <w:rFonts w:eastAsia="Arial" w:cs="Arial"/>
        <w:color w:val="555555"/>
        <w:sz w:val="17"/>
        <w:szCs w:val="17"/>
      </w:rPr>
      <w:tab/>
      <w:t xml:space="preserve">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4CAF50"/>
      </w:pBdr>
      <w:tabs>
        <w:tab w:val="clear" w:pos="720"/>
        <w:tab w:val="right" w:pos="9360" w:leader="none"/>
      </w:tabs>
      <w:spacing w:before="80" w:after="0"/>
      <w:rPr/>
    </w:pPr>
    <w:r>
      <w:rPr>
        <w:rFonts w:eastAsia="Arial" w:cs="Arial"/>
        <w:b/>
        <w:bCs/>
        <w:color w:val="555555"/>
        <w:sz w:val="17"/>
        <w:szCs w:val="17"/>
      </w:rPr>
      <w:t>Keith Ndiema Kissa</w:t>
    </w:r>
    <w:r>
      <w:rPr>
        <w:rFonts w:eastAsia="Arial" w:cs="Arial"/>
        <w:color w:val="555555"/>
        <w:sz w:val="17"/>
        <w:szCs w:val="17"/>
      </w:rPr>
      <w:t xml:space="preserve">  | </w:t>
    </w:r>
    <w:r>
      <w:rPr>
        <w:rFonts w:eastAsia="Arial" w:cs="Arial"/>
        <w:b/>
        <w:bCs/>
        <w:i w:val="false"/>
        <w:iCs w:val="false"/>
        <w:color w:val="555555"/>
        <w:sz w:val="17"/>
        <w:szCs w:val="17"/>
      </w:rPr>
      <w:t>May 2026</w:t>
    </w:r>
    <w:r>
      <w:rPr>
        <w:rFonts w:eastAsia="Arial" w:cs="Arial"/>
        <w:color w:val="555555"/>
        <w:sz w:val="17"/>
        <w:szCs w:val="17"/>
      </w:rPr>
      <w:t xml:space="preserve"> </w:t>
    </w:r>
    <w:r>
      <w:rPr>
        <w:rFonts w:eastAsia="Arial" w:cs="Arial"/>
        <w:color w:val="555555"/>
        <w:sz w:val="17"/>
        <w:szCs w:val="17"/>
      </w:rPr>
      <w:t xml:space="preserve">| </w:t>
    </w:r>
    <w:r>
      <w:rPr>
        <w:rFonts w:eastAsia="Arial" w:cs="Arial"/>
        <w:b/>
        <w:bCs/>
        <w:i w:val="false"/>
        <w:iCs w:val="false"/>
        <w:color w:val="555555"/>
        <w:sz w:val="17"/>
        <w:szCs w:val="17"/>
      </w:rPr>
      <w:t>Mbarara University of Science and Technology</w:t>
    </w:r>
    <w:r>
      <w:rPr>
        <w:rFonts w:eastAsia="Arial" w:cs="Arial"/>
        <w:color w:val="555555"/>
        <w:sz w:val="17"/>
        <w:szCs w:val="17"/>
      </w:rPr>
      <w:tab/>
      <w:t xml:space="preserve">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4CAF50"/>
      </w:pBdr>
      <w:spacing w:before="0" w:after="80"/>
      <w:rPr/>
    </w:pPr>
    <w:r>
      <w:rPr>
        <w:rFonts w:eastAsia="Arial" w:cs="Arial"/>
        <w:color w:val="555555"/>
        <w:sz w:val="18"/>
        <w:szCs w:val="18"/>
      </w:rPr>
      <w:t>AgriGuard  |  Agricultural Intelligence System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4CAF50"/>
      </w:pBdr>
      <w:spacing w:before="0" w:after="80"/>
      <w:rPr/>
    </w:pPr>
    <w:r>
      <w:rPr>
        <w:rFonts w:eastAsia="Arial" w:cs="Arial"/>
        <w:color w:val="555555"/>
        <w:sz w:val="18"/>
        <w:szCs w:val="18"/>
      </w:rPr>
      <w:t>AgriGuard  |  Agricultural Intelligence System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48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2C2C2C"/>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A5E2A"/>
      <w:sz w:val="32"/>
      <w:szCs w:val="32"/>
    </w:rPr>
  </w:style>
  <w:style w:type="paragraph" w:styleId="Heading2">
    <w:name w:val="heading 2"/>
    <w:basedOn w:val="Heading"/>
    <w:qFormat/>
    <w:pPr>
      <w:spacing w:before="280" w:after="160"/>
      <w:outlineLvl w:val="1"/>
    </w:pPr>
    <w:rPr>
      <w:rFonts w:ascii="Arial" w:hAnsi="Arial" w:eastAsia="Arial" w:cs="Arial"/>
      <w:b/>
      <w:bCs/>
      <w:color w:val="2E7D32"/>
      <w:sz w:val="26"/>
      <w:szCs w:val="26"/>
    </w:rPr>
  </w:style>
  <w:style w:type="paragraph" w:styleId="Heading3">
    <w:name w:val="heading 3"/>
    <w:basedOn w:val="Heading"/>
    <w:qFormat/>
    <w:pPr>
      <w:spacing w:before="200" w:after="120"/>
      <w:outlineLvl w:val="2"/>
    </w:pPr>
    <w:rPr>
      <w:rFonts w:ascii="Arial" w:hAnsi="Arial" w:eastAsia="Arial" w:cs="Arial"/>
      <w:b/>
      <w:bCs/>
      <w:color w:val="555555"/>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2C2C2C"/>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2C2C2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LibreOffice/25.2.7.2$Linux_X86_64 LibreOffice_project/520$Build-2</Application>
  <AppVersion>15.0000</AppVersion>
  <Pages>17</Pages>
  <Words>2936</Words>
  <Characters>17198</Characters>
  <CharactersWithSpaces>19681</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2026-05-11T08:29:57Z</dcterms:created>
  <dc:creator>Un-named</dc:creator>
  <dc:description/>
  <dc:language>en-US</dc:language>
  <cp:lastModifiedBy/>
  <dcterms:modified xsi:type="dcterms:W3CDTF">2026-05-12T10:39:01Z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