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62"/>
          <w:sz w:val="46"/>
        </w:rPr>
        <w:t>API Automation Robot Framework</w:t>
      </w:r>
    </w:p>
    <w:p>
      <w:pPr>
        <w:jc w:val="center"/>
      </w:pPr>
      <w:r>
        <w:rPr>
          <w:color w:val="526581"/>
          <w:sz w:val="26"/>
        </w:rPr>
        <w:t>Architecture, workflow, and test execution guide</w:t>
      </w:r>
    </w:p>
    <w:p>
      <w:pPr>
        <w:jc w:val="center"/>
      </w:pPr>
      <w:r>
        <w:rPr>
          <w:i/>
        </w:rPr>
        <w:t>Generated 2026-10-05 21:16</w:t>
      </w:r>
    </w:p>
    <w:p>
      <w:pPr>
        <w:pStyle w:val="Heading1"/>
      </w:pPr>
      <w:r>
        <w:t>1. End-to-end workflow diagram</w:t>
      </w:r>
    </w:p>
    <w:p>
      <w:r>
        <w:t>A suite consumes data rows, builds API requests through reusable resources, validates the API response, and produces Robot Framework execution artifacts.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3D6"/>
          </w:tcPr>
          <w:p>
            <w:pPr>
              <w:jc w:val="center"/>
            </w:pPr>
            <w:r>
              <w:rPr>
                <w:b/>
                <w:color w:val="173B62"/>
                <w:sz w:val="22"/>
              </w:rPr>
              <w:t>1  Test data</w:t>
              <w:br/>
            </w:r>
            <w:r>
              <w:t>CSV rows supply request values: product/party/depth/category/channel, or compatibility group/SKUs/channel/brand.</w:t>
            </w:r>
          </w:p>
        </w:tc>
      </w:tr>
      <w:tr>
        <w:tc>
          <w:tcPr>
            <w:tcW w:type="dxa" w:w="10224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6C7F99"/>
                <w:sz w:val="24"/>
              </w:rPr>
              <w:t>?</w:t>
            </w:r>
          </w:p>
        </w:tc>
      </w:tr>
      <w:tr>
        <w:tc>
          <w:tcPr>
            <w:tcW w:type="dxa" w:w="10224"/>
            <w:vAlign w:val="center"/>
            <w:shd w:fill="EAF2FF"/>
          </w:tcPr>
          <w:p>
            <w:pPr>
              <w:jc w:val="center"/>
            </w:pPr>
            <w:r>
              <w:rPr>
                <w:b/>
                <w:color w:val="173B62"/>
                <w:sz w:val="22"/>
              </w:rPr>
              <w:t>2  Robot suite</w:t>
              <w:br/>
            </w:r>
            <w:r>
              <w:t>Loads the selected .robot file, reads each CSV row, runs the matching test workflow, and collects row-level failures.</w:t>
            </w:r>
          </w:p>
        </w:tc>
      </w:tr>
      <w:tr>
        <w:tc>
          <w:tcPr>
            <w:tcW w:type="dxa" w:w="10224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6C7F99"/>
                <w:sz w:val="24"/>
              </w:rPr>
              <w:t>?</w:t>
            </w:r>
          </w:p>
        </w:tc>
      </w:tr>
      <w:tr>
        <w:tc>
          <w:tcPr>
            <w:tcW w:type="dxa" w:w="10224"/>
            <w:vAlign w:val="center"/>
            <w:shd w:fill="F1EDFF"/>
          </w:tcPr>
          <w:p>
            <w:pPr>
              <w:jc w:val="center"/>
            </w:pPr>
            <w:r>
              <w:rPr>
                <w:b/>
                <w:color w:val="173B62"/>
                <w:sz w:val="22"/>
              </w:rPr>
              <w:t>3  Shared helpers and resources</w:t>
              <w:br/>
            </w:r>
            <w:r>
              <w:t>CSVReader parses rows; API keywords compose query parameters or JSON payloads; variables provide endpoint configuration.</w:t>
            </w:r>
          </w:p>
        </w:tc>
      </w:tr>
      <w:tr>
        <w:tc>
          <w:tcPr>
            <w:tcW w:type="dxa" w:w="10224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6C7F99"/>
                <w:sz w:val="24"/>
              </w:rPr>
              <w:t>?  protected API request requires token</w:t>
            </w:r>
          </w:p>
        </w:tc>
      </w:tr>
      <w:tr>
        <w:tc>
          <w:tcPr>
            <w:tcW w:type="dxa" w:w="10224"/>
            <w:vAlign w:val="center"/>
            <w:shd w:fill="E4F5F2"/>
          </w:tcPr>
          <w:p>
            <w:pPr>
              <w:jc w:val="center"/>
            </w:pPr>
            <w:r>
              <w:rPr>
                <w:b/>
                <w:color w:val="173B62"/>
                <w:sz w:val="22"/>
              </w:rPr>
              <w:t>4  IAM authentication</w:t>
              <w:br/>
            </w:r>
            <w:r>
              <w:t>The auth keyword requests an OAuth access token from the configured IAM endpoint for API calls.</w:t>
            </w:r>
          </w:p>
        </w:tc>
      </w:tr>
      <w:tr>
        <w:tc>
          <w:tcPr>
            <w:tcW w:type="dxa" w:w="10224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6C7F99"/>
                <w:sz w:val="24"/>
              </w:rPr>
              <w:t>?  token attached to API request</w:t>
            </w:r>
          </w:p>
        </w:tc>
      </w:tr>
      <w:tr>
        <w:tc>
          <w:tcPr>
            <w:tcW w:type="dxa" w:w="10224"/>
            <w:vAlign w:val="center"/>
            <w:shd w:fill="E4F5F2"/>
          </w:tcPr>
          <w:p>
            <w:pPr>
              <w:jc w:val="center"/>
            </w:pPr>
            <w:r>
              <w:rPr>
                <w:b/>
                <w:color w:val="173B62"/>
                <w:sz w:val="22"/>
              </w:rPr>
              <w:t>5  Target API</w:t>
              <w:br/>
            </w:r>
            <w:r>
              <w:t>RequestsLibrary sends the product-offering GET or compatibility-check POST and returns the HTTP response.</w:t>
            </w:r>
          </w:p>
        </w:tc>
      </w:tr>
      <w:tr>
        <w:tc>
          <w:tcPr>
            <w:tcW w:type="dxa" w:w="10224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6C7F99"/>
                <w:sz w:val="24"/>
              </w:rPr>
              <w:t>?  response</w:t>
            </w:r>
          </w:p>
        </w:tc>
      </w:tr>
      <w:tr>
        <w:tc>
          <w:tcPr>
            <w:tcW w:type="dxa" w:w="10224"/>
            <w:vAlign w:val="center"/>
            <w:shd w:fill="F1EDFF"/>
          </w:tcPr>
          <w:p>
            <w:pPr>
              <w:jc w:val="center"/>
            </w:pPr>
            <w:r>
              <w:rPr>
                <w:b/>
                <w:color w:val="173B62"/>
                <w:sz w:val="22"/>
              </w:rPr>
              <w:t>6  Validation</w:t>
              <w:br/>
            </w:r>
            <w:r>
              <w:t>Robot built-ins and Python validators check status, body, timing, headers, response shape, business fields, and applicable channel/price data.</w:t>
            </w:r>
          </w:p>
        </w:tc>
      </w:tr>
      <w:tr>
        <w:tc>
          <w:tcPr>
            <w:tcW w:type="dxa" w:w="10224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6C7F99"/>
                <w:sz w:val="24"/>
              </w:rPr>
              <w:t>?</w:t>
            </w:r>
          </w:p>
        </w:tc>
      </w:tr>
      <w:tr>
        <w:tc>
          <w:tcPr>
            <w:tcW w:type="dxa" w:w="10224"/>
            <w:vAlign w:val="center"/>
            <w:shd w:fill="E7F4E9"/>
          </w:tcPr>
          <w:p>
            <w:pPr>
              <w:jc w:val="center"/>
            </w:pPr>
            <w:r>
              <w:rPr>
                <w:b/>
                <w:color w:val="173B62"/>
                <w:sz w:val="22"/>
              </w:rPr>
              <w:t>7  Result and reporting</w:t>
              <w:br/>
            </w:r>
            <w:r>
              <w:t>Any failed CSV row fails the suite; Robot writes output.xml, log.html, and report.html. A separate utility converts output.xml into DOCX.</w:t>
            </w:r>
          </w:p>
        </w:tc>
      </w:tr>
    </w:tbl>
    <w:p>
      <w:pPr>
        <w:pStyle w:val="Heading1"/>
      </w:pPr>
      <w:r>
        <w:t>2. Main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Responsibility</w:t>
            </w:r>
          </w:p>
        </w:tc>
        <w:tc>
          <w:tcPr>
            <w:tcW w:type="dxa" w:w="3408"/>
          </w:tcPr>
          <w:p>
            <w:r>
              <w:t>Repository examples</w:t>
            </w:r>
          </w:p>
        </w:tc>
      </w:tr>
      <w:tr>
        <w:tc>
          <w:tcPr>
            <w:tcW w:type="dxa" w:w="3408"/>
          </w:tcPr>
          <w:p>
            <w:r>
              <w:t>Robot suites</w:t>
            </w:r>
          </w:p>
        </w:tc>
        <w:tc>
          <w:tcPr>
            <w:tcW w:type="dxa" w:w="3408"/>
          </w:tcPr>
          <w:p>
            <w:r>
              <w:t>Define test scenarios, read CSV rows, call reusable keywords, and control pass/fail.</w:t>
            </w:r>
          </w:p>
        </w:tc>
        <w:tc>
          <w:tcPr>
            <w:tcW w:type="dxa" w:w="3408"/>
          </w:tcPr>
          <w:p>
            <w:r>
              <w:t>tests\API\channel_based_product_filteration.robot; tests\API\test_compatibility_check.robot</w:t>
            </w:r>
          </w:p>
        </w:tc>
      </w:tr>
      <w:tr>
        <w:tc>
          <w:tcPr>
            <w:tcW w:type="dxa" w:w="3408"/>
          </w:tcPr>
          <w:p>
            <w:r>
              <w:t>API keywords</w:t>
            </w:r>
          </w:p>
        </w:tc>
        <w:tc>
          <w:tcPr>
            <w:tcW w:type="dxa" w:w="3408"/>
          </w:tcPr>
          <w:p>
            <w:r>
              <w:t>Manage RequestsLibrary sessions, request headers, query parameters, and API calls.</w:t>
            </w:r>
          </w:p>
        </w:tc>
        <w:tc>
          <w:tcPr>
            <w:tcW w:type="dxa" w:w="3408"/>
          </w:tcPr>
          <w:p>
            <w:r>
              <w:t>resources\keywords\api_keywords.robot</w:t>
            </w:r>
          </w:p>
        </w:tc>
      </w:tr>
      <w:tr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Provide IAM settings and a keyword for requesting an OAuth token.</w:t>
            </w:r>
          </w:p>
        </w:tc>
        <w:tc>
          <w:tcPr>
            <w:tcW w:type="dxa" w:w="3408"/>
          </w:tcPr>
          <w:p>
            <w:r>
              <w:t>resources\auth\auth_variables.robot; resources\auth\auth_keywords.robot</w:t>
            </w:r>
          </w:p>
        </w:tc>
      </w:tr>
      <w:tr>
        <w:tc>
          <w:tcPr>
            <w:tcW w:type="dxa" w:w="3408"/>
          </w:tcPr>
          <w:p>
            <w:r>
              <w:t>Variables</w:t>
            </w:r>
          </w:p>
        </w:tc>
        <w:tc>
          <w:tcPr>
            <w:tcW w:type="dxa" w:w="3408"/>
          </w:tcPr>
          <w:p>
            <w:r>
              <w:t>Configure base URLs, endpoint paths, and CSV file paths.</w:t>
            </w:r>
          </w:p>
        </w:tc>
        <w:tc>
          <w:tcPr>
            <w:tcW w:type="dxa" w:w="3408"/>
          </w:tcPr>
          <w:p>
            <w:r>
              <w:t>resources\variables\api_variables.robot</w:t>
            </w:r>
          </w:p>
        </w:tc>
      </w:tr>
      <w:tr>
        <w:tc>
          <w:tcPr>
            <w:tcW w:type="dxa" w:w="3408"/>
          </w:tcPr>
          <w:p>
            <w:r>
              <w:t>Python helpers</w:t>
            </w:r>
          </w:p>
        </w:tc>
        <w:tc>
          <w:tcPr>
            <w:tcW w:type="dxa" w:w="3408"/>
          </w:tcPr>
          <w:p>
            <w:r>
              <w:t>Read CSV input and implement reusable response/business validation.</w:t>
            </w:r>
          </w:p>
        </w:tc>
        <w:tc>
          <w:tcPr>
            <w:tcW w:type="dxa" w:w="3408"/>
          </w:tcPr>
          <w:p>
            <w:r>
              <w:t>python\csv_reader.py; python\api_custom_validations.py</w:t>
            </w:r>
          </w:p>
        </w:tc>
      </w:tr>
      <w:tr>
        <w:tc>
          <w:tcPr>
            <w:tcW w:type="dxa" w:w="3408"/>
          </w:tcPr>
          <w:p>
            <w:r>
              <w:t>Test data</w:t>
            </w:r>
          </w:p>
        </w:tc>
        <w:tc>
          <w:tcPr>
            <w:tcW w:type="dxa" w:w="3408"/>
          </w:tcPr>
          <w:p>
            <w:r>
              <w:t>Supply input rows for API requests.</w:t>
            </w:r>
          </w:p>
        </w:tc>
        <w:tc>
          <w:tcPr>
            <w:tcW w:type="dxa" w:w="3408"/>
          </w:tcPr>
          <w:p>
            <w:r>
              <w:t>testdata\api\product_offering.csv; testdata\api\compatibility_check.csv</w:t>
            </w:r>
          </w:p>
        </w:tc>
      </w:tr>
      <w:tr>
        <w:tc>
          <w:tcPr>
            <w:tcW w:type="dxa" w:w="3408"/>
          </w:tcPr>
          <w:p>
            <w:r>
              <w:t>Parallel runner</w:t>
            </w:r>
          </w:p>
        </w:tc>
        <w:tc>
          <w:tcPr>
            <w:tcW w:type="dxa" w:w="3408"/>
          </w:tcPr>
          <w:p>
            <w:r>
              <w:t>Uses Pabot and classifies run results into passed/failed result directories.</w:t>
            </w:r>
          </w:p>
        </w:tc>
        <w:tc>
          <w:tcPr>
            <w:tcW w:type="dxa" w:w="3408"/>
          </w:tcPr>
          <w:p>
            <w:r>
              <w:t>run_parallel_tests.py</w:t>
            </w:r>
          </w:p>
        </w:tc>
      </w:tr>
    </w:tbl>
    <w:p>
      <w:pPr>
        <w:pStyle w:val="Heading1"/>
      </w:pPr>
      <w:r>
        <w:t>3. Product-offering API workflow</w:t>
      </w:r>
    </w:p>
    <w:p>
      <w:r>
        <w:t>For each row in product_offering.csv, the suite sends relatedParty.name, depth, code, category.name, and channel.name as query parameters. The response then passes through these checks:</w:t>
      </w:r>
    </w:p>
    <w:p>
      <w:pPr>
        <w:pStyle w:val="ListBullet"/>
      </w:pPr>
      <w:r>
        <w:t>HTTP status 200, non-empty body, response time at most 5000 ms, and JSON Content-Type.</w:t>
      </w:r>
    </w:p>
    <w:p>
      <w:pPr>
        <w:pStyle w:val="ListBullet"/>
      </w:pPr>
      <w:r>
        <w:t>Product-offering schema and lifecycle status validation.</w:t>
      </w:r>
    </w:p>
    <w:p>
      <w:pPr>
        <w:pStyle w:val="ListBullet"/>
      </w:pPr>
      <w:r>
        <w:t>Returned code, related party, and category compared with the CSV row.</w:t>
      </w:r>
    </w:p>
    <w:p>
      <w:pPr>
        <w:pStyle w:val="ListBullet"/>
      </w:pPr>
      <w:r>
        <w:t>Root GroupProductOffering type expectation and traversal into bundled SimpleProductOffering entries and prices.</w:t>
      </w:r>
    </w:p>
    <w:p>
      <w:pPr>
        <w:pStyle w:val="ListBullet"/>
      </w:pPr>
      <w:r>
        <w:t>For each populated channel list, requested channel must be present. Other channel names may also be present; empty/null lists are skipped, malformed channel values fail.</w:t>
      </w:r>
    </w:p>
    <w:p>
      <w:pPr>
        <w:pStyle w:val="ListBullet"/>
      </w:pPr>
      <w:r>
        <w:t>Validity helper parses date fields when supplied, but currently does not enforce a current-date validity window.</w:t>
      </w:r>
    </w:p>
    <w:p>
      <w:pPr>
        <w:pStyle w:val="ListBullet"/>
      </w:pPr>
      <w:r>
        <w:t>Failures are collected per CSV row and surfaced as a failed Robot test after row processing.</w:t>
      </w:r>
    </w:p>
    <w:p>
      <w:r>
        <w:rPr>
          <w:b/>
        </w:rPr>
        <w:t xml:space="preserve">Current behavior note: </w:t>
      </w:r>
      <w:r>
        <w:t>a code that resolves directly to a root SimpleProductOffering does not meet the current root GroupProductOffering type expectation. Channel validation checks membership, not strict filtering.</w:t>
      </w:r>
    </w:p>
    <w:p>
      <w:pPr>
        <w:pStyle w:val="Heading1"/>
      </w:pPr>
      <w:r>
        <w:t>4. Compatibility-check workflow</w:t>
      </w:r>
    </w:p>
    <w:p>
      <w:r>
        <w:t>The compatibility suite reads correlation group, SKUs, channel, and brand from CSV, posts a JSON cart payload, and validates HTTP status/body plus required response fields and expected correlation/SKU values. A false compatibility result triggers another attempt, up to three attempts; if it stays false, the test fails.</w:t>
      </w:r>
    </w:p>
    <w:p>
      <w:pPr>
        <w:pStyle w:val="Heading1"/>
      </w:pPr>
      <w:r>
        <w:t>5. Reports and running tests</w:t>
      </w:r>
    </w:p>
    <w:p>
      <w:r>
        <w:t>Run a single product suite from the repository root:</w:t>
      </w:r>
    </w:p>
    <w:p>
      <w:pPr>
        <w:pStyle w:val="NoSpacing"/>
      </w:pPr>
      <w:r>
        <w:rPr>
          <w:rFonts w:ascii="Consolas" w:hAnsi="Consolas"/>
          <w:sz w:val="18"/>
        </w:rPr>
        <w:t>python -m robot --outputdir reports\channel_based_product_filteration tests\API\channel_based_product_filteration.robot</w:t>
      </w:r>
    </w:p>
    <w:p>
      <w:r>
        <w:t>Run the Pabot-based parallel runner:</w:t>
      </w:r>
    </w:p>
    <w:p>
      <w:pPr>
        <w:pStyle w:val="NoSpacing"/>
      </w:pPr>
      <w:r>
        <w:rPr>
          <w:rFonts w:ascii="Consolas" w:hAnsi="Consolas"/>
          <w:sz w:val="18"/>
        </w:rPr>
        <w:t>.\.venv\Scripts\python.exe run_parallel_tests.py</w:t>
      </w:r>
    </w:p>
    <w:p>
      <w:r>
        <w:t>Generate a Word report from Robot XML:</w:t>
      </w:r>
    </w:p>
    <w:p>
      <w:pPr>
        <w:pStyle w:val="NoSpacing"/>
      </w:pPr>
      <w:r>
        <w:rPr>
          <w:rFonts w:ascii="Consolas" w:hAnsi="Consolas"/>
          <w:sz w:val="18"/>
        </w:rPr>
        <w:t>.\.venv\Scripts\python.exe python\generate_docx_report.py reports\channel_based_product_filteration\output.xml reports\channel_based_product_filteration\Product_Offering_Test_Report.docx</w:t>
      </w:r>
    </w:p>
    <w:p>
      <w:r>
        <w:t>Robot produces output.xml, log.html, and report.html in the selected output directory. DOCX generation is a separate step.</w:t>
      </w:r>
    </w:p>
    <w:p>
      <w:pPr>
        <w:pStyle w:val="Heading1"/>
      </w:pPr>
      <w:r>
        <w:t>6. Configuration and safe handling</w:t>
      </w:r>
    </w:p>
    <w:p>
      <w:r>
        <w:t>Install dependencies from requirements.txt into the project virtual environment. Authentication values are secrets: do not put credentials or access tokens into reports or shared documents. Prefer protected environment variables or a secret store. The dependency manifest also includes browser, database, and AI packages; this guide describes the API workflows currently represented by the repository suites and helpers.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Framework workflow documentation ? Based on current repository sources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85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B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