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5"/>
        <w:gridCol w:w="2337"/>
        <w:gridCol w:w="2341"/>
        <w:gridCol w:w="2383"/>
      </w:tblGrid>
      <w:tr>
        <w:tc>
          <w:tcPr>
            <w:tcW w:w="2515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Columns Name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What each column represents</w:t>
            </w:r>
          </w:p>
        </w:tc>
        <w:tc>
          <w:tcPr>
            <w:tcW w:w="2341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Category</w:t>
            </w:r>
          </w:p>
        </w:tc>
        <w:tc>
          <w:tcPr>
            <w:tcW w:w="2383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Variable Trait</w:t>
            </w:r>
          </w:p>
        </w:tc>
      </w:tr>
      <w:tr>
        <w:tc>
          <w:tcPr>
            <w:tcW w:w="2515" w:type="dxa"/>
          </w:tcPr>
          <w:p>
            <w:pPr>
              <w:spacing w:after="0" w:line="240" w:lineRule="auto"/>
            </w:pPr>
            <w:r>
              <w:t>Date</w:t>
            </w:r>
          </w:p>
          <w:p>
            <w:pPr>
              <w:spacing w:after="0" w:line="240" w:lineRule="auto"/>
            </w:pP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t>Date the market was opened</w:t>
            </w:r>
          </w:p>
        </w:tc>
        <w:tc>
          <w:tcPr>
            <w:tcW w:w="2341" w:type="dxa"/>
          </w:tcPr>
          <w:p>
            <w:pPr>
              <w:spacing w:after="0" w:line="240" w:lineRule="auto"/>
            </w:pPr>
            <w:r>
              <w:t>Gold ETF</w:t>
            </w:r>
          </w:p>
        </w:tc>
        <w:tc>
          <w:tcPr>
            <w:tcW w:w="2383" w:type="dxa"/>
            <w:vAlign w:val="top"/>
          </w:tcPr>
          <w:p>
            <w:pPr>
              <w:spacing w:after="0" w:line="240" w:lineRule="auto"/>
            </w:pPr>
            <w:r>
              <w:t>Non-Feature Engineered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5" w:type="dxa"/>
          </w:tcPr>
          <w:p>
            <w:pPr>
              <w:spacing w:after="0" w:line="240" w:lineRule="auto"/>
            </w:pPr>
            <w:r>
              <w:t>Open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t>Price as at the time market opened</w:t>
            </w:r>
          </w:p>
        </w:tc>
        <w:tc>
          <w:tcPr>
            <w:tcW w:w="2341" w:type="dxa"/>
          </w:tcPr>
          <w:p>
            <w:pPr>
              <w:spacing w:after="0" w:line="240" w:lineRule="auto"/>
            </w:pPr>
            <w:r>
              <w:t>Gold ETF</w:t>
            </w:r>
          </w:p>
        </w:tc>
        <w:tc>
          <w:tcPr>
            <w:tcW w:w="2383" w:type="dxa"/>
            <w:vAlign w:val="top"/>
          </w:tcPr>
          <w:p>
            <w:pPr>
              <w:spacing w:after="0" w:line="240" w:lineRule="auto"/>
            </w:pPr>
            <w:r>
              <w:t>Non-Feature Engineered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5" w:type="dxa"/>
          </w:tcPr>
          <w:p>
            <w:pPr>
              <w:spacing w:after="0" w:line="240" w:lineRule="auto"/>
            </w:pPr>
            <w:r>
              <w:t>High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t>Price when the market prices is  up.</w:t>
            </w:r>
          </w:p>
        </w:tc>
        <w:tc>
          <w:tcPr>
            <w:tcW w:w="2341" w:type="dxa"/>
          </w:tcPr>
          <w:p>
            <w:pPr>
              <w:spacing w:after="0" w:line="240" w:lineRule="auto"/>
            </w:pPr>
            <w:r>
              <w:t>Gold ETF</w:t>
            </w:r>
          </w:p>
        </w:tc>
        <w:tc>
          <w:tcPr>
            <w:tcW w:w="2383" w:type="dxa"/>
            <w:vAlign w:val="top"/>
          </w:tcPr>
          <w:p>
            <w:pPr>
              <w:spacing w:after="0" w:line="240" w:lineRule="auto"/>
            </w:pPr>
            <w:r>
              <w:t>Non-Feature Engineered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5" w:type="dxa"/>
          </w:tcPr>
          <w:p>
            <w:pPr>
              <w:spacing w:after="0" w:line="240" w:lineRule="auto"/>
            </w:pPr>
            <w:r>
              <w:t>Low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t>Price if the market price is down.</w:t>
            </w:r>
          </w:p>
        </w:tc>
        <w:tc>
          <w:tcPr>
            <w:tcW w:w="2341" w:type="dxa"/>
          </w:tcPr>
          <w:p>
            <w:pPr>
              <w:spacing w:after="0" w:line="240" w:lineRule="auto"/>
            </w:pPr>
            <w:r>
              <w:t>Gold ETF</w:t>
            </w:r>
          </w:p>
        </w:tc>
        <w:tc>
          <w:tcPr>
            <w:tcW w:w="2383" w:type="dxa"/>
            <w:vAlign w:val="top"/>
          </w:tcPr>
          <w:p>
            <w:pPr>
              <w:spacing w:after="0" w:line="240" w:lineRule="auto"/>
            </w:pPr>
            <w:r>
              <w:t>Non-Feature Engineered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5" w:type="dxa"/>
          </w:tcPr>
          <w:p>
            <w:pPr>
              <w:spacing w:after="0" w:line="240" w:lineRule="auto"/>
            </w:pPr>
            <w:r>
              <w:t>Close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t xml:space="preserve">Close is that closing price of a stock is the price of that stock at the close of the trading day. </w:t>
            </w:r>
          </w:p>
        </w:tc>
        <w:tc>
          <w:tcPr>
            <w:tcW w:w="2341" w:type="dxa"/>
          </w:tcPr>
          <w:p>
            <w:pPr>
              <w:spacing w:after="0" w:line="240" w:lineRule="auto"/>
            </w:pPr>
            <w:r>
              <w:t>Gold ETF</w:t>
            </w:r>
          </w:p>
        </w:tc>
        <w:tc>
          <w:tcPr>
            <w:tcW w:w="2383" w:type="dxa"/>
            <w:vAlign w:val="top"/>
          </w:tcPr>
          <w:p>
            <w:pPr>
              <w:spacing w:after="0" w:line="240" w:lineRule="auto"/>
            </w:pPr>
            <w:r>
              <w:t>Non-Feature Engineered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5" w:type="dxa"/>
          </w:tcPr>
          <w:p>
            <w:pPr>
              <w:spacing w:after="0" w:line="240" w:lineRule="auto"/>
            </w:pPr>
            <w:r>
              <w:t xml:space="preserve">Adjusted Close 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t xml:space="preserve"> Adjusted closing price takes into account factors such as dividends, stock splits and new stock offerings to determine a value. We would use Adjusted Close as our outcome variables which is the value we want to predict</w:t>
            </w:r>
          </w:p>
        </w:tc>
        <w:tc>
          <w:tcPr>
            <w:tcW w:w="2341" w:type="dxa"/>
          </w:tcPr>
          <w:p>
            <w:pPr>
              <w:spacing w:after="0" w:line="240" w:lineRule="auto"/>
            </w:pPr>
            <w:r>
              <w:t>Gold ETF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2383" w:type="dxa"/>
            <w:vAlign w:val="top"/>
          </w:tcPr>
          <w:p>
            <w:pPr>
              <w:spacing w:after="0" w:line="240" w:lineRule="auto"/>
            </w:pPr>
            <w:r>
              <w:t>Non-Feature Engineered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color w:val="FF0000"/>
              </w:rPr>
              <w:t xml:space="preserve">Dependent Variable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5" w:type="dxa"/>
          </w:tcPr>
          <w:p>
            <w:pPr>
              <w:spacing w:after="0" w:line="240" w:lineRule="auto"/>
            </w:pPr>
            <w:r>
              <w:t>Volume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t>Overall Gold ETF transactions at the said date</w:t>
            </w:r>
          </w:p>
        </w:tc>
        <w:tc>
          <w:tcPr>
            <w:tcW w:w="2341" w:type="dxa"/>
          </w:tcPr>
          <w:p>
            <w:pPr>
              <w:spacing w:after="0" w:line="240" w:lineRule="auto"/>
            </w:pPr>
            <w:r>
              <w:t>Gold ETF</w:t>
            </w:r>
          </w:p>
        </w:tc>
        <w:tc>
          <w:tcPr>
            <w:tcW w:w="2383" w:type="dxa"/>
            <w:vAlign w:val="top"/>
          </w:tcPr>
          <w:p>
            <w:pPr>
              <w:spacing w:after="0" w:line="240" w:lineRule="auto"/>
            </w:pPr>
            <w:r>
              <w:t>Non-Feature Engineered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'SP</w:t>
            </w:r>
            <w:r>
              <w:rPr>
                <w:rStyle w:val="3"/>
              </w:rPr>
              <w:t>open', 'SP</w:t>
            </w:r>
            <w:r>
              <w:t>high', 'SP</w:t>
            </w:r>
            <w:r>
              <w:rPr>
                <w:rStyle w:val="3"/>
              </w:rPr>
              <w:t>low', 'SP</w:t>
            </w:r>
            <w:r>
              <w:t>close', 'SP</w:t>
            </w:r>
            <w:r>
              <w:rPr>
                <w:rStyle w:val="3"/>
              </w:rPr>
              <w:t>Ajclose', 'SP</w:t>
            </w:r>
            <w:r>
              <w:t>volume'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t>Aggregate of Top 500 large companies in US</w:t>
            </w:r>
          </w:p>
        </w:tc>
        <w:tc>
          <w:tcPr>
            <w:tcW w:w="2341" w:type="dxa"/>
          </w:tcPr>
          <w:p>
            <w:pPr>
              <w:spacing w:after="0" w:line="240" w:lineRule="auto"/>
            </w:pPr>
            <w:r>
              <w:t xml:space="preserve">S&amp;P 500 </w:t>
            </w:r>
            <w:r>
              <w:t>Index</w:t>
            </w:r>
          </w:p>
        </w:tc>
        <w:tc>
          <w:tcPr>
            <w:tcW w:w="2383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Feature Engineered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5" w:type="dxa"/>
          </w:tcPr>
          <w:p>
            <w:pPr>
              <w:spacing w:after="0" w:line="240" w:lineRule="auto"/>
            </w:pPr>
            <w:r>
              <w:t>'DJ</w:t>
            </w:r>
            <w:r>
              <w:rPr>
                <w:rStyle w:val="3"/>
              </w:rPr>
              <w:t>open','DJ</w:t>
            </w:r>
            <w:r>
              <w:t>high', 'DJ</w:t>
            </w:r>
            <w:r>
              <w:rPr>
                <w:rStyle w:val="3"/>
              </w:rPr>
              <w:t>low', 'DJ</w:t>
            </w:r>
            <w:r>
              <w:t>close', 'DJ</w:t>
            </w:r>
            <w:r>
              <w:rPr>
                <w:rStyle w:val="3"/>
              </w:rPr>
              <w:t>Ajclose', 'DJ</w:t>
            </w:r>
            <w:r>
              <w:t xml:space="preserve">volume' 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t>Aggregate of Top 30 US companies Price Index</w:t>
            </w:r>
          </w:p>
        </w:tc>
        <w:tc>
          <w:tcPr>
            <w:tcW w:w="2341" w:type="dxa"/>
          </w:tcPr>
          <w:p>
            <w:pPr>
              <w:spacing w:after="0" w:line="240" w:lineRule="auto"/>
            </w:pPr>
            <w:r>
              <w:t>Dow Jones Index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2383" w:type="dxa"/>
          </w:tcPr>
          <w:p>
            <w:pPr>
              <w:spacing w:after="0" w:line="240" w:lineRule="auto"/>
            </w:pPr>
            <w:r>
              <w:t>Feature Engineered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'EG</w:t>
            </w:r>
            <w:r>
              <w:rPr>
                <w:rStyle w:val="3"/>
              </w:rPr>
              <w:t>open', 'EG</w:t>
            </w:r>
            <w:r>
              <w:t>high', 'EG</w:t>
            </w:r>
            <w:r>
              <w:rPr>
                <w:rStyle w:val="3"/>
              </w:rPr>
              <w:t>low', 'EG</w:t>
            </w:r>
            <w:r>
              <w:t>close', 'EG</w:t>
            </w:r>
            <w:r>
              <w:rPr>
                <w:rStyle w:val="3"/>
              </w:rPr>
              <w:t>Ajclose', 'EG</w:t>
            </w:r>
            <w:r>
              <w:t xml:space="preserve">volume' 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t xml:space="preserve">Canada Owned Gold Miner Company </w:t>
            </w:r>
          </w:p>
          <w:p>
            <w:pPr>
              <w:spacing w:after="0" w:line="240" w:lineRule="auto"/>
            </w:pPr>
            <w:r>
              <w:t>Price Index</w:t>
            </w:r>
          </w:p>
        </w:tc>
        <w:tc>
          <w:tcPr>
            <w:tcW w:w="2341" w:type="dxa"/>
          </w:tcPr>
          <w:p>
            <w:pPr>
              <w:spacing w:after="0" w:line="240" w:lineRule="auto"/>
            </w:pPr>
            <w:r>
              <w:t>Eldorado Gold Corporation (EGO)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2383" w:type="dxa"/>
          </w:tcPr>
          <w:p>
            <w:pPr>
              <w:spacing w:after="0" w:line="240" w:lineRule="auto"/>
            </w:pPr>
            <w:r>
              <w:t>Feature Engineered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5" w:type="dxa"/>
          </w:tcPr>
          <w:p>
            <w:pPr>
              <w:spacing w:after="0" w:line="240" w:lineRule="auto"/>
            </w:pPr>
            <w:r>
              <w:t>'EU</w:t>
            </w:r>
            <w:r>
              <w:rPr>
                <w:rStyle w:val="3"/>
              </w:rPr>
              <w:t>Price','EU</w:t>
            </w:r>
            <w:r>
              <w:t>open', 'EU</w:t>
            </w:r>
            <w:r>
              <w:rPr>
                <w:rStyle w:val="3"/>
              </w:rPr>
              <w:t>high', 'EU</w:t>
            </w:r>
            <w:r>
              <w:t>low', 'EU</w:t>
            </w:r>
            <w:r>
              <w:rPr>
                <w:rStyle w:val="3"/>
              </w:rPr>
              <w:t>Trend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3"/>
              </w:rPr>
              <w:t>EUR</w:t>
            </w:r>
            <w:r>
              <w:rPr>
                <w:rStyle w:val="3"/>
              </w:rPr>
              <w:t xml:space="preserve"> to</w:t>
            </w:r>
            <w:r>
              <w:rPr>
                <w:rStyle w:val="3"/>
              </w:rPr>
              <w:t xml:space="preserve"> USD Exchange rate</w:t>
            </w:r>
          </w:p>
        </w:tc>
        <w:tc>
          <w:tcPr>
            <w:tcW w:w="2341" w:type="dxa"/>
          </w:tcPr>
          <w:p>
            <w:pPr>
              <w:spacing w:after="0" w:line="240" w:lineRule="auto"/>
            </w:pPr>
            <w:r>
              <w:rPr>
                <w:rStyle w:val="3"/>
              </w:rPr>
              <w:t>EUR USD Exchange rate</w:t>
            </w:r>
          </w:p>
        </w:tc>
        <w:tc>
          <w:tcPr>
            <w:tcW w:w="2383" w:type="dxa"/>
          </w:tcPr>
          <w:p>
            <w:pPr>
              <w:spacing w:after="0" w:line="240" w:lineRule="auto"/>
            </w:pPr>
            <w:r>
              <w:t>Feature Engineered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5" w:type="dxa"/>
          </w:tcPr>
          <w:p>
            <w:pPr>
              <w:spacing w:after="0" w:line="240" w:lineRule="auto"/>
            </w:pPr>
            <w:r>
              <w:rPr>
                <w:rStyle w:val="3"/>
              </w:rPr>
              <w:t xml:space="preserve"> 'OF</w:t>
            </w:r>
            <w:r>
              <w:t>Price', 'OF</w:t>
            </w:r>
            <w:r>
              <w:rPr>
                <w:rStyle w:val="3"/>
              </w:rPr>
              <w:t>Open', 'OF</w:t>
            </w:r>
            <w:r>
              <w:t>High', 'OF</w:t>
            </w:r>
            <w:r>
              <w:rPr>
                <w:rStyle w:val="3"/>
              </w:rPr>
              <w:t>Low', 'OF</w:t>
            </w:r>
            <w:r>
              <w:t>Volume', 'OF</w:t>
            </w:r>
            <w:r>
              <w:rPr>
                <w:rStyle w:val="3"/>
              </w:rPr>
              <w:t>Trend'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t>A category of crude oil (Brent) price index</w:t>
            </w:r>
          </w:p>
        </w:tc>
        <w:tc>
          <w:tcPr>
            <w:tcW w:w="2341" w:type="dxa"/>
          </w:tcPr>
          <w:p>
            <w:pPr>
              <w:spacing w:after="0" w:line="240" w:lineRule="auto"/>
              <w:rPr>
                <w:rStyle w:val="3"/>
              </w:rPr>
            </w:pPr>
            <w:r>
              <w:rPr>
                <w:rStyle w:val="3"/>
              </w:rPr>
              <w:t>Brent Crude oil Futures</w:t>
            </w:r>
          </w:p>
        </w:tc>
        <w:tc>
          <w:tcPr>
            <w:tcW w:w="2383" w:type="dxa"/>
          </w:tcPr>
          <w:p>
            <w:pPr>
              <w:spacing w:after="0" w:line="240" w:lineRule="auto"/>
            </w:pPr>
            <w:r>
              <w:t>Feature Engineered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5" w:type="dxa"/>
          </w:tcPr>
          <w:p>
            <w:pPr>
              <w:spacing w:after="0" w:line="240" w:lineRule="auto"/>
              <w:rPr>
                <w:rStyle w:val="3"/>
              </w:rPr>
            </w:pPr>
            <w:r>
              <w:rPr>
                <w:rStyle w:val="3"/>
                <w:rFonts w:hint="default"/>
              </w:rPr>
              <w:t>‘</w:t>
            </w:r>
            <w:r>
              <w:rPr>
                <w:rStyle w:val="3"/>
              </w:rPr>
              <w:t>OS</w:t>
            </w:r>
            <w:r>
              <w:t>Price', 'OS</w:t>
            </w:r>
            <w:r>
              <w:rPr>
                <w:rStyle w:val="3"/>
              </w:rPr>
              <w:t>Open', 'OS</w:t>
            </w:r>
            <w:r>
              <w:t>High', 'OS</w:t>
            </w:r>
            <w:r>
              <w:rPr>
                <w:rStyle w:val="3"/>
              </w:rPr>
              <w:t>Low', 'OS</w:t>
            </w:r>
            <w:r>
              <w:t>Trend',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rPr>
                <w:rStyle w:val="3"/>
              </w:rPr>
              <w:t>Crude Oil International market price</w:t>
            </w:r>
            <w:r>
              <w:rPr>
                <w:rStyle w:val="3"/>
              </w:rPr>
              <w:t xml:space="preserve"> in US Dollars</w:t>
            </w:r>
          </w:p>
        </w:tc>
        <w:tc>
          <w:tcPr>
            <w:tcW w:w="2341" w:type="dxa"/>
          </w:tcPr>
          <w:p>
            <w:pPr>
              <w:spacing w:after="0" w:line="240" w:lineRule="auto"/>
              <w:rPr>
                <w:rStyle w:val="3"/>
              </w:rPr>
            </w:pPr>
            <w:r>
              <w:rPr>
                <w:rStyle w:val="3"/>
              </w:rPr>
              <w:t>Crude Oil WTI USD</w:t>
            </w:r>
          </w:p>
        </w:tc>
        <w:tc>
          <w:tcPr>
            <w:tcW w:w="2383" w:type="dxa"/>
          </w:tcPr>
          <w:p>
            <w:pPr>
              <w:spacing w:after="0" w:line="240" w:lineRule="auto"/>
            </w:pPr>
            <w:r>
              <w:t>Feature Engineered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5" w:type="dxa"/>
          </w:tcPr>
          <w:p>
            <w:pPr>
              <w:spacing w:after="0" w:line="240" w:lineRule="auto"/>
              <w:rPr>
                <w:rStyle w:val="3"/>
                <w:rFonts w:hint="default"/>
              </w:rPr>
            </w:pPr>
            <w:r>
              <w:t>'SF</w:t>
            </w:r>
            <w:r>
              <w:rPr>
                <w:rStyle w:val="3"/>
              </w:rPr>
              <w:t>Price', 'SF</w:t>
            </w:r>
            <w:r>
              <w:t>Open', 'SF</w:t>
            </w:r>
            <w:r>
              <w:rPr>
                <w:rStyle w:val="3"/>
              </w:rPr>
              <w:t>High', 'SF</w:t>
            </w:r>
            <w:r>
              <w:t>Low', 'SF</w:t>
            </w:r>
            <w:r>
              <w:rPr>
                <w:rStyle w:val="3"/>
              </w:rPr>
              <w:t>Volume', 'SF</w:t>
            </w:r>
            <w:r>
              <w:t xml:space="preserve">Trend' 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t>Silver Price</w:t>
            </w:r>
          </w:p>
        </w:tc>
        <w:tc>
          <w:tcPr>
            <w:tcW w:w="2341" w:type="dxa"/>
          </w:tcPr>
          <w:p>
            <w:pPr>
              <w:spacing w:after="0" w:line="240" w:lineRule="auto"/>
              <w:rPr>
                <w:rStyle w:val="3"/>
              </w:rPr>
            </w:pPr>
            <w:r>
              <w:t>Silver Futures</w:t>
            </w:r>
          </w:p>
        </w:tc>
        <w:tc>
          <w:tcPr>
            <w:tcW w:w="2383" w:type="dxa"/>
          </w:tcPr>
          <w:p>
            <w:pPr>
              <w:spacing w:after="0" w:line="240" w:lineRule="auto"/>
            </w:pPr>
            <w:r>
              <w:t>Feature Engineered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5" w:type="dxa"/>
          </w:tcPr>
          <w:p>
            <w:pPr>
              <w:spacing w:after="0" w:line="240" w:lineRule="auto"/>
            </w:pPr>
            <w:r>
              <w:t>'USB</w:t>
            </w:r>
            <w:r>
              <w:rPr>
                <w:rStyle w:val="3"/>
              </w:rPr>
              <w:t>Price', 'USB</w:t>
            </w:r>
            <w:r>
              <w:t>Open', 'USB</w:t>
            </w:r>
            <w:r>
              <w:rPr>
                <w:rStyle w:val="3"/>
              </w:rPr>
              <w:t>High','USB</w:t>
            </w:r>
            <w:r>
              <w:t>Low', 'USB</w:t>
            </w:r>
            <w:r>
              <w:rPr>
                <w:rStyle w:val="3"/>
              </w:rPr>
              <w:t>Trend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rPr>
                <w:rStyle w:val="3"/>
              </w:rPr>
              <w:t>US Bond Rate</w:t>
            </w:r>
          </w:p>
        </w:tc>
        <w:tc>
          <w:tcPr>
            <w:tcW w:w="2341" w:type="dxa"/>
          </w:tcPr>
          <w:p>
            <w:pPr>
              <w:spacing w:after="0" w:line="240" w:lineRule="auto"/>
            </w:pPr>
            <w:r>
              <w:rPr>
                <w:rStyle w:val="3"/>
              </w:rPr>
              <w:t>US Bond Rate data</w:t>
            </w:r>
          </w:p>
        </w:tc>
        <w:tc>
          <w:tcPr>
            <w:tcW w:w="2383" w:type="dxa"/>
          </w:tcPr>
          <w:p>
            <w:pPr>
              <w:spacing w:after="0" w:line="240" w:lineRule="auto"/>
            </w:pPr>
            <w:r>
              <w:t>Feature Engineered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5" w:type="dxa"/>
          </w:tcPr>
          <w:p>
            <w:pPr>
              <w:spacing w:after="0" w:line="240" w:lineRule="auto"/>
            </w:pPr>
            <w:r>
              <w:rPr>
                <w:rStyle w:val="3"/>
              </w:rPr>
              <w:t>'PLT</w:t>
            </w:r>
            <w:r>
              <w:t>Price', 'PLT</w:t>
            </w:r>
            <w:r>
              <w:rPr>
                <w:rStyle w:val="3"/>
              </w:rPr>
              <w:t>Open', 'PLT</w:t>
            </w:r>
            <w:r>
              <w:t>High', 'PLT</w:t>
            </w:r>
            <w:r>
              <w:rPr>
                <w:rStyle w:val="3"/>
              </w:rPr>
              <w:t>Low','PLT</w:t>
            </w:r>
            <w:r>
              <w:t>Trend'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Style w:val="3"/>
              </w:rPr>
            </w:pPr>
            <w:r>
              <w:t xml:space="preserve">Market price of </w:t>
            </w:r>
            <w:r>
              <w:t>Platinum</w:t>
            </w:r>
          </w:p>
        </w:tc>
        <w:tc>
          <w:tcPr>
            <w:tcW w:w="2341" w:type="dxa"/>
          </w:tcPr>
          <w:p>
            <w:pPr>
              <w:spacing w:after="0" w:line="240" w:lineRule="auto"/>
              <w:rPr>
                <w:rStyle w:val="3"/>
              </w:rPr>
            </w:pPr>
            <w:r>
              <w:t>Platinum</w:t>
            </w:r>
          </w:p>
        </w:tc>
        <w:tc>
          <w:tcPr>
            <w:tcW w:w="2383" w:type="dxa"/>
          </w:tcPr>
          <w:p>
            <w:pPr>
              <w:spacing w:after="0" w:line="240" w:lineRule="auto"/>
            </w:pPr>
            <w:r>
              <w:t>Feature Engineered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5" w:type="dxa"/>
          </w:tcPr>
          <w:p>
            <w:pPr>
              <w:spacing w:after="0" w:line="240" w:lineRule="auto"/>
              <w:rPr>
                <w:rStyle w:val="3"/>
              </w:rPr>
            </w:pPr>
            <w:r>
              <w:t>'PLD</w:t>
            </w:r>
            <w:r>
              <w:rPr>
                <w:rStyle w:val="3"/>
              </w:rPr>
              <w:t>Price', 'PLD</w:t>
            </w:r>
            <w:r>
              <w:t>Open', 'PLD</w:t>
            </w:r>
            <w:r>
              <w:rPr>
                <w:rStyle w:val="3"/>
              </w:rPr>
              <w:t>High', 'PLD</w:t>
            </w:r>
            <w:r>
              <w:t>Low','PLD</w:t>
            </w:r>
            <w:r>
              <w:rPr>
                <w:rStyle w:val="3"/>
              </w:rPr>
              <w:t xml:space="preserve">Trend' 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rPr>
                <w:rStyle w:val="3"/>
              </w:rPr>
              <w:t xml:space="preserve">Market price of </w:t>
            </w:r>
            <w:r>
              <w:rPr>
                <w:rStyle w:val="3"/>
              </w:rPr>
              <w:t xml:space="preserve">Palladium </w:t>
            </w:r>
          </w:p>
        </w:tc>
        <w:tc>
          <w:tcPr>
            <w:tcW w:w="2341" w:type="dxa"/>
          </w:tcPr>
          <w:p>
            <w:pPr>
              <w:spacing w:after="0" w:line="240" w:lineRule="auto"/>
            </w:pPr>
            <w:r>
              <w:rPr>
                <w:rStyle w:val="3"/>
              </w:rPr>
              <w:t>Palladium</w:t>
            </w:r>
          </w:p>
        </w:tc>
        <w:tc>
          <w:tcPr>
            <w:tcW w:w="2383" w:type="dxa"/>
          </w:tcPr>
          <w:p>
            <w:pPr>
              <w:spacing w:after="0" w:line="240" w:lineRule="auto"/>
            </w:pPr>
            <w:r>
              <w:t>Feature Engineered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5" w:type="dxa"/>
          </w:tcPr>
          <w:p>
            <w:pPr>
              <w:spacing w:after="0" w:line="240" w:lineRule="auto"/>
            </w:pPr>
            <w:r>
              <w:t>'USDI</w:t>
            </w:r>
            <w:r>
              <w:rPr>
                <w:rStyle w:val="3"/>
              </w:rPr>
              <w:t>Price', 'USDI</w:t>
            </w:r>
            <w:r>
              <w:t>Open', 'USDI</w:t>
            </w:r>
            <w:r>
              <w:rPr>
                <w:rStyle w:val="3"/>
              </w:rPr>
              <w:t>High','USDI</w:t>
            </w:r>
            <w:r>
              <w:t>Low', 'USDI</w:t>
            </w:r>
            <w:r>
              <w:rPr>
                <w:rStyle w:val="3"/>
              </w:rPr>
              <w:t>Volume', 'USDI</w:t>
            </w:r>
            <w:r>
              <w:t>Trend'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Style w:val="3"/>
              </w:rPr>
            </w:pPr>
            <w:r>
              <w:t>US dollar Index Price</w:t>
            </w:r>
          </w:p>
        </w:tc>
        <w:tc>
          <w:tcPr>
            <w:tcW w:w="2341" w:type="dxa"/>
          </w:tcPr>
          <w:p>
            <w:pPr>
              <w:spacing w:after="0" w:line="240" w:lineRule="auto"/>
              <w:rPr>
                <w:rStyle w:val="3"/>
              </w:rPr>
            </w:pPr>
            <w:r>
              <w:t>US dollar</w:t>
            </w:r>
          </w:p>
        </w:tc>
        <w:tc>
          <w:tcPr>
            <w:tcW w:w="2383" w:type="dxa"/>
          </w:tcPr>
          <w:p>
            <w:pPr>
              <w:spacing w:after="0" w:line="240" w:lineRule="auto"/>
            </w:pPr>
            <w:r>
              <w:t>Feature Engineered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i w:val="0"/>
                <w:iCs w:val="0"/>
              </w:rPr>
            </w:pPr>
            <w:r>
              <w:rPr>
                <w:rStyle w:val="3"/>
                <w:rFonts w:asciiTheme="minorAscii"/>
                <w:i w:val="0"/>
                <w:iCs w:val="0"/>
              </w:rPr>
              <w:t>'RHO</w:t>
            </w:r>
            <w:r>
              <w:rPr>
                <w:rStyle w:val="3"/>
                <w:rFonts w:asciiTheme="minorAscii"/>
                <w:i w:val="0"/>
                <w:iCs w:val="0"/>
              </w:rPr>
              <w:t>_</w:t>
            </w:r>
            <w:r>
              <w:rPr>
                <w:rFonts w:asciiTheme="minorAscii"/>
                <w:i w:val="0"/>
                <w:iCs w:val="0"/>
              </w:rPr>
              <w:t xml:space="preserve">PRICE' </w:t>
            </w:r>
          </w:p>
          <w:p>
            <w:pPr>
              <w:spacing w:after="0" w:line="240" w:lineRule="auto"/>
            </w:pP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t xml:space="preserve">Rhodium prices on </w:t>
            </w:r>
            <w:bookmarkStart w:id="0" w:name="_GoBack"/>
            <w:bookmarkEnd w:id="0"/>
            <w:r>
              <w:t>daily bases</w:t>
            </w:r>
          </w:p>
        </w:tc>
        <w:tc>
          <w:tcPr>
            <w:tcW w:w="2341" w:type="dxa"/>
          </w:tcPr>
          <w:p>
            <w:pPr>
              <w:spacing w:after="0" w:line="240" w:lineRule="auto"/>
            </w:pPr>
            <w:r>
              <w:t xml:space="preserve">Rhodium </w:t>
            </w:r>
          </w:p>
        </w:tc>
        <w:tc>
          <w:tcPr>
            <w:tcW w:w="2383" w:type="dxa"/>
          </w:tcPr>
          <w:p>
            <w:pPr>
              <w:spacing w:after="0" w:line="240" w:lineRule="auto"/>
            </w:pPr>
            <w:r>
              <w:t>Feature Engineered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5" w:type="dxa"/>
          </w:tcPr>
          <w:p>
            <w:pPr>
              <w:spacing w:after="0" w:line="240" w:lineRule="auto"/>
            </w:pPr>
            <w:r>
              <w:t>'GDX</w:t>
            </w:r>
            <w:r>
              <w:rPr>
                <w:rStyle w:val="3"/>
              </w:rPr>
              <w:t>Open', 'GDX</w:t>
            </w:r>
            <w:r>
              <w:t>High', 'GDX</w:t>
            </w:r>
            <w:r>
              <w:rPr>
                <w:rStyle w:val="3"/>
              </w:rPr>
              <w:t>Low', 'GDX</w:t>
            </w:r>
            <w:r>
              <w:t>Close', 'GDX</w:t>
            </w:r>
            <w:r>
              <w:rPr>
                <w:rStyle w:val="3"/>
              </w:rPr>
              <w:t>Adj Close', 'GDX</w:t>
            </w:r>
            <w:r>
              <w:t xml:space="preserve">Volume' 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t>Gold Miners ETF</w:t>
            </w:r>
            <w:r>
              <w:t xml:space="preserve"> (Exchange-Traded Fund) Price Index</w:t>
            </w:r>
          </w:p>
        </w:tc>
        <w:tc>
          <w:tcPr>
            <w:tcW w:w="2341" w:type="dxa"/>
          </w:tcPr>
          <w:p>
            <w:pPr>
              <w:spacing w:after="0" w:line="240" w:lineRule="auto"/>
            </w:pPr>
            <w:r>
              <w:t>Gold Miners ETF</w:t>
            </w:r>
          </w:p>
        </w:tc>
        <w:tc>
          <w:tcPr>
            <w:tcW w:w="2383" w:type="dxa"/>
          </w:tcPr>
          <w:p>
            <w:pPr>
              <w:spacing w:after="0" w:line="240" w:lineRule="auto"/>
            </w:pPr>
            <w:r>
              <w:t>Feature Engineered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5" w:type="dxa"/>
          </w:tcPr>
          <w:p>
            <w:pPr>
              <w:spacing w:after="0" w:line="240" w:lineRule="auto"/>
            </w:pPr>
            <w:r>
              <w:t>'USO</w:t>
            </w:r>
            <w:r>
              <w:rPr>
                <w:rStyle w:val="3"/>
              </w:rPr>
              <w:t>Open','USO</w:t>
            </w:r>
            <w:r>
              <w:t>High', 'USO</w:t>
            </w:r>
            <w:r>
              <w:rPr>
                <w:rStyle w:val="3"/>
              </w:rPr>
              <w:t>Low', 'USO</w:t>
            </w:r>
            <w:r>
              <w:t>Close', 'USO</w:t>
            </w:r>
            <w:r>
              <w:rPr>
                <w:rStyle w:val="3"/>
              </w:rPr>
              <w:t>Adj Close', 'USO</w:t>
            </w:r>
            <w:r>
              <w:t xml:space="preserve">Volume'  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t>Oil Exchange Traded Fund (ETF)</w:t>
            </w:r>
          </w:p>
        </w:tc>
        <w:tc>
          <w:tcPr>
            <w:tcW w:w="23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0"/>
                <w:szCs w:val="20"/>
              </w:rPr>
            </w:pPr>
            <w:r>
              <w:rPr>
                <w:rFonts w:hAnsi="Helvetica Neue" w:eastAsia="Helvetica Neue" w:cs="Helvetica Neue" w:asciiTheme="minorAsci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Oil ETF USO</w:t>
            </w:r>
          </w:p>
          <w:p>
            <w:pPr>
              <w:spacing w:after="0" w:line="240" w:lineRule="auto"/>
            </w:pPr>
          </w:p>
        </w:tc>
        <w:tc>
          <w:tcPr>
            <w:tcW w:w="2383" w:type="dxa"/>
          </w:tcPr>
          <w:p>
            <w:pPr>
              <w:spacing w:after="0" w:line="240" w:lineRule="auto"/>
            </w:pPr>
            <w:r>
              <w:t>Feature Engineered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Helvetica Neue Regular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604"/>
    <w:rsid w:val="00533604"/>
    <w:rsid w:val="007A0F47"/>
    <w:rsid w:val="009253D4"/>
    <w:rsid w:val="009257F6"/>
    <w:rsid w:val="00B67A07"/>
    <w:rsid w:val="00C011F6"/>
    <w:rsid w:val="00CF6258"/>
    <w:rsid w:val="7FFFA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20"/>
    <w:rPr>
      <w:i/>
      <w:iCs/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246</Words>
  <Characters>1405</Characters>
  <Lines>11</Lines>
  <Paragraphs>3</Paragraphs>
  <TotalTime>0</TotalTime>
  <ScaleCrop>false</ScaleCrop>
  <LinksUpToDate>false</LinksUpToDate>
  <CharactersWithSpaces>1648</CharactersWithSpaces>
  <Application>WPS Office_3.1.1.5096_F1E327BC-269C-435d-A152-05C5408002CA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2022-02-05T23:53:00Z</dcterms:created>
  <dc:creator>lilian ugwu</dc:creator>
  <cp:lastModifiedBy>mac</cp:lastModifiedBy>
  <dcterms:modified xsi:type="dcterms:W3CDTF">2022-02-08T12:08:24Z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1033-3.1.1.5096</vt:lpwstr>
  </property>
</Properties>
</file>