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0000"/>
          <w:sz w:val="44"/>
        </w:rPr>
        <w:t>Bank Digital Twin Architecture &amp; Technical Reference Guide</w:t>
      </w:r>
    </w:p>
    <w:p>
      <w:pPr>
        <w:spacing w:before="0" w:after="200"/>
      </w:pPr>
      <w:r>
        <w:rPr>
          <w:rFonts w:ascii="Arial" w:hAnsi="Arial"/>
          <w:i/>
          <w:color w:val="505050"/>
          <w:sz w:val="22"/>
        </w:rPr>
        <w:t>Enterprise Financial Solvency Simulation, Credit Scoring, Fraud Interception &amp; Regulatory Compliance Engine</w:t>
      </w:r>
    </w:p>
    <w:p>
      <w:pPr>
        <w:keepNext/>
        <w:spacing w:before="280" w:after="80"/>
      </w:pPr>
      <w:r>
        <w:rPr>
          <w:rFonts w:ascii="Arial" w:hAnsi="Arial"/>
          <w:b/>
          <w:color w:val="000000"/>
          <w:sz w:val="32"/>
        </w:rPr>
        <w:t>1. Executive Overview &amp; Plain-English Purpose</w:t>
      </w:r>
    </w:p>
    <w:p>
      <w:pPr>
        <w:spacing w:before="0" w:after="80" w:line="276" w:lineRule="auto"/>
      </w:pPr>
      <w:r>
        <w:rPr>
          <w:rFonts w:ascii="Arial" w:hAnsi="Arial"/>
          <w:color w:val="232323"/>
          <w:sz w:val="20"/>
        </w:rPr>
        <w:t>The Bank Digital Twin is a software replica of a commercial bank. In manufacturing or aerospace, digital twins simulate jet engines or factories to detect stress before physical parts break. Similarly, the Bank Digital Twin simulates thousands of synthetic customers, deposit accounts, retail and commercial loans, and transaction streams to stress-test bank solvency without placing actual financial capital at risk.</w:t>
      </w:r>
    </w:p>
    <w:p>
      <w:pPr>
        <w:spacing w:before="0" w:after="80" w:line="276" w:lineRule="auto"/>
      </w:pPr>
      <w:r>
        <w:rPr>
          <w:rFonts w:ascii="Arial" w:hAnsi="Arial"/>
          <w:color w:val="232323"/>
          <w:sz w:val="20"/>
        </w:rPr>
        <w:t>Commercial banks must maintain cash and capital reserves to withstand severe economic crises (such as recessions, real estate crashes, or sharp interest rate hikes). This system enables bank executives, Chief Risk Officers (CROs), and examiners to simulate severe market shocks in seconds, predict future financial metric trajectories, score borrower default risk using explainable artificial intelligence, intercept fraudulent money transfers, and enforce global regulatory compliance (Basel III/IV and RBI standards).</w:t>
      </w:r>
    </w:p>
    <w:p>
      <w:pPr>
        <w:keepNext/>
        <w:spacing w:before="280" w:after="80"/>
      </w:pPr>
      <w:r>
        <w:rPr>
          <w:rFonts w:ascii="Arial" w:hAnsi="Arial"/>
          <w:b/>
          <w:color w:val="000000"/>
          <w:sz w:val="32"/>
        </w:rPr>
        <w:t>2. Technology Stack &amp; Strategic Rationale</w:t>
      </w:r>
    </w:p>
    <w:p>
      <w:pPr>
        <w:spacing w:before="0" w:after="80" w:line="276" w:lineRule="auto"/>
      </w:pPr>
      <w:r>
        <w:rPr>
          <w:rFonts w:ascii="Arial" w:hAnsi="Arial"/>
          <w:color w:val="232323"/>
          <w:sz w:val="20"/>
        </w:rPr>
        <w:t>The technical stack is specifically selected to deliver real-time mathematical calculations (&lt;50ms response times) alongside high-density financial data visualizations: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2628"/>
        <w:gridCol w:w="2628"/>
        <w:gridCol w:w="2628"/>
        <w:gridCol w:w="2628"/>
      </w:tblGrid>
      <w:tr>
        <w:tc>
          <w:tcPr>
            <w:tcW w:type="dxa" w:w="1728"/>
            <w:shd w:val="clear" w:color="auto" w:fill="E5E7EB"/>
            <w:tcMar>
              <w:top w:w="70" w:type="dxa"/>
              <w:bottom w:w="70" w:type="dxa"/>
              <w:left w:w="90" w:type="dxa"/>
              <w:right w:w="90" w:type="dxa"/>
            </w:tcMar>
          </w:tcPr>
          <w:p>
            <w:r>
              <w:rPr>
                <w:rFonts w:ascii="Arial" w:hAnsi="Arial"/>
                <w:b/>
                <w:sz w:val="18"/>
              </w:rPr>
              <w:t>Layer / Domain</w:t>
            </w:r>
          </w:p>
        </w:tc>
        <w:tc>
          <w:tcPr>
            <w:tcW w:type="dxa" w:w="1872"/>
            <w:shd w:val="clear" w:color="auto" w:fill="E5E7EB"/>
            <w:tcMar>
              <w:top w:w="70" w:type="dxa"/>
              <w:bottom w:w="70" w:type="dxa"/>
              <w:left w:w="90" w:type="dxa"/>
              <w:right w:w="90" w:type="dxa"/>
            </w:tcMar>
          </w:tcPr>
          <w:p>
            <w:r>
              <w:rPr>
                <w:rFonts w:ascii="Arial" w:hAnsi="Arial"/>
                <w:b/>
                <w:sz w:val="18"/>
              </w:rPr>
              <w:t>Technology Choice</w:t>
            </w:r>
          </w:p>
        </w:tc>
        <w:tc>
          <w:tcPr>
            <w:tcW w:type="dxa" w:w="3168"/>
            <w:shd w:val="clear" w:color="auto" w:fill="E5E7EB"/>
            <w:tcMar>
              <w:top w:w="70" w:type="dxa"/>
              <w:bottom w:w="70" w:type="dxa"/>
              <w:left w:w="90" w:type="dxa"/>
              <w:right w:w="90" w:type="dxa"/>
            </w:tcMar>
          </w:tcPr>
          <w:p>
            <w:r>
              <w:rPr>
                <w:rFonts w:ascii="Arial" w:hAnsi="Arial"/>
                <w:b/>
                <w:sz w:val="18"/>
              </w:rPr>
              <w:t>Specific Function</w:t>
            </w:r>
          </w:p>
        </w:tc>
        <w:tc>
          <w:tcPr>
            <w:tcW w:type="dxa" w:w="3600"/>
            <w:shd w:val="clear" w:color="auto" w:fill="E5E7EB"/>
            <w:tcMar>
              <w:top w:w="70" w:type="dxa"/>
              <w:bottom w:w="70" w:type="dxa"/>
              <w:left w:w="90" w:type="dxa"/>
              <w:right w:w="90" w:type="dxa"/>
            </w:tcMar>
          </w:tcPr>
          <w:p>
            <w:r>
              <w:rPr>
                <w:rFonts w:ascii="Arial" w:hAnsi="Arial"/>
                <w:b/>
                <w:sz w:val="18"/>
              </w:rPr>
              <w:t>Plain-English Rationale</w:t>
            </w:r>
          </w:p>
        </w:tc>
      </w:tr>
      <w:tr>
        <w:tc>
          <w:tcPr>
            <w:tcW w:type="dxa" w:w="1728"/>
            <w:shd w:val="clear" w:color="auto" w:fill="FFFFFF"/>
            <w:tcMar>
              <w:top w:w="50" w:type="dxa"/>
              <w:bottom w:w="50" w:type="dxa"/>
              <w:left w:w="90" w:type="dxa"/>
              <w:right w:w="90" w:type="dxa"/>
            </w:tcMar>
          </w:tcPr>
          <w:p>
            <w:r>
              <w:rPr>
                <w:rFonts w:ascii="Arial" w:hAnsi="Arial"/>
                <w:b/>
                <w:sz w:val="17"/>
              </w:rPr>
              <w:t>Frontend UI</w:t>
            </w:r>
          </w:p>
        </w:tc>
        <w:tc>
          <w:tcPr>
            <w:tcW w:type="dxa" w:w="1872"/>
            <w:shd w:val="clear" w:color="auto" w:fill="FFFFFF"/>
            <w:tcMar>
              <w:top w:w="50" w:type="dxa"/>
              <w:bottom w:w="50" w:type="dxa"/>
              <w:left w:w="90" w:type="dxa"/>
              <w:right w:w="90" w:type="dxa"/>
            </w:tcMar>
          </w:tcPr>
          <w:p>
            <w:r>
              <w:rPr>
                <w:rFonts w:ascii="Arial" w:hAnsi="Arial"/>
                <w:sz w:val="17"/>
              </w:rPr>
              <w:t>Next.js 16 (React 19)</w:t>
            </w:r>
          </w:p>
        </w:tc>
        <w:tc>
          <w:tcPr>
            <w:tcW w:type="dxa" w:w="3168"/>
            <w:shd w:val="clear" w:color="auto" w:fill="FFFFFF"/>
            <w:tcMar>
              <w:top w:w="50" w:type="dxa"/>
              <w:bottom w:w="50" w:type="dxa"/>
              <w:left w:w="90" w:type="dxa"/>
              <w:right w:w="90" w:type="dxa"/>
            </w:tcMar>
          </w:tcPr>
          <w:p>
            <w:r>
              <w:rPr>
                <w:rFonts w:ascii="Arial" w:hAnsi="Arial"/>
                <w:sz w:val="17"/>
              </w:rPr>
              <w:t>Dashboard pages &amp; state management</w:t>
            </w:r>
          </w:p>
        </w:tc>
        <w:tc>
          <w:tcPr>
            <w:tcW w:type="dxa" w:w="3600"/>
            <w:shd w:val="clear" w:color="auto" w:fill="FFFFFF"/>
            <w:tcMar>
              <w:top w:w="50" w:type="dxa"/>
              <w:bottom w:w="50" w:type="dxa"/>
              <w:left w:w="90" w:type="dxa"/>
              <w:right w:w="90" w:type="dxa"/>
            </w:tcMar>
          </w:tcPr>
          <w:p>
            <w:r>
              <w:rPr>
                <w:rFonts w:ascii="Arial" w:hAnsi="Arial"/>
                <w:sz w:val="17"/>
              </w:rPr>
              <w:t>Provides fast server rendering, instant tab navigation, and interactive web layouts.</w:t>
            </w:r>
          </w:p>
        </w:tc>
      </w:tr>
      <w:tr>
        <w:tc>
          <w:tcPr>
            <w:tcW w:type="dxa" w:w="1728"/>
            <w:shd w:val="clear" w:color="auto" w:fill="FAFAFA"/>
            <w:tcMar>
              <w:top w:w="50" w:type="dxa"/>
              <w:bottom w:w="50" w:type="dxa"/>
              <w:left w:w="90" w:type="dxa"/>
              <w:right w:w="90" w:type="dxa"/>
            </w:tcMar>
          </w:tcPr>
          <w:p>
            <w:r>
              <w:rPr>
                <w:rFonts w:ascii="Arial" w:hAnsi="Arial"/>
                <w:b/>
                <w:sz w:val="17"/>
              </w:rPr>
              <w:t>Styling &amp; Design</w:t>
            </w:r>
          </w:p>
        </w:tc>
        <w:tc>
          <w:tcPr>
            <w:tcW w:type="dxa" w:w="1872"/>
            <w:shd w:val="clear" w:color="auto" w:fill="FAFAFA"/>
            <w:tcMar>
              <w:top w:w="50" w:type="dxa"/>
              <w:bottom w:w="50" w:type="dxa"/>
              <w:left w:w="90" w:type="dxa"/>
              <w:right w:w="90" w:type="dxa"/>
            </w:tcMar>
          </w:tcPr>
          <w:p>
            <w:r>
              <w:rPr>
                <w:rFonts w:ascii="Arial" w:hAnsi="Arial"/>
                <w:sz w:val="17"/>
              </w:rPr>
              <w:t>Tailwind CSS</w:t>
            </w:r>
          </w:p>
        </w:tc>
        <w:tc>
          <w:tcPr>
            <w:tcW w:type="dxa" w:w="3168"/>
            <w:shd w:val="clear" w:color="auto" w:fill="FAFAFA"/>
            <w:tcMar>
              <w:top w:w="50" w:type="dxa"/>
              <w:bottom w:w="50" w:type="dxa"/>
              <w:left w:w="90" w:type="dxa"/>
              <w:right w:w="90" w:type="dxa"/>
            </w:tcMar>
          </w:tcPr>
          <w:p>
            <w:r>
              <w:rPr>
                <w:rFonts w:ascii="Arial" w:hAnsi="Arial"/>
                <w:sz w:val="17"/>
              </w:rPr>
              <w:t>Glassmorphic dark design system</w:t>
            </w:r>
          </w:p>
        </w:tc>
        <w:tc>
          <w:tcPr>
            <w:tcW w:type="dxa" w:w="3600"/>
            <w:shd w:val="clear" w:color="auto" w:fill="FAFAFA"/>
            <w:tcMar>
              <w:top w:w="50" w:type="dxa"/>
              <w:bottom w:w="50" w:type="dxa"/>
              <w:left w:w="90" w:type="dxa"/>
              <w:right w:w="90" w:type="dxa"/>
            </w:tcMar>
          </w:tcPr>
          <w:p>
            <w:r>
              <w:rPr>
                <w:rFonts w:ascii="Arial" w:hAnsi="Arial"/>
                <w:sz w:val="17"/>
              </w:rPr>
              <w:t>Creates a high-density, executive-grade financial UI with dark mode components.</w:t>
            </w:r>
          </w:p>
        </w:tc>
      </w:tr>
      <w:tr>
        <w:tc>
          <w:tcPr>
            <w:tcW w:type="dxa" w:w="1728"/>
            <w:shd w:val="clear" w:color="auto" w:fill="FFFFFF"/>
            <w:tcMar>
              <w:top w:w="50" w:type="dxa"/>
              <w:bottom w:w="50" w:type="dxa"/>
              <w:left w:w="90" w:type="dxa"/>
              <w:right w:w="90" w:type="dxa"/>
            </w:tcMar>
          </w:tcPr>
          <w:p>
            <w:r>
              <w:rPr>
                <w:rFonts w:ascii="Arial" w:hAnsi="Arial"/>
                <w:b/>
                <w:sz w:val="17"/>
              </w:rPr>
              <w:t>Backend Framework</w:t>
            </w:r>
          </w:p>
        </w:tc>
        <w:tc>
          <w:tcPr>
            <w:tcW w:type="dxa" w:w="1872"/>
            <w:shd w:val="clear" w:color="auto" w:fill="FFFFFF"/>
            <w:tcMar>
              <w:top w:w="50" w:type="dxa"/>
              <w:bottom w:w="50" w:type="dxa"/>
              <w:left w:w="90" w:type="dxa"/>
              <w:right w:w="90" w:type="dxa"/>
            </w:tcMar>
          </w:tcPr>
          <w:p>
            <w:r>
              <w:rPr>
                <w:rFonts w:ascii="Arial" w:hAnsi="Arial"/>
                <w:sz w:val="17"/>
              </w:rPr>
              <w:t>FastAPI (Python 3.11)</w:t>
            </w:r>
          </w:p>
        </w:tc>
        <w:tc>
          <w:tcPr>
            <w:tcW w:type="dxa" w:w="3168"/>
            <w:shd w:val="clear" w:color="auto" w:fill="FFFFFF"/>
            <w:tcMar>
              <w:top w:w="50" w:type="dxa"/>
              <w:bottom w:w="50" w:type="dxa"/>
              <w:left w:w="90" w:type="dxa"/>
              <w:right w:w="90" w:type="dxa"/>
            </w:tcMar>
          </w:tcPr>
          <w:p>
            <w:r>
              <w:rPr>
                <w:rFonts w:ascii="Arial" w:hAnsi="Arial"/>
                <w:sz w:val="17"/>
              </w:rPr>
              <w:t>Asynchronous REST API endpoints</w:t>
            </w:r>
          </w:p>
        </w:tc>
        <w:tc>
          <w:tcPr>
            <w:tcW w:type="dxa" w:w="3600"/>
            <w:shd w:val="clear" w:color="auto" w:fill="FFFFFF"/>
            <w:tcMar>
              <w:top w:w="50" w:type="dxa"/>
              <w:bottom w:w="50" w:type="dxa"/>
              <w:left w:w="90" w:type="dxa"/>
              <w:right w:w="90" w:type="dxa"/>
            </w:tcMar>
          </w:tcPr>
          <w:p>
            <w:r>
              <w:rPr>
                <w:rFonts w:ascii="Arial" w:hAnsi="Arial"/>
                <w:sz w:val="17"/>
              </w:rPr>
              <w:t>Asynchronous Python web framework providing rapid performance and automatic API docs.</w:t>
            </w:r>
          </w:p>
        </w:tc>
      </w:tr>
      <w:tr>
        <w:tc>
          <w:tcPr>
            <w:tcW w:type="dxa" w:w="1728"/>
            <w:shd w:val="clear" w:color="auto" w:fill="FAFAFA"/>
            <w:tcMar>
              <w:top w:w="50" w:type="dxa"/>
              <w:bottom w:w="50" w:type="dxa"/>
              <w:left w:w="90" w:type="dxa"/>
              <w:right w:w="90" w:type="dxa"/>
            </w:tcMar>
          </w:tcPr>
          <w:p>
            <w:r>
              <w:rPr>
                <w:rFonts w:ascii="Arial" w:hAnsi="Arial"/>
                <w:b/>
                <w:sz w:val="17"/>
              </w:rPr>
              <w:t>Quant Math Engine</w:t>
            </w:r>
          </w:p>
        </w:tc>
        <w:tc>
          <w:tcPr>
            <w:tcW w:type="dxa" w:w="1872"/>
            <w:shd w:val="clear" w:color="auto" w:fill="FAFAFA"/>
            <w:tcMar>
              <w:top w:w="50" w:type="dxa"/>
              <w:bottom w:w="50" w:type="dxa"/>
              <w:left w:w="90" w:type="dxa"/>
              <w:right w:w="90" w:type="dxa"/>
            </w:tcMar>
          </w:tcPr>
          <w:p>
            <w:r>
              <w:rPr>
                <w:rFonts w:ascii="Arial" w:hAnsi="Arial"/>
                <w:sz w:val="17"/>
              </w:rPr>
              <w:t>NumPy 2.3 &amp; SciPy 1.17</w:t>
            </w:r>
          </w:p>
        </w:tc>
        <w:tc>
          <w:tcPr>
            <w:tcW w:type="dxa" w:w="3168"/>
            <w:shd w:val="clear" w:color="auto" w:fill="FAFAFA"/>
            <w:tcMar>
              <w:top w:w="50" w:type="dxa"/>
              <w:bottom w:w="50" w:type="dxa"/>
              <w:left w:w="90" w:type="dxa"/>
              <w:right w:w="90" w:type="dxa"/>
            </w:tcMar>
          </w:tcPr>
          <w:p>
            <w:r>
              <w:rPr>
                <w:rFonts w:ascii="Arial" w:hAnsi="Arial"/>
                <w:sz w:val="17"/>
              </w:rPr>
              <w:t>Vectorized Vasicek &amp; Monte Carlo math</w:t>
            </w:r>
          </w:p>
        </w:tc>
        <w:tc>
          <w:tcPr>
            <w:tcW w:type="dxa" w:w="3600"/>
            <w:shd w:val="clear" w:color="auto" w:fill="FAFAFA"/>
            <w:tcMar>
              <w:top w:w="50" w:type="dxa"/>
              <w:bottom w:w="50" w:type="dxa"/>
              <w:left w:w="90" w:type="dxa"/>
              <w:right w:w="90" w:type="dxa"/>
            </w:tcMar>
          </w:tcPr>
          <w:p>
            <w:r>
              <w:rPr>
                <w:rFonts w:ascii="Arial" w:hAnsi="Arial"/>
                <w:sz w:val="17"/>
              </w:rPr>
              <w:t>Executes 10,000 multi-year simulation paths across thousands of loans in under 500ms.</w:t>
            </w:r>
          </w:p>
        </w:tc>
      </w:tr>
      <w:tr>
        <w:tc>
          <w:tcPr>
            <w:tcW w:type="dxa" w:w="1728"/>
            <w:shd w:val="clear" w:color="auto" w:fill="FFFFFF"/>
            <w:tcMar>
              <w:top w:w="50" w:type="dxa"/>
              <w:bottom w:w="50" w:type="dxa"/>
              <w:left w:w="90" w:type="dxa"/>
              <w:right w:w="90" w:type="dxa"/>
            </w:tcMar>
          </w:tcPr>
          <w:p>
            <w:r>
              <w:rPr>
                <w:rFonts w:ascii="Arial" w:hAnsi="Arial"/>
                <w:b/>
                <w:sz w:val="17"/>
              </w:rPr>
              <w:t>Credit Risk ML</w:t>
            </w:r>
          </w:p>
        </w:tc>
        <w:tc>
          <w:tcPr>
            <w:tcW w:type="dxa" w:w="1872"/>
            <w:shd w:val="clear" w:color="auto" w:fill="FFFFFF"/>
            <w:tcMar>
              <w:top w:w="50" w:type="dxa"/>
              <w:bottom w:w="50" w:type="dxa"/>
              <w:left w:w="90" w:type="dxa"/>
              <w:right w:w="90" w:type="dxa"/>
            </w:tcMar>
          </w:tcPr>
          <w:p>
            <w:r>
              <w:rPr>
                <w:rFonts w:ascii="Arial" w:hAnsi="Arial"/>
                <w:sz w:val="17"/>
              </w:rPr>
              <w:t>Scikit-Learn &amp; SHAP</w:t>
            </w:r>
          </w:p>
        </w:tc>
        <w:tc>
          <w:tcPr>
            <w:tcW w:type="dxa" w:w="3168"/>
            <w:shd w:val="clear" w:color="auto" w:fill="FFFFFF"/>
            <w:tcMar>
              <w:top w:w="50" w:type="dxa"/>
              <w:bottom w:w="50" w:type="dxa"/>
              <w:left w:w="90" w:type="dxa"/>
              <w:right w:w="90" w:type="dxa"/>
            </w:tcMar>
          </w:tcPr>
          <w:p>
            <w:r>
              <w:rPr>
                <w:rFonts w:ascii="Arial" w:hAnsi="Arial"/>
                <w:sz w:val="17"/>
              </w:rPr>
              <w:t>Random Forest scoring &amp; feature weights</w:t>
            </w:r>
          </w:p>
        </w:tc>
        <w:tc>
          <w:tcPr>
            <w:tcW w:type="dxa" w:w="3600"/>
            <w:shd w:val="clear" w:color="auto" w:fill="FFFFFF"/>
            <w:tcMar>
              <w:top w:w="50" w:type="dxa"/>
              <w:bottom w:w="50" w:type="dxa"/>
              <w:left w:w="90" w:type="dxa"/>
              <w:right w:w="90" w:type="dxa"/>
            </w:tcMar>
          </w:tcPr>
          <w:p>
            <w:r>
              <w:rPr>
                <w:rFonts w:ascii="Arial" w:hAnsi="Arial"/>
                <w:sz w:val="17"/>
              </w:rPr>
              <w:t>Predicts loan default probabilities and provides explainable reasons for underwriting.</w:t>
            </w:r>
          </w:p>
        </w:tc>
      </w:tr>
      <w:tr>
        <w:tc>
          <w:tcPr>
            <w:tcW w:type="dxa" w:w="1728"/>
            <w:shd w:val="clear" w:color="auto" w:fill="FAFAFA"/>
            <w:tcMar>
              <w:top w:w="50" w:type="dxa"/>
              <w:bottom w:w="50" w:type="dxa"/>
              <w:left w:w="90" w:type="dxa"/>
              <w:right w:w="90" w:type="dxa"/>
            </w:tcMar>
          </w:tcPr>
          <w:p>
            <w:r>
              <w:rPr>
                <w:rFonts w:ascii="Arial" w:hAnsi="Arial"/>
                <w:b/>
                <w:sz w:val="17"/>
              </w:rPr>
              <w:t>Fraud Anomaly ML</w:t>
            </w:r>
          </w:p>
        </w:tc>
        <w:tc>
          <w:tcPr>
            <w:tcW w:type="dxa" w:w="1872"/>
            <w:shd w:val="clear" w:color="auto" w:fill="FAFAFA"/>
            <w:tcMar>
              <w:top w:w="50" w:type="dxa"/>
              <w:bottom w:w="50" w:type="dxa"/>
              <w:left w:w="90" w:type="dxa"/>
              <w:right w:w="90" w:type="dxa"/>
            </w:tcMar>
          </w:tcPr>
          <w:p>
            <w:r>
              <w:rPr>
                <w:rFonts w:ascii="Arial" w:hAnsi="Arial"/>
                <w:sz w:val="17"/>
              </w:rPr>
              <w:t>IsolationForest &amp; Rules</w:t>
            </w:r>
          </w:p>
        </w:tc>
        <w:tc>
          <w:tcPr>
            <w:tcW w:type="dxa" w:w="3168"/>
            <w:shd w:val="clear" w:color="auto" w:fill="FAFAFA"/>
            <w:tcMar>
              <w:top w:w="50" w:type="dxa"/>
              <w:bottom w:w="50" w:type="dxa"/>
              <w:left w:w="90" w:type="dxa"/>
              <w:right w:w="90" w:type="dxa"/>
            </w:tcMar>
          </w:tcPr>
          <w:p>
            <w:r>
              <w:rPr>
                <w:rFonts w:ascii="Arial" w:hAnsi="Arial"/>
                <w:sz w:val="17"/>
              </w:rPr>
              <w:t>Unsupervised anomaly stream scoring</w:t>
            </w:r>
          </w:p>
        </w:tc>
        <w:tc>
          <w:tcPr>
            <w:tcW w:type="dxa" w:w="3600"/>
            <w:shd w:val="clear" w:color="auto" w:fill="FAFAFA"/>
            <w:tcMar>
              <w:top w:w="50" w:type="dxa"/>
              <w:bottom w:w="50" w:type="dxa"/>
              <w:left w:w="90" w:type="dxa"/>
              <w:right w:w="90" w:type="dxa"/>
            </w:tcMar>
          </w:tcPr>
          <w:p>
            <w:r>
              <w:rPr>
                <w:rFonts w:ascii="Arial" w:hAnsi="Arial"/>
                <w:sz w:val="17"/>
              </w:rPr>
              <w:t>Intercepts abnormal midnight wires, crypto transfers, and high-velocity fraud vectors.</w:t>
            </w:r>
          </w:p>
        </w:tc>
      </w:tr>
      <w:tr>
        <w:tc>
          <w:tcPr>
            <w:tcW w:type="dxa" w:w="1728"/>
            <w:shd w:val="clear" w:color="auto" w:fill="FFFFFF"/>
            <w:tcMar>
              <w:top w:w="50" w:type="dxa"/>
              <w:bottom w:w="50" w:type="dxa"/>
              <w:left w:w="90" w:type="dxa"/>
              <w:right w:w="90" w:type="dxa"/>
            </w:tcMar>
          </w:tcPr>
          <w:p>
            <w:r>
              <w:rPr>
                <w:rFonts w:ascii="Arial" w:hAnsi="Arial"/>
                <w:b/>
                <w:sz w:val="17"/>
              </w:rPr>
              <w:t>Time-Series Engine</w:t>
            </w:r>
          </w:p>
        </w:tc>
        <w:tc>
          <w:tcPr>
            <w:tcW w:type="dxa" w:w="1872"/>
            <w:shd w:val="clear" w:color="auto" w:fill="FFFFFF"/>
            <w:tcMar>
              <w:top w:w="50" w:type="dxa"/>
              <w:bottom w:w="50" w:type="dxa"/>
              <w:left w:w="90" w:type="dxa"/>
              <w:right w:w="90" w:type="dxa"/>
            </w:tcMar>
          </w:tcPr>
          <w:p>
            <w:r>
              <w:rPr>
                <w:rFonts w:ascii="Arial" w:hAnsi="Arial"/>
                <w:sz w:val="17"/>
              </w:rPr>
              <w:t>Statsmodels 0.15</w:t>
            </w:r>
          </w:p>
        </w:tc>
        <w:tc>
          <w:tcPr>
            <w:tcW w:type="dxa" w:w="3168"/>
            <w:shd w:val="clear" w:color="auto" w:fill="FFFFFF"/>
            <w:tcMar>
              <w:top w:w="50" w:type="dxa"/>
              <w:bottom w:w="50" w:type="dxa"/>
              <w:left w:w="90" w:type="dxa"/>
              <w:right w:w="90" w:type="dxa"/>
            </w:tcMar>
          </w:tcPr>
          <w:p>
            <w:r>
              <w:rPr>
                <w:rFonts w:ascii="Arial" w:hAnsi="Arial"/>
                <w:sz w:val="17"/>
              </w:rPr>
              <w:t>Holt-Winters exponential smoothing</w:t>
            </w:r>
          </w:p>
        </w:tc>
        <w:tc>
          <w:tcPr>
            <w:tcW w:type="dxa" w:w="3600"/>
            <w:shd w:val="clear" w:color="auto" w:fill="FFFFFF"/>
            <w:tcMar>
              <w:top w:w="50" w:type="dxa"/>
              <w:bottom w:w="50" w:type="dxa"/>
              <w:left w:w="90" w:type="dxa"/>
              <w:right w:w="90" w:type="dxa"/>
            </w:tcMar>
          </w:tcPr>
          <w:p>
            <w:r>
              <w:rPr>
                <w:rFonts w:ascii="Arial" w:hAnsi="Arial"/>
                <w:sz w:val="17"/>
              </w:rPr>
              <w:t>Forecasts 30/60/90-day balance sheet metrics with 95% statistical confidence bounds.</w:t>
            </w:r>
          </w:p>
        </w:tc>
      </w:tr>
      <w:tr>
        <w:tc>
          <w:tcPr>
            <w:tcW w:type="dxa" w:w="1728"/>
            <w:shd w:val="clear" w:color="auto" w:fill="FAFAFA"/>
            <w:tcMar>
              <w:top w:w="50" w:type="dxa"/>
              <w:bottom w:w="50" w:type="dxa"/>
              <w:left w:w="90" w:type="dxa"/>
              <w:right w:w="90" w:type="dxa"/>
            </w:tcMar>
          </w:tcPr>
          <w:p>
            <w:r>
              <w:rPr>
                <w:rFonts w:ascii="Arial" w:hAnsi="Arial"/>
                <w:b/>
                <w:sz w:val="17"/>
              </w:rPr>
              <w:t>Database &amp; ORM</w:t>
            </w:r>
          </w:p>
        </w:tc>
        <w:tc>
          <w:tcPr>
            <w:tcW w:type="dxa" w:w="1872"/>
            <w:shd w:val="clear" w:color="auto" w:fill="FAFAFA"/>
            <w:tcMar>
              <w:top w:w="50" w:type="dxa"/>
              <w:bottom w:w="50" w:type="dxa"/>
              <w:left w:w="90" w:type="dxa"/>
              <w:right w:w="90" w:type="dxa"/>
            </w:tcMar>
          </w:tcPr>
          <w:p>
            <w:r>
              <w:rPr>
                <w:rFonts w:ascii="Arial" w:hAnsi="Arial"/>
                <w:sz w:val="17"/>
              </w:rPr>
              <w:t>SQLAlchemy 2.0 / SQLite</w:t>
            </w:r>
          </w:p>
        </w:tc>
        <w:tc>
          <w:tcPr>
            <w:tcW w:type="dxa" w:w="3168"/>
            <w:shd w:val="clear" w:color="auto" w:fill="FAFAFA"/>
            <w:tcMar>
              <w:top w:w="50" w:type="dxa"/>
              <w:bottom w:w="50" w:type="dxa"/>
              <w:left w:w="90" w:type="dxa"/>
              <w:right w:w="90" w:type="dxa"/>
            </w:tcMar>
          </w:tcPr>
          <w:p>
            <w:r>
              <w:rPr>
                <w:rFonts w:ascii="Arial" w:hAnsi="Arial"/>
                <w:sz w:val="17"/>
              </w:rPr>
              <w:t>Relational database &amp; ORM queries</w:t>
            </w:r>
          </w:p>
        </w:tc>
        <w:tc>
          <w:tcPr>
            <w:tcW w:type="dxa" w:w="3600"/>
            <w:shd w:val="clear" w:color="auto" w:fill="FAFAFA"/>
            <w:tcMar>
              <w:top w:w="50" w:type="dxa"/>
              <w:bottom w:w="50" w:type="dxa"/>
              <w:left w:w="90" w:type="dxa"/>
              <w:right w:w="90" w:type="dxa"/>
            </w:tcMar>
          </w:tcPr>
          <w:p>
            <w:r>
              <w:rPr>
                <w:rFonts w:ascii="Arial" w:hAnsi="Arial"/>
                <w:sz w:val="17"/>
              </w:rPr>
              <w:t>Zero-config embedded relational database storing customer, loan, account, and run history.</w:t>
            </w:r>
          </w:p>
        </w:tc>
      </w:tr>
    </w:tbl>
    <w:p>
      <w:pPr>
        <w:spacing w:after="60"/>
      </w:pPr>
    </w:p>
    <w:p>
      <w:pPr>
        <w:keepNext/>
        <w:spacing w:before="280" w:after="80"/>
      </w:pPr>
      <w:r>
        <w:rPr>
          <w:rFonts w:ascii="Arial" w:hAnsi="Arial"/>
          <w:b/>
          <w:color w:val="000000"/>
          <w:sz w:val="32"/>
        </w:rPr>
        <w:t>3. System Architecture, Schematics &amp; Flowcharts</w:t>
      </w:r>
    </w:p>
    <w:p>
      <w:pPr>
        <w:spacing w:before="0" w:after="80" w:line="276" w:lineRule="auto"/>
      </w:pPr>
      <w:r>
        <w:rPr>
          <w:rFonts w:ascii="Arial" w:hAnsi="Arial"/>
          <w:color w:val="232323"/>
          <w:sz w:val="20"/>
        </w:rPr>
        <w:t>The platform follows a decoupled client-server architecture. The Next.js frontend handles data visualization and slider controls, communicating via asynchronous JSON REST APIs to the Python FastAPI backend execution engine:</w:t>
      </w:r>
    </w:p>
    <w:tbl>
      <w:tblPr>
        <w:tblW w:type="auto" w:w="0"/>
        <w:jc w:val="center"/>
        <w:tblLook w:firstColumn="1" w:firstRow="1" w:lastColumn="0" w:lastRow="0" w:noHBand="0" w:noVBand="1" w:val="04A0"/>
      </w:tblPr>
      <w:tblGrid>
        <w:gridCol w:w="10512"/>
      </w:tblGrid>
      <w:tr>
        <w:tc>
          <w:tcPr>
            <w:tcW w:type="dxa" w:w="10512"/>
            <w:shd w:val="clear" w:color="auto" w:fill="F1F5F9"/>
            <w:tcMar>
              <w:top w:w="120" w:type="dxa"/>
              <w:bottom w:w="120" w:type="dxa"/>
              <w:left w:w="180" w:type="dxa"/>
              <w:right w:w="180" w:type="dxa"/>
            </w:tcMar>
            <w:tcBorders>
              <w:top w:val="single" w:sz="6" w:color="94A3B8"/>
              <w:left w:val="single" w:sz="6" w:color="94A3B8"/>
              <w:bottom w:val="single" w:sz="6" w:color="94A3B8"/>
              <w:right w:val="single" w:sz="6" w:color="94A3B8"/>
            </w:tcBorders>
          </w:tcPr>
          <w:p>
            <w:pPr>
              <w:spacing w:before="0" w:after="0" w:line="240" w:lineRule="auto"/>
            </w:pPr>
            <w:r>
              <w:rPr>
                <w:rFonts w:ascii="Consolas" w:hAnsi="Consolas"/>
                <w:b/>
                <w:color w:val="0F172A"/>
                <w:sz w:val="17"/>
              </w:rPr>
              <w:t>+-----------------------------------------------------------------------------------+</w:t>
              <w:br/>
              <w:t>|                            USER INTERFACE (Next.js 16 / React 19)                 |</w:t>
              <w:br/>
              <w:t>|  [ Overview Dashboard ]  [ What-If Simulator ]  [ Stress Engine ]  [ Fraud Center ]|</w:t>
              <w:br/>
              <w:t>+------------------------------------------+----------------------------------------+</w:t>
              <w:br/>
              <w:t xml:space="preserve">                                           | HTTP / REST API Requests</w:t>
              <w:br/>
              <w:t xml:space="preserve">                                           v</w:t>
              <w:br/>
              <w:t>+-----------------------------------------------------------------------------------+</w:t>
              <w:br/>
              <w:t>|                            FASTAPI BACKEND ROUTER (Python 3.11)                   |</w:t>
              <w:br/>
              <w:t>|  /api/v1/simulation  |  /api/v1/forecast  |  /api/v1/compliance  |  /api/v1/loans    |</w:t>
              <w:br/>
              <w:t>+----+-----------------------+------------------------+----------------------+------+</w:t>
              <w:br/>
              <w:t xml:space="preserve">     |                       |                        |                      |</w:t>
              <w:br/>
              <w:t xml:space="preserve">     v                       v                        v                      v</w:t>
              <w:br/>
              <w:t>+------------------+  +-------------------+  +------------------+  +----------------+</w:t>
              <w:br/>
              <w:t>| Vectorized       |  | Machine Learning  |  | Time-Series      |  | Regulatory     |</w:t>
              <w:br/>
              <w:t>| Vasicek &amp; Copula |  | Credit Scorecard  |  | Forecasting      |  | Compliance     |</w:t>
              <w:br/>
              <w:t>| Monte Carlo      |  | &amp; IsolationForest |  | (Statsmodels)    |  | Engine (Basel) |</w:t>
              <w:br/>
              <w:t>+----+-------------+  +------+------------+  +--------+---------+  +-------+--------+</w:t>
              <w:br/>
              <w:t xml:space="preserve">     |                       |                        |                      |</w:t>
              <w:br/>
              <w:t xml:space="preserve">     +-----------------------+------------+-----------+----------------------+</w:t>
              <w:br/>
              <w:t xml:space="preserve">                                          | SQLAlchemy 2.0 ORM Queries</w:t>
              <w:br/>
              <w:t xml:space="preserve">                                          v</w:t>
              <w:br/>
              <w:t>+-----------------------------------------------------------------------------------+</w:t>
              <w:br/>
              <w:t>|                        RELATIONAL DATABASE (SQLite / PostgreSQL)                   |</w:t>
              <w:br/>
              <w:t>|  [ customers ]   [ accounts ]   [ loans ]   [ transactions ]   [ stress_runs ]    |</w:t>
              <w:br/>
              <w:t>+-----------------------------------------------------------------------------------+</w:t>
            </w:r>
          </w:p>
        </w:tc>
      </w:tr>
    </w:tbl>
    <w:p>
      <w:pPr>
        <w:spacing w:after="60"/>
      </w:pPr>
    </w:p>
    <w:p>
      <w:pPr>
        <w:keepNext/>
        <w:spacing w:before="200" w:after="60"/>
      </w:pPr>
      <w:r>
        <w:rPr>
          <w:rFonts w:ascii="Arial" w:hAnsi="Arial"/>
          <w:b/>
          <w:color w:val="1E1E1E"/>
          <w:sz w:val="26"/>
        </w:rPr>
        <w:t>Data Execution Flowchart (Monte Carlo Stress Test Request)</w:t>
      </w:r>
    </w:p>
    <w:tbl>
      <w:tblPr>
        <w:tblW w:type="auto" w:w="0"/>
        <w:jc w:val="center"/>
        <w:tblLook w:firstColumn="1" w:firstRow="1" w:lastColumn="0" w:lastRow="0" w:noHBand="0" w:noVBand="1" w:val="04A0"/>
      </w:tblPr>
      <w:tblGrid>
        <w:gridCol w:w="10512"/>
      </w:tblGrid>
      <w:tr>
        <w:tc>
          <w:tcPr>
            <w:tcW w:type="dxa" w:w="10512"/>
            <w:shd w:val="clear" w:color="auto" w:fill="F1F5F9"/>
            <w:tcMar>
              <w:top w:w="120" w:type="dxa"/>
              <w:bottom w:w="120" w:type="dxa"/>
              <w:left w:w="180" w:type="dxa"/>
              <w:right w:w="180" w:type="dxa"/>
            </w:tcMar>
            <w:tcBorders>
              <w:top w:val="single" w:sz="6" w:color="94A3B8"/>
              <w:left w:val="single" w:sz="6" w:color="94A3B8"/>
              <w:bottom w:val="single" w:sz="6" w:color="94A3B8"/>
              <w:right w:val="single" w:sz="6" w:color="94A3B8"/>
            </w:tcBorders>
          </w:tcPr>
          <w:p>
            <w:pPr>
              <w:spacing w:before="0" w:after="0" w:line="240" w:lineRule="auto"/>
            </w:pPr>
            <w:r>
              <w:rPr>
                <w:rFonts w:ascii="Consolas" w:hAnsi="Consolas"/>
                <w:b/>
                <w:color w:val="0F172A"/>
                <w:sz w:val="17"/>
              </w:rPr>
              <w:t>[ User Adjusts Macro Sliders (Unemployment +5%, Interest Rate +2%) ]</w:t>
              <w:br/>
              <w:t xml:space="preserve">                         │</w:t>
              <w:br/>
              <w:t xml:space="preserve">                         ▼</w:t>
              <w:br/>
              <w:t>[ POST /api/v1/simulation/run Request Sent with Shock Parameters ]</w:t>
              <w:br/>
              <w:t xml:space="preserve">                         │</w:t>
              <w:br/>
              <w:t xml:space="preserve">                         ▼</w:t>
              <w:br/>
              <w:t>[ SQLAlchemy Queries Active Loan Book &amp; Joins Customer Attributes ]</w:t>
              <w:br/>
              <w:t xml:space="preserve">                         │</w:t>
              <w:br/>
              <w:t xml:space="preserve">                         ▼</w:t>
              <w:br/>
              <w:t>[ Compute Baseline Probability of Default (PD) via Sigmoid Function ]</w:t>
              <w:br/>
              <w:t xml:space="preserve">                         │</w:t>
              <w:br/>
              <w:t xml:space="preserve">                         ▼</w:t>
              <w:br/>
              <w:t>[ Apply Vasicek Model: Latent Threshold Y = sqrt(rho)*Z + sqrt(1-rho)*eps ]</w:t>
              <w:br/>
              <w:t xml:space="preserve">                         │</w:t>
              <w:br/>
              <w:t xml:space="preserve">                         ▼</w:t>
              <w:br/>
              <w:t>[ Run Dual-Copula Engine: Gaussian vs Student's t Heavy-Tail Distribution ]</w:t>
              <w:br/>
              <w:t xml:space="preserve">                         │</w:t>
              <w:br/>
              <w:t xml:space="preserve">                         ▼</w:t>
              <w:br/>
              <w:t>[ Aggregate 10,000 Simulated Paths: Compute VaR, CVaR, CAR Ratio &amp; CET1 ]</w:t>
              <w:br/>
              <w:t xml:space="preserve">                         │</w:t>
              <w:br/>
              <w:t xml:space="preserve">                         ▼</w:t>
              <w:br/>
              <w:t>[ Return JSON Payload to Frontend -&gt; Render Drawdown Fan Chart &amp; Risk Gauges ]</w:t>
            </w:r>
          </w:p>
        </w:tc>
      </w:tr>
    </w:tbl>
    <w:p>
      <w:pPr>
        <w:spacing w:after="60"/>
      </w:pPr>
    </w:p>
    <w:p>
      <w:pPr>
        <w:keepNext/>
        <w:spacing w:before="280" w:after="80"/>
      </w:pPr>
      <w:r>
        <w:rPr>
          <w:rFonts w:ascii="Arial" w:hAnsi="Arial"/>
          <w:b/>
          <w:color w:val="000000"/>
          <w:sz w:val="32"/>
        </w:rPr>
        <w:t>4. Quantitative Models, Mathematical Formulas &amp; Code Snippets</w:t>
      </w:r>
    </w:p>
    <w:p>
      <w:pPr>
        <w:spacing w:before="0" w:after="80" w:line="276" w:lineRule="auto"/>
      </w:pPr>
      <w:r>
        <w:rPr>
          <w:rFonts w:ascii="Arial" w:hAnsi="Arial"/>
          <w:color w:val="232323"/>
          <w:sz w:val="20"/>
        </w:rPr>
        <w:t>This section presents the mathematical formulas and exact source code implementations powering the quantitative finance and machine learning engines.</w:t>
      </w:r>
    </w:p>
    <w:p>
      <w:pPr>
        <w:keepNext/>
        <w:spacing w:before="200" w:after="60"/>
      </w:pPr>
      <w:r>
        <w:rPr>
          <w:rFonts w:ascii="Arial" w:hAnsi="Arial"/>
          <w:b/>
          <w:color w:val="1E1E1E"/>
          <w:sz w:val="26"/>
        </w:rPr>
        <w:t>Model A: Baseline Probability of Default (PD) &amp; Credit Scorecard</w:t>
      </w:r>
    </w:p>
    <w:p>
      <w:pPr>
        <w:spacing w:before="0" w:after="80" w:line="276" w:lineRule="auto"/>
      </w:pPr>
      <w:r>
        <w:rPr>
          <w:rFonts w:ascii="Arial" w:hAnsi="Arial"/>
          <w:color w:val="232323"/>
          <w:sz w:val="20"/>
        </w:rPr>
        <w:t>Plain-English Explanation: Every borrower has a credit score (FICO/CIBIL between 300 and 850), an employment status, and a loan collateral type. Higher credit scores exponentially reduce default risk, while unemployment or unsecured personal loans increase risk multipliers.</w:t>
      </w:r>
    </w:p>
    <w:p>
      <w:pPr>
        <w:spacing w:before="0" w:after="80" w:line="276" w:lineRule="auto"/>
      </w:pPr>
      <w:r>
        <w:rPr>
          <w:rFonts w:ascii="Arial" w:hAnsi="Arial"/>
          <w:color w:val="232323"/>
          <w:sz w:val="20"/>
        </w:rPr>
        <w:t>Mathematical Formulation:</w:t>
      </w:r>
    </w:p>
    <w:p>
      <w:pPr>
        <w:spacing w:before="0" w:after="80" w:line="276" w:lineRule="auto"/>
      </w:pPr>
      <w:r>
        <w:rPr>
          <w:rFonts w:ascii="Arial" w:hAnsi="Arial"/>
          <w:color w:val="232323"/>
          <w:sz w:val="20"/>
        </w:rPr>
        <w:t>Score Factor = 1 / (1 + exp((CreditScore - 620) / 40))</w:t>
        <w:br/>
        <w:t>Baseline PD = Score Factor * Employment_Multiplier * Loan_Type_Multiplier * 0.002</w:t>
      </w:r>
    </w:p>
    <w:p>
      <w:pPr>
        <w:spacing w:before="0" w:after="80" w:line="276" w:lineRule="auto"/>
      </w:pPr>
      <w:r>
        <w:rPr>
          <w:rFonts w:ascii="Arial" w:hAnsi="Arial"/>
          <w:color w:val="232323"/>
          <w:sz w:val="20"/>
        </w:rPr>
        <w:t>Code Implementation (backend/app/simulation/credit_model.py):</w:t>
      </w:r>
    </w:p>
    <w:tbl>
      <w:tblPr>
        <w:tblW w:type="auto" w:w="0"/>
        <w:jc w:val="center"/>
        <w:tblLook w:firstColumn="1" w:firstRow="1" w:lastColumn="0" w:lastRow="0" w:noHBand="0" w:noVBand="1" w:val="04A0"/>
      </w:tblPr>
      <w:tblGrid>
        <w:gridCol w:w="10512"/>
      </w:tblGrid>
      <w:tr>
        <w:tc>
          <w:tcPr>
            <w:tcW w:type="dxa" w:w="10512"/>
            <w:shd w:val="clear" w:color="auto" w:fill="F8F9FA"/>
            <w:tcMar>
              <w:top w:w="100" w:type="dxa"/>
              <w:bottom w:w="100" w:type="dxa"/>
              <w:left w:w="150" w:type="dxa"/>
              <w:right w:w="150" w:type="dxa"/>
            </w:tcMar>
            <w:tcBorders>
              <w:top w:val="single" w:sz="4" w:color="D1D5DB"/>
              <w:left w:val="single" w:sz="4" w:color="D1D5DB"/>
              <w:bottom w:val="single" w:sz="4" w:color="D1D5DB"/>
              <w:right w:val="single" w:sz="4" w:color="D1D5DB"/>
            </w:tcBorders>
          </w:tcPr>
          <w:p>
            <w:pPr>
              <w:spacing w:before="0" w:after="0" w:line="252" w:lineRule="auto"/>
            </w:pPr>
            <w:r>
              <w:rPr>
                <w:rFonts w:ascii="Consolas" w:hAnsi="Consolas"/>
                <w:color w:val="141414"/>
                <w:sz w:val="17"/>
              </w:rPr>
              <w:t>def compute_baseline_pd(df: pd.DataFrame) -&gt; np.ndarray:</w:t>
              <w:br/>
              <w:t xml:space="preserve">    credit_scores = df["credit_score"].to_numpy(dtype=np.float64)</w:t>
              <w:br/>
              <w:t xml:space="preserve">    # Logistic credit score response (620 score -&gt; ~1% annual base risk)</w:t>
              <w:br/>
              <w:t xml:space="preserve">    score_factor = 1.0 / (1.0 + np.exp((credit_scores - 620.0) / 40.0))</w:t>
              <w:br/>
              <w:t xml:space="preserve">    </w:t>
              <w:br/>
              <w:t xml:space="preserve">    # Employment risk multiplier</w:t>
              <w:br/>
              <w:t xml:space="preserve">    emp_map = {"employed": 1.0, "self-employed": 1.3, "unemployed": 3.0, "retired": 1.1}</w:t>
              <w:br/>
              <w:t xml:space="preserve">    emp_mult = df["employment"].map(emp_map).fillna(1.0).to_numpy(dtype=np.float64)</w:t>
              <w:br/>
              <w:t xml:space="preserve">    </w:t>
              <w:br/>
              <w:t xml:space="preserve">    # Collateral risk multiplier</w:t>
              <w:br/>
              <w:t xml:space="preserve">    type_map = {"mortgage": 0.4, "personal": 1.6, "auto": 1.0, "business": 1.4}</w:t>
              <w:br/>
              <w:t xml:space="preserve">    type_mult = df["loan_type"].map(type_map).fillna(1.0).to_numpy(dtype=np.float64)</w:t>
              <w:br/>
              <w:t xml:space="preserve">    </w:t>
              <w:br/>
              <w:t xml:space="preserve">    # Scale to baseline monthly PD</w:t>
              <w:br/>
              <w:t xml:space="preserve">    monthly_pd = score_factor * emp_mult * type_mult * 0.002</w:t>
              <w:br/>
              <w:t xml:space="preserve">    return np.clip(monthly_pd, 0.0001, 0.30)</w:t>
            </w:r>
          </w:p>
        </w:tc>
      </w:tr>
    </w:tbl>
    <w:p>
      <w:pPr>
        <w:spacing w:after="60"/>
      </w:pPr>
    </w:p>
    <w:p>
      <w:pPr>
        <w:keepNext/>
        <w:spacing w:before="200" w:after="60"/>
      </w:pPr>
      <w:r>
        <w:rPr>
          <w:rFonts w:ascii="Arial" w:hAnsi="Arial"/>
          <w:b/>
          <w:color w:val="1E1E1E"/>
          <w:sz w:val="26"/>
        </w:rPr>
        <w:t>Model B: Vasicek Single-Factor Credit Correlation Model (Basel Standard)</w:t>
      </w:r>
    </w:p>
    <w:p>
      <w:pPr>
        <w:spacing w:before="0" w:after="80" w:line="276" w:lineRule="auto"/>
      </w:pPr>
      <w:r>
        <w:rPr>
          <w:rFonts w:ascii="Arial" w:hAnsi="Arial"/>
          <w:color w:val="232323"/>
          <w:sz w:val="20"/>
        </w:rPr>
        <w:t>Plain-English Explanation: Loans do not default independently. During an economic crisis, market-wide systemic shocks (Z) cause default rates to rise simultaneously across correlated loan portfolios. The Vasicek model shifts baseline PD into a conditional PD given a macroeconomic shock Z.</w:t>
      </w:r>
    </w:p>
    <w:p>
      <w:pPr>
        <w:spacing w:before="0" w:after="80" w:line="276" w:lineRule="auto"/>
      </w:pPr>
      <w:r>
        <w:rPr>
          <w:rFonts w:ascii="Arial" w:hAnsi="Arial"/>
          <w:color w:val="232323"/>
          <w:sz w:val="20"/>
        </w:rPr>
        <w:t>Mathematical Formulation:</w:t>
      </w:r>
    </w:p>
    <w:p>
      <w:pPr>
        <w:spacing w:before="0" w:after="80" w:line="276" w:lineRule="auto"/>
      </w:pPr>
      <w:r>
        <w:rPr>
          <w:rFonts w:ascii="Arial" w:hAnsi="Arial"/>
          <w:color w:val="232323"/>
          <w:sz w:val="20"/>
        </w:rPr>
        <w:t>Latent Asset Value: Y_i = sqrt(rho_i) * Z + sqrt(1 - rho_i) * epsilon_i</w:t>
        <w:br/>
        <w:t>Conditional PD(Z) = NormCDF( (NormQuantile(Base_PD) - sqrt(rho_i) * Z) / sqrt(1 - rho_i) )</w:t>
      </w:r>
    </w:p>
    <w:p>
      <w:pPr>
        <w:spacing w:before="0" w:after="80" w:line="276" w:lineRule="auto"/>
      </w:pPr>
      <w:r>
        <w:rPr>
          <w:rFonts w:ascii="Arial" w:hAnsi="Arial"/>
          <w:color w:val="232323"/>
          <w:sz w:val="20"/>
        </w:rPr>
        <w:t>Code Implementation (backend/app/simulation/credit_model.py):</w:t>
      </w:r>
    </w:p>
    <w:tbl>
      <w:tblPr>
        <w:tblW w:type="auto" w:w="0"/>
        <w:jc w:val="center"/>
        <w:tblLook w:firstColumn="1" w:firstRow="1" w:lastColumn="0" w:lastRow="0" w:noHBand="0" w:noVBand="1" w:val="04A0"/>
      </w:tblPr>
      <w:tblGrid>
        <w:gridCol w:w="10512"/>
      </w:tblGrid>
      <w:tr>
        <w:tc>
          <w:tcPr>
            <w:tcW w:type="dxa" w:w="10512"/>
            <w:shd w:val="clear" w:color="auto" w:fill="F8F9FA"/>
            <w:tcMar>
              <w:top w:w="100" w:type="dxa"/>
              <w:bottom w:w="100" w:type="dxa"/>
              <w:left w:w="150" w:type="dxa"/>
              <w:right w:w="150" w:type="dxa"/>
            </w:tcMar>
            <w:tcBorders>
              <w:top w:val="single" w:sz="4" w:color="D1D5DB"/>
              <w:left w:val="single" w:sz="4" w:color="D1D5DB"/>
              <w:bottom w:val="single" w:sz="4" w:color="D1D5DB"/>
              <w:right w:val="single" w:sz="4" w:color="D1D5DB"/>
            </w:tcBorders>
          </w:tcPr>
          <w:p>
            <w:pPr>
              <w:spacing w:before="0" w:after="0" w:line="252" w:lineRule="auto"/>
            </w:pPr>
            <w:r>
              <w:rPr>
                <w:rFonts w:ascii="Consolas" w:hAnsi="Consolas"/>
                <w:color w:val="141414"/>
                <w:sz w:val="17"/>
              </w:rPr>
              <w:t>def apply_vasicek_systemic_shock(</w:t>
              <w:br/>
              <w:t xml:space="preserve">    base_pd: np.ndarray, rho: np.ndarray, macro_z: float, idiosyncratic_eps: np.ndarray</w:t>
              <w:br/>
              <w:t>) -&gt; np.ndarray:</w:t>
              <w:br/>
              <w:t xml:space="preserve">    from scipy.stats import norm</w:t>
              <w:br/>
              <w:t xml:space="preserve">    # Convert base PD to latent threshold</w:t>
              <w:br/>
              <w:t xml:space="preserve">    norm_inv_pd = norm.ppf(np.clip(base_pd, 1e-6, 0.9999))</w:t>
              <w:br/>
              <w:t xml:space="preserve">    </w:t>
              <w:br/>
              <w:t xml:space="preserve">    # Shift threshold under systemic macro factor Z (Z &lt; 0 represents adverse macro shock)</w:t>
              <w:br/>
              <w:t xml:space="preserve">    sqrt_rho = np.sqrt(rho)</w:t>
              <w:br/>
              <w:t xml:space="preserve">    sqrt_one_minus_rho = np.sqrt(1.0 - rho)</w:t>
              <w:br/>
              <w:t xml:space="preserve">    </w:t>
              <w:br/>
              <w:t xml:space="preserve">    # Conditional probability under macro shock Z</w:t>
              <w:br/>
              <w:t xml:space="preserve">    latent_threshold = (norm_inv_pd - sqrt_rho * macro_z) / sqrt_one_minus_rho</w:t>
              <w:br/>
              <w:t xml:space="preserve">    cond_pd = norm.cdf(latent_threshold)</w:t>
              <w:br/>
              <w:t xml:space="preserve">    return np.clip(cond_pd, 1e-6, 0.99)</w:t>
            </w:r>
          </w:p>
        </w:tc>
      </w:tr>
    </w:tbl>
    <w:p>
      <w:pPr>
        <w:spacing w:after="60"/>
      </w:pPr>
    </w:p>
    <w:p>
      <w:pPr>
        <w:keepNext/>
        <w:spacing w:before="200" w:after="60"/>
      </w:pPr>
      <w:r>
        <w:rPr>
          <w:rFonts w:ascii="Arial" w:hAnsi="Arial"/>
          <w:b/>
          <w:color w:val="1E1E1E"/>
          <w:sz w:val="26"/>
        </w:rPr>
        <w:t>Model C: Vectorized Dual-Copula Monte Carlo Engine &amp; Tail Risk</w:t>
      </w:r>
    </w:p>
    <w:p>
      <w:pPr>
        <w:spacing w:before="0" w:after="80" w:line="276" w:lineRule="auto"/>
      </w:pPr>
      <w:r>
        <w:rPr>
          <w:rFonts w:ascii="Arial" w:hAnsi="Arial"/>
          <w:color w:val="232323"/>
          <w:sz w:val="20"/>
        </w:rPr>
        <w:t>Plain-English Explanation: To stress-test bank solvency, the simulation engine runs 10,000 multi-year macroeconomic futures. It evaluates both standard normal markets (Gaussian Copula) and heavy-tailed extreme crisis markets (Student's t-Copula) to compute Value at Risk (VaR 99%) and Expected Shortfall (CVaR 99%).</w:t>
      </w:r>
    </w:p>
    <w:p>
      <w:pPr>
        <w:spacing w:before="0" w:after="80" w:line="276" w:lineRule="auto"/>
      </w:pPr>
      <w:r>
        <w:rPr>
          <w:rFonts w:ascii="Arial" w:hAnsi="Arial"/>
          <w:color w:val="232323"/>
          <w:sz w:val="20"/>
        </w:rPr>
        <w:t>Mathematical Formulation:</w:t>
      </w:r>
    </w:p>
    <w:p>
      <w:pPr>
        <w:spacing w:before="0" w:after="80" w:line="276" w:lineRule="auto"/>
      </w:pPr>
      <w:r>
        <w:rPr>
          <w:rFonts w:ascii="Arial" w:hAnsi="Arial"/>
          <w:color w:val="232323"/>
          <w:sz w:val="20"/>
        </w:rPr>
        <w:t>Student's t-Copula Draw: U = Student_t_CDF(T_df),  Z = NormQuantile(U)</w:t>
        <w:br/>
        <w:t>Value at Risk (VaR_99) = 99th Percentile of Total Portfolio Loss</w:t>
        <w:br/>
        <w:t>Expected Shortfall (CVaR_99) = Average Loss in Scenarios Exceeding VaR_99</w:t>
      </w:r>
    </w:p>
    <w:p>
      <w:pPr>
        <w:spacing w:before="0" w:after="80" w:line="276" w:lineRule="auto"/>
      </w:pPr>
      <w:r>
        <w:rPr>
          <w:rFonts w:ascii="Arial" w:hAnsi="Arial"/>
          <w:color w:val="232323"/>
          <w:sz w:val="20"/>
        </w:rPr>
        <w:t>Code Implementation (backend/app/simulation/monte_carlo.py):</w:t>
      </w:r>
    </w:p>
    <w:tbl>
      <w:tblPr>
        <w:tblW w:type="auto" w:w="0"/>
        <w:jc w:val="center"/>
        <w:tblLook w:firstColumn="1" w:firstRow="1" w:lastColumn="0" w:lastRow="0" w:noHBand="0" w:noVBand="1" w:val="04A0"/>
      </w:tblPr>
      <w:tblGrid>
        <w:gridCol w:w="10512"/>
      </w:tblGrid>
      <w:tr>
        <w:tc>
          <w:tcPr>
            <w:tcW w:type="dxa" w:w="10512"/>
            <w:shd w:val="clear" w:color="auto" w:fill="F8F9FA"/>
            <w:tcMar>
              <w:top w:w="100" w:type="dxa"/>
              <w:bottom w:w="100" w:type="dxa"/>
              <w:left w:w="150" w:type="dxa"/>
              <w:right w:w="150" w:type="dxa"/>
            </w:tcMar>
            <w:tcBorders>
              <w:top w:val="single" w:sz="4" w:color="D1D5DB"/>
              <w:left w:val="single" w:sz="4" w:color="D1D5DB"/>
              <w:bottom w:val="single" w:sz="4" w:color="D1D5DB"/>
              <w:right w:val="single" w:sz="4" w:color="D1D5DB"/>
            </w:tcBorders>
          </w:tcPr>
          <w:p>
            <w:pPr>
              <w:spacing w:before="0" w:after="0" w:line="252" w:lineRule="auto"/>
            </w:pPr>
            <w:r>
              <w:rPr>
                <w:rFonts w:ascii="Consolas" w:hAnsi="Consolas"/>
                <w:color w:val="141414"/>
                <w:sz w:val="17"/>
              </w:rPr>
              <w:t># Dual-Copula Generation (Gaussian Normal vs Student's t Heavy-Tail)</w:t>
              <w:br/>
              <w:t>df_val = max(3, int(degrees_of_freedom))</w:t>
              <w:br/>
              <w:t>from scipy.stats import t, norm</w:t>
              <w:br/>
              <w:br/>
              <w:t>z_factors_gauss = rng.normal(loc=0.0, scale=1.0, size=n_sims)</w:t>
              <w:br/>
              <w:t>t_draws = rng.standard_t(df=df_val, size=n_sims)</w:t>
              <w:br/>
              <w:t>u_draws = np.clip(t.cdf(t_draws, df=df_val), 1e-7, 1.0 - 1e-7)</w:t>
              <w:br/>
              <w:t>z_factors_student = norm.ppf(u_draws)</w:t>
              <w:br/>
              <w:br/>
              <w:t># Trajectory Simulation across Monthly Horizons</w:t>
              <w:br/>
              <w:t>for m in range(horizon_months):</w:t>
              <w:br/>
              <w:t xml:space="preserve">    time_stress_curve = 0.4 + 0.9 * np.sin(np.pi * (m + 1) / 24.0)</w:t>
              <w:br/>
              <w:t xml:space="preserve">    path_loss_mult = np.exp((shock_magnitude * time_stress_curve) - (0.45 * z_facs))</w:t>
              <w:br/>
              <w:t xml:space="preserve">    monthly_path_losses = np.clip(monthly_base_loss * path_loss_mult * monthly_noise, 0.0, cap * 0.20)</w:t>
              <w:br/>
              <w:t xml:space="preserve">    cap_paths[:, m + 1] = cap_paths[:, m] + monthly_nii_base - monthly_path_losses</w:t>
            </w:r>
          </w:p>
        </w:tc>
      </w:tr>
    </w:tbl>
    <w:p>
      <w:pPr>
        <w:spacing w:after="60"/>
      </w:pPr>
    </w:p>
    <w:p>
      <w:pPr>
        <w:keepNext/>
        <w:spacing w:before="200" w:after="60"/>
      </w:pPr>
      <w:r>
        <w:rPr>
          <w:rFonts w:ascii="Arial" w:hAnsi="Arial"/>
          <w:b/>
          <w:color w:val="1E1E1E"/>
          <w:sz w:val="26"/>
        </w:rPr>
        <w:t>Model D: Regulatory Capital &amp; Liquidity Metrics (Basel III &amp; RBI Standards)</w:t>
      </w:r>
    </w:p>
    <w:p>
      <w:pPr>
        <w:spacing w:before="0" w:after="80" w:line="276" w:lineRule="auto"/>
      </w:pPr>
      <w:r>
        <w:rPr>
          <w:rFonts w:ascii="Arial" w:hAnsi="Arial"/>
          <w:color w:val="232323"/>
          <w:sz w:val="20"/>
        </w:rPr>
        <w:t>Plain-English Explanation: Regulators require commercial banks to hold adequate capital reserves proportional to their risk exposure. Capital Adequacy Ratio (CAR) compares Tier 1 capital against Risk-Weighted Assets (RWA).</w:t>
      </w:r>
    </w:p>
    <w:p>
      <w:pPr>
        <w:spacing w:before="0" w:after="80" w:line="276" w:lineRule="auto"/>
      </w:pPr>
      <w:r>
        <w:rPr>
          <w:rFonts w:ascii="Arial" w:hAnsi="Arial"/>
          <w:color w:val="232323"/>
          <w:sz w:val="20"/>
        </w:rPr>
        <w:t>Mathematical Formulation:</w:t>
      </w:r>
    </w:p>
    <w:p>
      <w:pPr>
        <w:spacing w:before="0" w:after="80" w:line="276" w:lineRule="auto"/>
      </w:pPr>
      <w:r>
        <w:rPr>
          <w:rFonts w:ascii="Arial" w:hAnsi="Arial"/>
          <w:color w:val="232323"/>
          <w:sz w:val="20"/>
        </w:rPr>
        <w:t>Risk-Weighted Assets (RWA) = Sum( Outstanding_Loan_i * Risk_Weight_i )</w:t>
        <w:br/>
        <w:t>Capital Adequacy Ratio (CAR %) = (Tier 1 Capital / RWA) * 100  (Minimum &gt;= 9.0%)</w:t>
        <w:br/>
        <w:t>Liquidity Coverage Ratio (LCR %) = (HQLA / 30-Day Net Cash Outflows) * 100  (Minimum &gt;= 100%)</w:t>
      </w:r>
    </w:p>
    <w:p>
      <w:pPr>
        <w:keepNext/>
        <w:spacing w:before="280" w:after="80"/>
      </w:pPr>
      <w:r>
        <w:rPr>
          <w:rFonts w:ascii="Arial" w:hAnsi="Arial"/>
          <w:b/>
          <w:color w:val="000000"/>
          <w:sz w:val="32"/>
        </w:rPr>
        <w:t>5. Database Structure &amp; SQL Schema Reference</w:t>
      </w:r>
    </w:p>
    <w:p>
      <w:pPr>
        <w:spacing w:before="0" w:after="80" w:line="276" w:lineRule="auto"/>
      </w:pPr>
      <w:r>
        <w:rPr>
          <w:rFonts w:ascii="Arial" w:hAnsi="Arial"/>
          <w:color w:val="232323"/>
          <w:sz w:val="20"/>
        </w:rPr>
        <w:t>The database (bank_twin.db) consists of 6 relational tables designed with strict foreign key constraints and index optimizations: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504"/>
        <w:gridCol w:w="3504"/>
        <w:gridCol w:w="3504"/>
      </w:tblGrid>
      <w:tr>
        <w:tc>
          <w:tcPr>
            <w:tcW w:type="dxa" w:w="2016"/>
            <w:shd w:val="clear" w:color="auto" w:fill="E5E7EB"/>
            <w:tcMar>
              <w:top w:w="70" w:type="dxa"/>
              <w:bottom w:w="70" w:type="dxa"/>
              <w:left w:w="90" w:type="dxa"/>
              <w:right w:w="90" w:type="dxa"/>
            </w:tcMar>
          </w:tcPr>
          <w:p>
            <w:r>
              <w:rPr>
                <w:rFonts w:ascii="Arial" w:hAnsi="Arial"/>
                <w:b/>
                <w:sz w:val="18"/>
              </w:rPr>
              <w:t>Table Name</w:t>
            </w:r>
          </w:p>
        </w:tc>
        <w:tc>
          <w:tcPr>
            <w:tcW w:type="dxa" w:w="4608"/>
            <w:shd w:val="clear" w:color="auto" w:fill="E5E7EB"/>
            <w:tcMar>
              <w:top w:w="70" w:type="dxa"/>
              <w:bottom w:w="70" w:type="dxa"/>
              <w:left w:w="90" w:type="dxa"/>
              <w:right w:w="90" w:type="dxa"/>
            </w:tcMar>
          </w:tcPr>
          <w:p>
            <w:r>
              <w:rPr>
                <w:rFonts w:ascii="Arial" w:hAnsi="Arial"/>
                <w:b/>
                <w:sz w:val="18"/>
              </w:rPr>
              <w:t>Primary Columns &amp; Types</w:t>
            </w:r>
          </w:p>
        </w:tc>
        <w:tc>
          <w:tcPr>
            <w:tcW w:type="dxa" w:w="3744"/>
            <w:shd w:val="clear" w:color="auto" w:fill="E5E7EB"/>
            <w:tcMar>
              <w:top w:w="70" w:type="dxa"/>
              <w:bottom w:w="70" w:type="dxa"/>
              <w:left w:w="90" w:type="dxa"/>
              <w:right w:w="90" w:type="dxa"/>
            </w:tcMar>
          </w:tcPr>
          <w:p>
            <w:r>
              <w:rPr>
                <w:rFonts w:ascii="Arial" w:hAnsi="Arial"/>
                <w:b/>
                <w:sz w:val="18"/>
              </w:rPr>
              <w:t>Business Purpose</w:t>
            </w:r>
          </w:p>
        </w:tc>
      </w:tr>
      <w:tr>
        <w:tc>
          <w:tcPr>
            <w:tcW w:type="dxa" w:w="2016"/>
            <w:shd w:val="clear" w:color="auto" w:fill="FFFFFF"/>
            <w:tcMar>
              <w:top w:w="50" w:type="dxa"/>
              <w:bottom w:w="50" w:type="dxa"/>
              <w:left w:w="90" w:type="dxa"/>
              <w:right w:w="90" w:type="dxa"/>
            </w:tcMar>
          </w:tcPr>
          <w:p>
            <w:r>
              <w:rPr>
                <w:rFonts w:ascii="Arial" w:hAnsi="Arial"/>
                <w:b/>
                <w:sz w:val="17"/>
              </w:rPr>
              <w:t>customers</w:t>
            </w:r>
          </w:p>
        </w:tc>
        <w:tc>
          <w:tcPr>
            <w:tcW w:type="dxa" w:w="4608"/>
            <w:shd w:val="clear" w:color="auto" w:fill="FFFFFF"/>
            <w:tcMar>
              <w:top w:w="50" w:type="dxa"/>
              <w:bottom w:w="50" w:type="dxa"/>
              <w:left w:w="90" w:type="dxa"/>
              <w:right w:w="90" w:type="dxa"/>
            </w:tcMar>
          </w:tcPr>
          <w:p>
            <w:r>
              <w:rPr>
                <w:rFonts w:ascii="Arial" w:hAnsi="Arial"/>
                <w:sz w:val="17"/>
              </w:rPr>
              <w:t>id (UUID), name (VARCHAR), age (INT), income (FLOAT), credit_score (INT), employment_status (VARCHAR), region (VARCHAR)</w:t>
            </w:r>
          </w:p>
        </w:tc>
        <w:tc>
          <w:tcPr>
            <w:tcW w:type="dxa" w:w="3744"/>
            <w:shd w:val="clear" w:color="auto" w:fill="FFFFFF"/>
            <w:tcMar>
              <w:top w:w="50" w:type="dxa"/>
              <w:bottom w:w="50" w:type="dxa"/>
              <w:left w:w="90" w:type="dxa"/>
              <w:right w:w="90" w:type="dxa"/>
            </w:tcMar>
          </w:tcPr>
          <w:p>
            <w:r>
              <w:rPr>
                <w:rFonts w:ascii="Arial" w:hAnsi="Arial"/>
                <w:sz w:val="17"/>
              </w:rPr>
              <w:t>Stores synthetic customer profiles, income data, credit scores, and demographic parameters.</w:t>
            </w:r>
          </w:p>
        </w:tc>
      </w:tr>
      <w:tr>
        <w:tc>
          <w:tcPr>
            <w:tcW w:type="dxa" w:w="2016"/>
            <w:shd w:val="clear" w:color="auto" w:fill="FAFAFA"/>
            <w:tcMar>
              <w:top w:w="50" w:type="dxa"/>
              <w:bottom w:w="50" w:type="dxa"/>
              <w:left w:w="90" w:type="dxa"/>
              <w:right w:w="90" w:type="dxa"/>
            </w:tcMar>
          </w:tcPr>
          <w:p>
            <w:r>
              <w:rPr>
                <w:rFonts w:ascii="Arial" w:hAnsi="Arial"/>
                <w:b/>
                <w:sz w:val="17"/>
              </w:rPr>
              <w:t>accounts</w:t>
            </w:r>
          </w:p>
        </w:tc>
        <w:tc>
          <w:tcPr>
            <w:tcW w:type="dxa" w:w="4608"/>
            <w:shd w:val="clear" w:color="auto" w:fill="FAFAFA"/>
            <w:tcMar>
              <w:top w:w="50" w:type="dxa"/>
              <w:bottom w:w="50" w:type="dxa"/>
              <w:left w:w="90" w:type="dxa"/>
              <w:right w:w="90" w:type="dxa"/>
            </w:tcMar>
          </w:tcPr>
          <w:p>
            <w:r>
              <w:rPr>
                <w:rFonts w:ascii="Arial" w:hAnsi="Arial"/>
                <w:sz w:val="17"/>
              </w:rPr>
              <w:t>id (UUID), customer_id (UUID FK), account_type (VARCHAR), balance (FLOAT), opened_at (DATE)</w:t>
            </w:r>
          </w:p>
        </w:tc>
        <w:tc>
          <w:tcPr>
            <w:tcW w:type="dxa" w:w="3744"/>
            <w:shd w:val="clear" w:color="auto" w:fill="FAFAFA"/>
            <w:tcMar>
              <w:top w:w="50" w:type="dxa"/>
              <w:bottom w:w="50" w:type="dxa"/>
              <w:left w:w="90" w:type="dxa"/>
              <w:right w:w="90" w:type="dxa"/>
            </w:tcMar>
          </w:tcPr>
          <w:p>
            <w:r>
              <w:rPr>
                <w:rFonts w:ascii="Arial" w:hAnsi="Arial"/>
                <w:sz w:val="17"/>
              </w:rPr>
              <w:t>Stores customer bank accounts (savings, checking) and liquid cash balances.</w:t>
            </w:r>
          </w:p>
        </w:tc>
      </w:tr>
      <w:tr>
        <w:tc>
          <w:tcPr>
            <w:tcW w:type="dxa" w:w="2016"/>
            <w:shd w:val="clear" w:color="auto" w:fill="FFFFFF"/>
            <w:tcMar>
              <w:top w:w="50" w:type="dxa"/>
              <w:bottom w:w="50" w:type="dxa"/>
              <w:left w:w="90" w:type="dxa"/>
              <w:right w:w="90" w:type="dxa"/>
            </w:tcMar>
          </w:tcPr>
          <w:p>
            <w:r>
              <w:rPr>
                <w:rFonts w:ascii="Arial" w:hAnsi="Arial"/>
                <w:b/>
                <w:sz w:val="17"/>
              </w:rPr>
              <w:t>loans</w:t>
            </w:r>
          </w:p>
        </w:tc>
        <w:tc>
          <w:tcPr>
            <w:tcW w:type="dxa" w:w="4608"/>
            <w:shd w:val="clear" w:color="auto" w:fill="FFFFFF"/>
            <w:tcMar>
              <w:top w:w="50" w:type="dxa"/>
              <w:bottom w:w="50" w:type="dxa"/>
              <w:left w:w="90" w:type="dxa"/>
              <w:right w:w="90" w:type="dxa"/>
            </w:tcMar>
          </w:tcPr>
          <w:p>
            <w:r>
              <w:rPr>
                <w:rFonts w:ascii="Arial" w:hAnsi="Arial"/>
                <w:sz w:val="17"/>
              </w:rPr>
              <w:t>id (UUID), customer_id (UUID FK), principal (FLOAT), outstanding (FLOAT), interest_rate (FLOAT), term_months (INT), loan_type (VARCHAR), status (VARCHAR)</w:t>
            </w:r>
          </w:p>
        </w:tc>
        <w:tc>
          <w:tcPr>
            <w:tcW w:type="dxa" w:w="3744"/>
            <w:shd w:val="clear" w:color="auto" w:fill="FFFFFF"/>
            <w:tcMar>
              <w:top w:w="50" w:type="dxa"/>
              <w:bottom w:w="50" w:type="dxa"/>
              <w:left w:w="90" w:type="dxa"/>
              <w:right w:w="90" w:type="dxa"/>
            </w:tcMar>
          </w:tcPr>
          <w:p>
            <w:r>
              <w:rPr>
                <w:rFonts w:ascii="Arial" w:hAnsi="Arial"/>
                <w:sz w:val="17"/>
              </w:rPr>
              <w:t>Stores active retail and commercial loan portfolios, outstanding balances, and repayment statuses.</w:t>
            </w:r>
          </w:p>
        </w:tc>
      </w:tr>
      <w:tr>
        <w:tc>
          <w:tcPr>
            <w:tcW w:type="dxa" w:w="2016"/>
            <w:shd w:val="clear" w:color="auto" w:fill="FAFAFA"/>
            <w:tcMar>
              <w:top w:w="50" w:type="dxa"/>
              <w:bottom w:w="50" w:type="dxa"/>
              <w:left w:w="90" w:type="dxa"/>
              <w:right w:w="90" w:type="dxa"/>
            </w:tcMar>
          </w:tcPr>
          <w:p>
            <w:r>
              <w:rPr>
                <w:rFonts w:ascii="Arial" w:hAnsi="Arial"/>
                <w:b/>
                <w:sz w:val="17"/>
              </w:rPr>
              <w:t>transactions</w:t>
            </w:r>
          </w:p>
        </w:tc>
        <w:tc>
          <w:tcPr>
            <w:tcW w:type="dxa" w:w="4608"/>
            <w:shd w:val="clear" w:color="auto" w:fill="FAFAFA"/>
            <w:tcMar>
              <w:top w:w="50" w:type="dxa"/>
              <w:bottom w:w="50" w:type="dxa"/>
              <w:left w:w="90" w:type="dxa"/>
              <w:right w:w="90" w:type="dxa"/>
            </w:tcMar>
          </w:tcPr>
          <w:p>
            <w:r>
              <w:rPr>
                <w:rFonts w:ascii="Arial" w:hAnsi="Arial"/>
                <w:sz w:val="17"/>
              </w:rPr>
              <w:t>id (UUID), customer_id (UUID FK), account_id (UUID FK), amount (FLOAT), type (VARCHAR), category (VARCHAR), timestamp (DATETIME), is_flagged (BOOL)</w:t>
            </w:r>
          </w:p>
        </w:tc>
        <w:tc>
          <w:tcPr>
            <w:tcW w:type="dxa" w:w="3744"/>
            <w:shd w:val="clear" w:color="auto" w:fill="FAFAFA"/>
            <w:tcMar>
              <w:top w:w="50" w:type="dxa"/>
              <w:bottom w:w="50" w:type="dxa"/>
              <w:left w:w="90" w:type="dxa"/>
              <w:right w:w="90" w:type="dxa"/>
            </w:tcMar>
          </w:tcPr>
          <w:p>
            <w:r>
              <w:rPr>
                <w:rFonts w:ascii="Arial" w:hAnsi="Arial"/>
                <w:sz w:val="17"/>
              </w:rPr>
              <w:t>Stores individual deposit/withdrawal/transfer ledger entries with real-time fraud flags.</w:t>
            </w:r>
          </w:p>
        </w:tc>
      </w:tr>
      <w:tr>
        <w:tc>
          <w:tcPr>
            <w:tcW w:type="dxa" w:w="2016"/>
            <w:shd w:val="clear" w:color="auto" w:fill="FFFFFF"/>
            <w:tcMar>
              <w:top w:w="50" w:type="dxa"/>
              <w:bottom w:w="50" w:type="dxa"/>
              <w:left w:w="90" w:type="dxa"/>
              <w:right w:w="90" w:type="dxa"/>
            </w:tcMar>
          </w:tcPr>
          <w:p>
            <w:r>
              <w:rPr>
                <w:rFonts w:ascii="Arial" w:hAnsi="Arial"/>
                <w:b/>
                <w:sz w:val="17"/>
              </w:rPr>
              <w:t>stress_runs</w:t>
            </w:r>
          </w:p>
        </w:tc>
        <w:tc>
          <w:tcPr>
            <w:tcW w:type="dxa" w:w="4608"/>
            <w:shd w:val="clear" w:color="auto" w:fill="FFFFFF"/>
            <w:tcMar>
              <w:top w:w="50" w:type="dxa"/>
              <w:bottom w:w="50" w:type="dxa"/>
              <w:left w:w="90" w:type="dxa"/>
              <w:right w:w="90" w:type="dxa"/>
            </w:tcMar>
          </w:tcPr>
          <w:p>
            <w:r>
              <w:rPr>
                <w:rFonts w:ascii="Arial" w:hAnsi="Arial"/>
                <w:sz w:val="17"/>
              </w:rPr>
              <w:t>id (UUID), scenario_name (VARCHAR), params (JSON), results (JSON), created_at (DATETIME)</w:t>
            </w:r>
          </w:p>
        </w:tc>
        <w:tc>
          <w:tcPr>
            <w:tcW w:type="dxa" w:w="3744"/>
            <w:shd w:val="clear" w:color="auto" w:fill="FFFFFF"/>
            <w:tcMar>
              <w:top w:w="50" w:type="dxa"/>
              <w:bottom w:w="50" w:type="dxa"/>
              <w:left w:w="90" w:type="dxa"/>
              <w:right w:w="90" w:type="dxa"/>
            </w:tcMar>
          </w:tcPr>
          <w:p>
            <w:r>
              <w:rPr>
                <w:rFonts w:ascii="Arial" w:hAnsi="Arial"/>
                <w:sz w:val="17"/>
              </w:rPr>
              <w:t>Stores historical Monte Carlo stress simulation runs, macro parameter shock values, and quant outputs.</w:t>
            </w:r>
          </w:p>
        </w:tc>
      </w:tr>
      <w:tr>
        <w:tc>
          <w:tcPr>
            <w:tcW w:type="dxa" w:w="2016"/>
            <w:shd w:val="clear" w:color="auto" w:fill="FAFAFA"/>
            <w:tcMar>
              <w:top w:w="50" w:type="dxa"/>
              <w:bottom w:w="50" w:type="dxa"/>
              <w:left w:w="90" w:type="dxa"/>
              <w:right w:w="90" w:type="dxa"/>
            </w:tcMar>
          </w:tcPr>
          <w:p>
            <w:r>
              <w:rPr>
                <w:rFonts w:ascii="Arial" w:hAnsi="Arial"/>
                <w:b/>
                <w:sz w:val="17"/>
              </w:rPr>
              <w:t>users</w:t>
            </w:r>
          </w:p>
        </w:tc>
        <w:tc>
          <w:tcPr>
            <w:tcW w:type="dxa" w:w="4608"/>
            <w:shd w:val="clear" w:color="auto" w:fill="FAFAFA"/>
            <w:tcMar>
              <w:top w:w="50" w:type="dxa"/>
              <w:bottom w:w="50" w:type="dxa"/>
              <w:left w:w="90" w:type="dxa"/>
              <w:right w:w="90" w:type="dxa"/>
            </w:tcMar>
          </w:tcPr>
          <w:p>
            <w:r>
              <w:rPr>
                <w:rFonts w:ascii="Arial" w:hAnsi="Arial"/>
                <w:sz w:val="17"/>
              </w:rPr>
              <w:t>id (UUID), email (VARCHAR), hashed_password (VARCHAR), full_name (VARCHAR), role (VARCHAR)</w:t>
            </w:r>
          </w:p>
        </w:tc>
        <w:tc>
          <w:tcPr>
            <w:tcW w:type="dxa" w:w="3744"/>
            <w:shd w:val="clear" w:color="auto" w:fill="FAFAFA"/>
            <w:tcMar>
              <w:top w:w="50" w:type="dxa"/>
              <w:bottom w:w="50" w:type="dxa"/>
              <w:left w:w="90" w:type="dxa"/>
              <w:right w:w="90" w:type="dxa"/>
            </w:tcMar>
          </w:tcPr>
          <w:p>
            <w:r>
              <w:rPr>
                <w:rFonts w:ascii="Arial" w:hAnsi="Arial"/>
                <w:sz w:val="17"/>
              </w:rPr>
              <w:t>Stores authenticated user credentials and access permissions for the executive portal.</w:t>
            </w:r>
          </w:p>
        </w:tc>
      </w:tr>
    </w:tbl>
    <w:p>
      <w:pPr>
        <w:spacing w:after="60"/>
      </w:pPr>
    </w:p>
    <w:p>
      <w:pPr>
        <w:keepNext/>
        <w:spacing w:before="280" w:after="80"/>
      </w:pPr>
      <w:r>
        <w:rPr>
          <w:rFonts w:ascii="Arial" w:hAnsi="Arial"/>
          <w:b/>
          <w:color w:val="000000"/>
          <w:sz w:val="32"/>
        </w:rPr>
        <w:t>6. Step-by-Step Deployment &amp; Operational Guide</w:t>
      </w:r>
    </w:p>
    <w:p>
      <w:pPr>
        <w:spacing w:before="0" w:after="80" w:line="276" w:lineRule="auto"/>
      </w:pPr>
      <w:r>
        <w:rPr>
          <w:rFonts w:ascii="Arial" w:hAnsi="Arial"/>
          <w:color w:val="232323"/>
          <w:sz w:val="20"/>
        </w:rPr>
        <w:t>Follow this exact step-by-step procedure to clone the codebase, setup virtual environments, launch backend and frontend servers, and query SQL database tables.</w:t>
      </w:r>
    </w:p>
    <w:p>
      <w:pPr>
        <w:keepNext/>
        <w:spacing w:before="200" w:after="60"/>
      </w:pPr>
      <w:r>
        <w:rPr>
          <w:rFonts w:ascii="Arial" w:hAnsi="Arial"/>
          <w:b/>
          <w:color w:val="1E1E1E"/>
          <w:sz w:val="26"/>
        </w:rPr>
        <w:t>Step 1: Clone the GitHub Repository</w:t>
      </w:r>
    </w:p>
    <w:tbl>
      <w:tblPr>
        <w:tblW w:type="auto" w:w="0"/>
        <w:jc w:val="center"/>
        <w:tblLook w:firstColumn="1" w:firstRow="1" w:lastColumn="0" w:lastRow="0" w:noHBand="0" w:noVBand="1" w:val="04A0"/>
      </w:tblPr>
      <w:tblGrid>
        <w:gridCol w:w="10512"/>
      </w:tblGrid>
      <w:tr>
        <w:tc>
          <w:tcPr>
            <w:tcW w:type="dxa" w:w="10512"/>
            <w:shd w:val="clear" w:color="auto" w:fill="F8F9FA"/>
            <w:tcMar>
              <w:top w:w="100" w:type="dxa"/>
              <w:bottom w:w="100" w:type="dxa"/>
              <w:left w:w="150" w:type="dxa"/>
              <w:right w:w="150" w:type="dxa"/>
            </w:tcMar>
            <w:tcBorders>
              <w:top w:val="single" w:sz="4" w:color="D1D5DB"/>
              <w:left w:val="single" w:sz="4" w:color="D1D5DB"/>
              <w:bottom w:val="single" w:sz="4" w:color="D1D5DB"/>
              <w:right w:val="single" w:sz="4" w:color="D1D5DB"/>
            </w:tcBorders>
          </w:tcPr>
          <w:p>
            <w:pPr>
              <w:spacing w:before="0" w:after="0" w:line="252" w:lineRule="auto"/>
            </w:pPr>
            <w:r>
              <w:rPr>
                <w:rFonts w:ascii="Consolas" w:hAnsi="Consolas"/>
                <w:color w:val="141414"/>
                <w:sz w:val="17"/>
              </w:rPr>
              <w:t>git clone https://github.com/vermadaivadeep2005-cloud/bank-digital-twin.git</w:t>
              <w:br/>
              <w:t>cd bank-digital-twin</w:t>
            </w:r>
          </w:p>
        </w:tc>
      </w:tr>
    </w:tbl>
    <w:p>
      <w:pPr>
        <w:spacing w:after="60"/>
      </w:pPr>
    </w:p>
    <w:p>
      <w:pPr>
        <w:keepNext/>
        <w:spacing w:before="200" w:after="60"/>
      </w:pPr>
      <w:r>
        <w:rPr>
          <w:rFonts w:ascii="Arial" w:hAnsi="Arial"/>
          <w:b/>
          <w:color w:val="1E1E1E"/>
          <w:sz w:val="26"/>
        </w:rPr>
        <w:t>Step 2: Setup &amp; Launch Python Backend Server</w:t>
      </w:r>
    </w:p>
    <w:tbl>
      <w:tblPr>
        <w:tblW w:type="auto" w:w="0"/>
        <w:jc w:val="center"/>
        <w:tblLook w:firstColumn="1" w:firstRow="1" w:lastColumn="0" w:lastRow="0" w:noHBand="0" w:noVBand="1" w:val="04A0"/>
      </w:tblPr>
      <w:tblGrid>
        <w:gridCol w:w="10512"/>
      </w:tblGrid>
      <w:tr>
        <w:tc>
          <w:tcPr>
            <w:tcW w:type="dxa" w:w="10512"/>
            <w:shd w:val="clear" w:color="auto" w:fill="F8F9FA"/>
            <w:tcMar>
              <w:top w:w="100" w:type="dxa"/>
              <w:bottom w:w="100" w:type="dxa"/>
              <w:left w:w="150" w:type="dxa"/>
              <w:right w:w="150" w:type="dxa"/>
            </w:tcMar>
            <w:tcBorders>
              <w:top w:val="single" w:sz="4" w:color="D1D5DB"/>
              <w:left w:val="single" w:sz="4" w:color="D1D5DB"/>
              <w:bottom w:val="single" w:sz="4" w:color="D1D5DB"/>
              <w:right w:val="single" w:sz="4" w:color="D1D5DB"/>
            </w:tcBorders>
          </w:tcPr>
          <w:p>
            <w:pPr>
              <w:spacing w:before="0" w:after="0" w:line="252" w:lineRule="auto"/>
            </w:pPr>
            <w:r>
              <w:rPr>
                <w:rFonts w:ascii="Consolas" w:hAnsi="Consolas"/>
                <w:color w:val="141414"/>
                <w:sz w:val="17"/>
              </w:rPr>
              <w:t># Navigate to backend directory</w:t>
              <w:br/>
              <w:t>cd backend</w:t>
              <w:br/>
              <w:br/>
              <w:t># Create and activate Python virtual environment</w:t>
              <w:br/>
              <w:t>python3 -m venv venv</w:t>
              <w:br/>
              <w:t>source venv/bin/activate</w:t>
              <w:br/>
              <w:br/>
              <w:t># Install backend dependencies</w:t>
              <w:br/>
              <w:t>pip install -r requirements.txt</w:t>
              <w:br/>
              <w:br/>
              <w:t># Run FastAPI server on port 8000</w:t>
              <w:br/>
              <w:t>PYTHONPATH=. uvicorn app.main:app --host 0.0.0.0 --port 8000 --reload</w:t>
            </w:r>
          </w:p>
        </w:tc>
      </w:tr>
    </w:tbl>
    <w:p>
      <w:pPr>
        <w:spacing w:after="60"/>
      </w:pPr>
    </w:p>
    <w:p>
      <w:pPr>
        <w:spacing w:before="0" w:after="80" w:line="276" w:lineRule="auto"/>
      </w:pPr>
      <w:r>
        <w:rPr>
          <w:rFonts w:ascii="Arial" w:hAnsi="Arial"/>
          <w:color w:val="232323"/>
          <w:sz w:val="20"/>
        </w:rPr>
        <w:t>API Documentation Access: Open http://localhost:8000/docs in your browser to test interactive Swagger API endpoints.</w:t>
      </w:r>
    </w:p>
    <w:p>
      <w:pPr>
        <w:keepNext/>
        <w:spacing w:before="200" w:after="60"/>
      </w:pPr>
      <w:r>
        <w:rPr>
          <w:rFonts w:ascii="Arial" w:hAnsi="Arial"/>
          <w:b/>
          <w:color w:val="1E1E1E"/>
          <w:sz w:val="26"/>
        </w:rPr>
        <w:t>Step 3: Setup &amp; Launch Next.js Frontend Server</w:t>
      </w:r>
    </w:p>
    <w:tbl>
      <w:tblPr>
        <w:tblW w:type="auto" w:w="0"/>
        <w:jc w:val="center"/>
        <w:tblLook w:firstColumn="1" w:firstRow="1" w:lastColumn="0" w:lastRow="0" w:noHBand="0" w:noVBand="1" w:val="04A0"/>
      </w:tblPr>
      <w:tblGrid>
        <w:gridCol w:w="10512"/>
      </w:tblGrid>
      <w:tr>
        <w:tc>
          <w:tcPr>
            <w:tcW w:type="dxa" w:w="10512"/>
            <w:shd w:val="clear" w:color="auto" w:fill="F8F9FA"/>
            <w:tcMar>
              <w:top w:w="100" w:type="dxa"/>
              <w:bottom w:w="100" w:type="dxa"/>
              <w:left w:w="150" w:type="dxa"/>
              <w:right w:w="150" w:type="dxa"/>
            </w:tcMar>
            <w:tcBorders>
              <w:top w:val="single" w:sz="4" w:color="D1D5DB"/>
              <w:left w:val="single" w:sz="4" w:color="D1D5DB"/>
              <w:bottom w:val="single" w:sz="4" w:color="D1D5DB"/>
              <w:right w:val="single" w:sz="4" w:color="D1D5DB"/>
            </w:tcBorders>
          </w:tcPr>
          <w:p>
            <w:pPr>
              <w:spacing w:before="0" w:after="0" w:line="252" w:lineRule="auto"/>
            </w:pPr>
            <w:r>
              <w:rPr>
                <w:rFonts w:ascii="Consolas" w:hAnsi="Consolas"/>
                <w:color w:val="141414"/>
                <w:sz w:val="17"/>
              </w:rPr>
              <w:t># Navigate to frontend directory</w:t>
              <w:br/>
              <w:t>cd ../frontend</w:t>
              <w:br/>
              <w:br/>
              <w:t># Install Node.js dependencies</w:t>
              <w:br/>
              <w:t>npm install</w:t>
              <w:br/>
              <w:br/>
              <w:t># Launch Next.js dev server on port 3000</w:t>
              <w:br/>
              <w:t>npm run dev</w:t>
            </w:r>
          </w:p>
        </w:tc>
      </w:tr>
    </w:tbl>
    <w:p>
      <w:pPr>
        <w:spacing w:after="60"/>
      </w:pPr>
    </w:p>
    <w:p>
      <w:pPr>
        <w:spacing w:before="0" w:after="80" w:line="276" w:lineRule="auto"/>
      </w:pPr>
      <w:r>
        <w:rPr>
          <w:rFonts w:ascii="Arial" w:hAnsi="Arial"/>
          <w:color w:val="232323"/>
          <w:sz w:val="20"/>
        </w:rPr>
        <w:t>Web Dashboard Access: Open http://localhost:3000 in your browser to view the interactive application dashboard.</w:t>
      </w:r>
    </w:p>
    <w:p>
      <w:pPr>
        <w:keepNext/>
        <w:spacing w:before="200" w:after="60"/>
      </w:pPr>
      <w:r>
        <w:rPr>
          <w:rFonts w:ascii="Arial" w:hAnsi="Arial"/>
          <w:b/>
          <w:color w:val="1E1E1E"/>
          <w:sz w:val="26"/>
        </w:rPr>
        <w:t>Step 4: Commands to View &amp; Inspect All SQL Database Tables</w:t>
      </w:r>
    </w:p>
    <w:p>
      <w:pPr>
        <w:spacing w:before="0" w:after="80" w:line="276" w:lineRule="auto"/>
      </w:pPr>
      <w:r>
        <w:rPr>
          <w:rFonts w:ascii="Arial" w:hAnsi="Arial"/>
          <w:color w:val="232323"/>
          <w:sz w:val="20"/>
        </w:rPr>
        <w:t>Option A: Command Line Terminal (via SQLite CLI):</w:t>
      </w:r>
    </w:p>
    <w:tbl>
      <w:tblPr>
        <w:tblW w:type="auto" w:w="0"/>
        <w:jc w:val="center"/>
        <w:tblLook w:firstColumn="1" w:firstRow="1" w:lastColumn="0" w:lastRow="0" w:noHBand="0" w:noVBand="1" w:val="04A0"/>
      </w:tblPr>
      <w:tblGrid>
        <w:gridCol w:w="10512"/>
      </w:tblGrid>
      <w:tr>
        <w:tc>
          <w:tcPr>
            <w:tcW w:type="dxa" w:w="10512"/>
            <w:shd w:val="clear" w:color="auto" w:fill="F8F9FA"/>
            <w:tcMar>
              <w:top w:w="100" w:type="dxa"/>
              <w:bottom w:w="100" w:type="dxa"/>
              <w:left w:w="150" w:type="dxa"/>
              <w:right w:w="150" w:type="dxa"/>
            </w:tcMar>
            <w:tcBorders>
              <w:top w:val="single" w:sz="4" w:color="D1D5DB"/>
              <w:left w:val="single" w:sz="4" w:color="D1D5DB"/>
              <w:bottom w:val="single" w:sz="4" w:color="D1D5DB"/>
              <w:right w:val="single" w:sz="4" w:color="D1D5DB"/>
            </w:tcBorders>
          </w:tcPr>
          <w:p>
            <w:pPr>
              <w:spacing w:before="0" w:after="0" w:line="252" w:lineRule="auto"/>
            </w:pPr>
            <w:r>
              <w:rPr>
                <w:rFonts w:ascii="Consolas" w:hAnsi="Consolas"/>
                <w:color w:val="141414"/>
                <w:sz w:val="17"/>
              </w:rPr>
              <w:t># Navigate to workspace root where bank_twin.db is located</w:t>
              <w:br/>
              <w:t>cd /Users/it4/Desktop/bank-digital-twin</w:t>
              <w:br/>
              <w:br/>
              <w:t># 1. List all 6 SQL database tables</w:t>
              <w:br/>
              <w:t>sqlite3 bank_twin.db ".tables"</w:t>
              <w:br/>
              <w:br/>
              <w:t># 2. View full schema definition for all tables</w:t>
              <w:br/>
              <w:t>sqlite3 bank_twin.db ".schema"</w:t>
              <w:br/>
              <w:br/>
              <w:t># 3. Query sample rows from the loans table formatted in clean columns</w:t>
              <w:br/>
              <w:t>sqlite3 bank_twin.db -header -column "SELECT id, loan_type, principal, outstanding, interest_rate, status FROM loans LIMIT 10;"</w:t>
              <w:br/>
              <w:br/>
              <w:t># 4. Query customer profile summary</w:t>
              <w:br/>
              <w:t>sqlite3 bank_twin.db -header -column "SELECT name, credit_score, income, employment_status FROM customers LIMIT 10;"</w:t>
            </w:r>
          </w:p>
        </w:tc>
      </w:tr>
    </w:tbl>
    <w:p>
      <w:pPr>
        <w:spacing w:after="60"/>
      </w:pPr>
    </w:p>
    <w:p>
      <w:pPr>
        <w:spacing w:before="0" w:after="80" w:line="276" w:lineRule="auto"/>
      </w:pPr>
      <w:r>
        <w:rPr>
          <w:rFonts w:ascii="Arial" w:hAnsi="Arial"/>
          <w:color w:val="232323"/>
          <w:sz w:val="20"/>
        </w:rPr>
        <w:t>Option B: Python Command Script:</w:t>
      </w:r>
    </w:p>
    <w:tbl>
      <w:tblPr>
        <w:tblW w:type="auto" w:w="0"/>
        <w:jc w:val="center"/>
        <w:tblLook w:firstColumn="1" w:firstRow="1" w:lastColumn="0" w:lastRow="0" w:noHBand="0" w:noVBand="1" w:val="04A0"/>
      </w:tblPr>
      <w:tblGrid>
        <w:gridCol w:w="10512"/>
      </w:tblGrid>
      <w:tr>
        <w:tc>
          <w:tcPr>
            <w:tcW w:type="dxa" w:w="10512"/>
            <w:shd w:val="clear" w:color="auto" w:fill="F8F9FA"/>
            <w:tcMar>
              <w:top w:w="100" w:type="dxa"/>
              <w:bottom w:w="100" w:type="dxa"/>
              <w:left w:w="150" w:type="dxa"/>
              <w:right w:w="150" w:type="dxa"/>
            </w:tcMar>
            <w:tcBorders>
              <w:top w:val="single" w:sz="4" w:color="D1D5DB"/>
              <w:left w:val="single" w:sz="4" w:color="D1D5DB"/>
              <w:bottom w:val="single" w:sz="4" w:color="D1D5DB"/>
              <w:right w:val="single" w:sz="4" w:color="D1D5DB"/>
            </w:tcBorders>
          </w:tcPr>
          <w:p>
            <w:pPr>
              <w:spacing w:before="0" w:after="0" w:line="252" w:lineRule="auto"/>
            </w:pPr>
            <w:r>
              <w:rPr>
                <w:rFonts w:ascii="Consolas" w:hAnsi="Consolas"/>
                <w:color w:val="141414"/>
                <w:sz w:val="17"/>
              </w:rPr>
              <w:t>python3 -c "import sqlite3, pandas as pd; conn = sqlite3.connect('bank_twin.db'); print(pd.read_sql('SELECT name FROM sqlite_master WHERE type=\'table\';', conn)); conn.close()"</w:t>
            </w:r>
          </w:p>
        </w:tc>
      </w:tr>
    </w:tbl>
    <w:p>
      <w:pPr>
        <w:spacing w:after="60"/>
      </w:pPr>
    </w:p>
    <w:p>
      <w:pPr>
        <w:keepNext/>
        <w:spacing w:before="200" w:after="60"/>
      </w:pPr>
      <w:r>
        <w:rPr>
          <w:rFonts w:ascii="Arial" w:hAnsi="Arial"/>
          <w:b/>
          <w:color w:val="1E1E1E"/>
          <w:sz w:val="26"/>
        </w:rPr>
        <w:t>Step 5: Production Build Verification</w:t>
      </w:r>
    </w:p>
    <w:tbl>
      <w:tblPr>
        <w:tblW w:type="auto" w:w="0"/>
        <w:jc w:val="center"/>
        <w:tblLook w:firstColumn="1" w:firstRow="1" w:lastColumn="0" w:lastRow="0" w:noHBand="0" w:noVBand="1" w:val="04A0"/>
      </w:tblPr>
      <w:tblGrid>
        <w:gridCol w:w="10512"/>
      </w:tblGrid>
      <w:tr>
        <w:tc>
          <w:tcPr>
            <w:tcW w:type="dxa" w:w="10512"/>
            <w:shd w:val="clear" w:color="auto" w:fill="F8F9FA"/>
            <w:tcMar>
              <w:top w:w="100" w:type="dxa"/>
              <w:bottom w:w="100" w:type="dxa"/>
              <w:left w:w="150" w:type="dxa"/>
              <w:right w:w="150" w:type="dxa"/>
            </w:tcMar>
            <w:tcBorders>
              <w:top w:val="single" w:sz="4" w:color="D1D5DB"/>
              <w:left w:val="single" w:sz="4" w:color="D1D5DB"/>
              <w:bottom w:val="single" w:sz="4" w:color="D1D5DB"/>
              <w:right w:val="single" w:sz="4" w:color="D1D5DB"/>
            </w:tcBorders>
          </w:tcPr>
          <w:p>
            <w:pPr>
              <w:spacing w:before="0" w:after="0" w:line="252" w:lineRule="auto"/>
            </w:pPr>
            <w:r>
              <w:rPr>
                <w:rFonts w:ascii="Consolas" w:hAnsi="Consolas"/>
                <w:color w:val="141414"/>
                <w:sz w:val="17"/>
              </w:rPr>
              <w:t># Run backend unit test suite (21/21 tests passed)</w:t>
              <w:br/>
              <w:t>python3 -m pytest backend/tests/</w:t>
              <w:br/>
              <w:br/>
              <w:t># Run frontend TypeScript type checking and production build</w:t>
              <w:br/>
              <w:t>cd frontend</w:t>
              <w:br/>
              <w:t>npx tsc --noEmit</w:t>
              <w:br/>
              <w:t>npm run build</w:t>
            </w:r>
          </w:p>
        </w:tc>
      </w:tr>
    </w:tbl>
    <w:p>
      <w:pPr>
        <w:spacing w:after="60"/>
      </w:pP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