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4"/>
          <w:szCs w:val="34"/>
        </w:rPr>
        <w:t xml:space="preserve">IDRiD-VQA: Fine-Tuning a 2B Vision-Language Model for Explainable Diabetic Retinopathy Grading on Consumer Hardware</w:t>
      </w:r>
    </w:p>
    <w:p>
      <w:pPr>
        <w:spacing w:after="40"/>
        <w:jc w:val="center"/>
      </w:pPr>
      <w:r>
        <w:rPr>
          <w:rFonts w:ascii="Calibri" w:cs="Calibri" w:eastAsia="Calibri" w:hAnsi="Calibri"/>
          <w:sz w:val="24"/>
          <w:szCs w:val="24"/>
        </w:rPr>
        <w:t xml:space="preserve">Yuvraj Verma</w:t>
      </w:r>
    </w:p>
    <w:p>
      <w:pPr>
        <w:spacing w:after="240"/>
        <w:jc w:val="center"/>
      </w:pPr>
      <w:r>
        <w:rPr>
          <w:rFonts w:ascii="Calibri" w:cs="Calibri" w:eastAsia="Calibri" w:hAnsi="Calibri"/>
          <w:i/>
          <w:iCs/>
          <w:sz w:val="20"/>
          <w:szCs w:val="20"/>
        </w:rPr>
        <w:t xml:space="preserve">Independent Researcher · yuvrajverma282004@gmail.com</w:t>
      </w:r>
    </w:p>
    <w:p>
      <w:pPr>
        <w:pStyle w:val="Heading1"/>
      </w:pPr>
      <w:r>
        <w:t xml:space="preserve">Plain-Language Summary</w:t>
      </w:r>
    </w:p>
    <w:p>
      <w:pPr>
        <w:spacing w:after="140" w:line="288"/>
        <w:jc w:val="both"/>
      </w:pPr>
      <w:r>
        <w:t xml:space="preserve">Diabetic retinopathy is eye damage caused by diabetes and a leading cause of preventable blindness. Doctors diagnose it by looking at a photograph of the back of the eye (the retina) and assigning a severity grade from 0 (healthy) to 4 (most severe). The problem: there are far more patients who need screening than there are trained specialists to examine them.</w:t>
      </w:r>
    </w:p>
    <w:p>
      <w:pPr>
        <w:spacing w:after="140" w:line="288"/>
        <w:jc w:val="both"/>
      </w:pPr>
      <w:r>
        <w:t xml:space="preserve">This project teaches a small, open AI model to do two things from a single retinal photo: </w:t>
      </w:r>
      <w:r>
        <w:rPr>
          <w:b/>
          <w:bCs/>
        </w:rPr>
        <w:t xml:space="preserve">(1)</w:t>
      </w:r>
      <w:r>
        <w:t xml:space="preserve"> assign the 0-4 severity grade, and </w:t>
      </w:r>
      <w:r>
        <w:rPr>
          <w:b/>
          <w:bCs/>
        </w:rPr>
        <w:t xml:space="preserve">(2)</w:t>
      </w:r>
      <w:r>
        <w:t xml:space="preserve"> write a short clinical explanation — which lesions are present, why that grade was chosen, and what follow-up the patient needs. Crucially, the whole system was trained and runs on an </w:t>
      </w:r>
      <w:r>
        <w:rPr>
          <w:b/>
          <w:bCs/>
        </w:rPr>
        <w:t xml:space="preserve">ordinary gaming laptop</w:t>
      </w:r>
      <w:r>
        <w:t xml:space="preserve"> (a 6 GB NVIDIA RTX 4050), not an expensive data-center server.</w:t>
      </w:r>
    </w:p>
    <w:p>
      <w:pPr>
        <w:spacing w:after="140" w:line="288"/>
        <w:jc w:val="both"/>
      </w:pPr>
      <w:r>
        <w:t xml:space="preserve">To teach it, we built a dataset called </w:t>
      </w:r>
      <w:r>
        <w:rPr>
          <w:b/>
          <w:bCs/>
        </w:rPr>
        <w:t xml:space="preserve">IDRiD-VQA</w:t>
      </w:r>
      <w:r>
        <w:t xml:space="preserve">: 2,064 question-and-answer pairs written by Google's Gemini AI from the official expert labels of 516 real retinal images. We then fine-tuned the model with a memory-saving technique (4-bit QLoRA) so it fits in the laptop's small memory.</w:t>
      </w:r>
    </w:p>
    <w:p>
      <w:pPr>
        <w:spacing w:after="140" w:line="288"/>
        <w:jc w:val="both"/>
      </w:pPr>
      <w:r>
        <w:rPr>
          <w:b/>
          <w:bCs/>
        </w:rPr>
        <w:t xml:space="preserve">What we found (on 103 unseen test images):</w:t>
      </w:r>
    </w:p>
    <w:p>
      <w:pPr>
        <w:pStyle w:val="ListParagraph"/>
        <w:numPr>
          <w:ilvl w:val="0"/>
          <w:numId w:val="2"/>
        </w:numPr>
        <w:spacing w:after="60" w:line="276"/>
      </w:pPr>
      <w:r>
        <w:t xml:space="preserve">Grading accuracy rose from </w:t>
      </w:r>
      <w:r>
        <w:rPr>
          <w:b/>
          <w:bCs/>
        </w:rPr>
        <w:t xml:space="preserve">31% to 54%</w:t>
      </w:r>
      <w:r>
        <w:t xml:space="preserve">.</w:t>
      </w:r>
    </w:p>
    <w:p>
      <w:pPr>
        <w:pStyle w:val="ListParagraph"/>
        <w:numPr>
          <w:ilvl w:val="0"/>
          <w:numId w:val="2"/>
        </w:numPr>
        <w:spacing w:after="60" w:line="276"/>
      </w:pPr>
      <w:r>
        <w:t xml:space="preserve">The standard medical agreement score (Quadratic Weighted Kappa) rose from </w:t>
      </w:r>
      <w:r>
        <w:rPr>
          <w:b/>
          <w:bCs/>
        </w:rPr>
        <w:t xml:space="preserve">0.00 to 0.62</w:t>
      </w:r>
      <w:r>
        <w:t xml:space="preserve"> — from “no agreement” to “substantial agreement” with human experts.</w:t>
      </w:r>
    </w:p>
    <w:p>
      <w:pPr>
        <w:pStyle w:val="ListParagraph"/>
        <w:numPr>
          <w:ilvl w:val="0"/>
          <w:numId w:val="2"/>
        </w:numPr>
        <w:spacing w:after="60" w:line="276"/>
      </w:pPr>
      <w:r>
        <w:t xml:space="preserve">Explanations became about </w:t>
      </w:r>
      <w:r>
        <w:rPr>
          <w:b/>
          <w:bCs/>
        </w:rPr>
        <w:t xml:space="preserve">3× closer</w:t>
      </w:r>
      <w:r>
        <w:t xml:space="preserve"> to expert wording, and the model runs </w:t>
      </w:r>
      <w:r>
        <w:rPr>
          <w:b/>
          <w:bCs/>
        </w:rPr>
        <w:t xml:space="preserve">2× faster</w:t>
      </w:r>
      <w:r>
        <w:t xml:space="preserve">.</w:t>
      </w:r>
    </w:p>
    <w:p>
      <w:pPr>
        <w:pStyle w:val="ListParagraph"/>
        <w:numPr>
          <w:ilvl w:val="0"/>
          <w:numId w:val="2"/>
        </w:numPr>
        <w:spacing w:after="60" w:line="276"/>
      </w:pPr>
      <w:r>
        <w:t xml:space="preserve">Training took only </w:t>
      </w:r>
      <w:r>
        <w:rPr>
          <w:b/>
          <w:bCs/>
        </w:rPr>
        <w:t xml:space="preserve">~65 minutes</w:t>
      </w:r>
      <w:r>
        <w:t xml:space="preserve"> and used </w:t>
      </w:r>
      <w:r>
        <w:rPr>
          <w:b/>
          <w:bCs/>
        </w:rPr>
        <w:t xml:space="preserve">3.5 GB</w:t>
      </w:r>
      <w:r>
        <w:t xml:space="preserve"> of memory.</w:t>
      </w:r>
    </w:p>
    <w:p>
      <w:pPr>
        <w:spacing w:after="140" w:line="288"/>
        <w:jc w:val="both"/>
      </w:pPr>
      <w:r>
        <w:rPr>
          <w:b/>
          <w:bCs/>
        </w:rPr>
        <w:t xml:space="preserve">Why it matters:</w:t>
      </w:r>
      <w:r>
        <w:t xml:space="preserve"> useful, explainable medical AI can be built by an individual on consumer hardware — making it far more accessible for research and for low-resource settings where screening is most needed. The model, dataset, and code are released openly. This is a research prototype, not a medical device.</w:t>
      </w:r>
    </w:p>
    <w:p>
      <w:r>
        <w:br w:type="page"/>
      </w:r>
    </w:p>
    <w:p>
      <w:pPr>
        <w:spacing w:after="160"/>
        <w:jc w:val="center"/>
      </w:pPr>
      <w:r>
        <w:rPr>
          <w:rFonts w:ascii="Calibri" w:cs="Calibri" w:eastAsia="Calibri" w:hAnsi="Calibri"/>
          <w:b/>
          <w:bCs/>
          <w:sz w:val="26"/>
          <w:szCs w:val="26"/>
        </w:rPr>
        <w:t xml:space="preserve">Full Paper (preprint)</w:t>
      </w:r>
    </w:p>
    <w:p>
      <w:pPr>
        <w:pStyle w:val="Heading1"/>
      </w:pPr>
      <w:r>
        <w:t xml:space="preserve">Abstract</w:t>
      </w:r>
    </w:p>
    <w:p>
      <w:pPr>
        <w:spacing w:after="140" w:line="288"/>
        <w:jc w:val="both"/>
      </w:pPr>
      <w:r>
        <w:t xml:space="preserve">Diabetic retinopathy (DR) is a leading cause of preventable blindness, and automated grading can extend screening to under-served populations. Most high-accuracy DR models are opaque classifiers, and recent medical vision-language models (VLMs) that offer explanations require data-center GPUs to train. We present IDRiD-VQA, a pipeline that fine-tunes Qwen2-VL-2B-Instruct for explainable DR grading entirely on a single 6 GB consumer GPU (NVIDIA RTX 4050). We construct a visual-question-answering dataset of 2,064 clinically grounded QA pairs from IDRiD — grade identification, lesion identification, clinical reasoning, and patient recommendation — and fine-tune with 4-bit QLoRA using Unsloth. On the 103-image held-out test split, fine-tuning raises exact-match accuracy from 31.1% to 54.4% and quadratic weighted kappa (QWK) from 0.00 to 0.62 (substantial agreement), roughly triples ROUGE-L explanation overlap (0.08→0.23), and halves inference latency, producing structured reports at zero marginal per-image cost. The entire fine-tune runs in about 65 minutes within 3.52 GB of VRAM. We release the dataset, adapter weights, and code.</w:t>
      </w:r>
    </w:p>
    <w:p>
      <w:pPr>
        <w:pStyle w:val="Heading1"/>
      </w:pPr>
      <w:r>
        <w:t xml:space="preserve">1. Introduction</w:t>
      </w:r>
    </w:p>
    <w:p>
      <w:pPr>
        <w:spacing w:after="140" w:line="288"/>
        <w:jc w:val="both"/>
      </w:pPr>
      <w:r>
        <w:t xml:space="preserve">Diabetic retinopathy affects roughly one in three people living with diabetes and is a leading cause of vision loss worldwide. Screening relies on grading colour fundus photographs on the international 0-4 severity scale (No DR, Mild, Moderate, Severe, Proliferative), but the number of trained graders is limited. Deep-learning classifiers achieve strong grading accuracy, yet they typically output a single label with no justification, which limits clinician trust and regulatory acceptance.</w:t>
      </w:r>
    </w:p>
    <w:p>
      <w:pPr>
        <w:spacing w:after="140" w:line="288"/>
        <w:jc w:val="both"/>
      </w:pPr>
      <w:r>
        <w:t xml:space="preserve">Vision-language models offer a path to explainable grading: a model that both assigns a grade and articulates the retinal findings that support it. Unfortunately, training such models is usually assumed to require multiple high-memory GPUs, placing it out of reach for individual researchers and low-resource institutions — precisely where automated screening is most needed.</w:t>
      </w:r>
    </w:p>
    <w:p>
      <w:pPr>
        <w:spacing w:after="140" w:line="288"/>
        <w:jc w:val="both"/>
      </w:pPr>
      <w:r>
        <w:t xml:space="preserve">We ask whether a compact 2B-parameter VLM can be fine-tuned for explainable DR grading on a single 6 GB laptop GPU. Our contributions are: (1) IDRiD-VQA, a clinically grounded VQA dataset built from IDRiD labels; (2) a memory-frugal QLoRA recipe that fits training in under 5.5 GB of VRAM; and (3) an evaluation comparing the fine-tuned model against the zero-shot base model on grading accuracy, QWK, and explanation quality.</w:t>
      </w:r>
    </w:p>
    <w:p>
      <w:pPr>
        <w:pStyle w:val="Heading1"/>
      </w:pPr>
      <w:r>
        <w:t xml:space="preserve">2. Related Work</w:t>
      </w:r>
    </w:p>
    <w:p>
      <w:pPr>
        <w:spacing w:after="140" w:line="288"/>
        <w:jc w:val="both"/>
      </w:pPr>
      <w:r>
        <w:rPr>
          <w:b/>
          <w:bCs/>
        </w:rPr>
        <w:t xml:space="preserve">Automated DR grading.</w:t>
      </w:r>
      <w:r>
        <w:t xml:space="preserve"> Convolutional classifiers trained on large fundus corpora (EyePACS, Messidor, APTOS) established strong grading baselines, and IDRiD added pixel-level lesion annotations. These systems optimise QWK but do not explain their predictions.</w:t>
      </w:r>
    </w:p>
    <w:p>
      <w:pPr>
        <w:spacing w:after="140" w:line="288"/>
        <w:jc w:val="both"/>
      </w:pPr>
      <w:r>
        <w:rPr>
          <w:b/>
          <w:bCs/>
        </w:rPr>
        <w:t xml:space="preserve">Medical vision-language models.</w:t>
      </w:r>
      <w:r>
        <w:t xml:space="preserve"> General VLMs such as the Qwen2-VL family and LLaVA-style models have been adapted to radiology and ophthalmology, producing free-text findings; most reported adaptations rely on data-center hardware.</w:t>
      </w:r>
    </w:p>
    <w:p>
      <w:pPr>
        <w:spacing w:after="140" w:line="288"/>
        <w:jc w:val="both"/>
      </w:pPr>
      <w:r>
        <w:rPr>
          <w:b/>
          <w:bCs/>
        </w:rPr>
        <w:t xml:space="preserve">Parameter-efficient fine-tuning.</w:t>
      </w:r>
      <w:r>
        <w:t xml:space="preserve"> LoRA and its 4-bit quantized variant QLoRA dramatically reduce the memory footprint of adaptation. Systems like Unsloth further cut memory via fused kernels and custom gradient checkpointing, enabling single-GPU fine-tuning of multimodal models. We combine these to bring explainable DR grading to consumer hardware.</w:t>
      </w:r>
    </w:p>
    <w:p>
      <w:pPr>
        <w:pStyle w:val="Heading1"/>
      </w:pPr>
      <w:r>
        <w:t xml:space="preserve">3. Dataset Construction</w:t>
      </w:r>
    </w:p>
    <w:p>
      <w:pPr>
        <w:spacing w:after="140" w:line="288"/>
        <w:jc w:val="both"/>
      </w:pPr>
      <w:r>
        <w:t xml:space="preserve">We build on IDRiD, which provides 516 colour fundus images with expert DR grades (0-4) and a macular-edema risk label, together with lesion segmentation masks on a subset of images. For each image we assemble a structured record: the DR grade, the macular-edema risk, and per-lesion presence flags. Lesion presence is read from the segmentation masks where available; for the grading-only subset we fall back to grade-conditioned clinical priors, recording the provenance of every flag.</w:t>
      </w:r>
    </w:p>
    <w:p>
      <w:pPr>
        <w:spacing w:after="140" w:line="288"/>
        <w:jc w:val="both"/>
      </w:pPr>
      <w:r>
        <w:rPr>
          <w:b/>
          <w:bCs/>
        </w:rPr>
        <w:t xml:space="preserve">QA generation.</w:t>
      </w:r>
      <w:r>
        <w:t xml:space="preserve"> From these structured findings — not the pixels — we prompt Gemini Flash models to write four QA pairs per image: grade identification, lesion identification, clinical reasoning, and patient recommendation. Conditioning on labels rather than images prevents the generator from hallucinating findings. Generation batches multiple cases per request, throttles to the API rate limit, and — because that limit is per-model — cycles across a pool of Gemini flash models as each quota is exhausted, with a template fallback guaranteeing coverage. This yields 2,064 QA pairs (four per image over all 516 images), every one Gemini-generated in our run. We adopt the canonical IDRiD split — 413 training and 103 test images — tracked by folder, so no image appears in both.</w:t>
      </w:r>
    </w:p>
    <w:p>
      <w:pPr>
        <w:pStyle w:val="Heading1"/>
      </w:pPr>
      <w:r>
        <w:t xml:space="preserve">4. Methodology</w:t>
      </w:r>
    </w:p>
    <w:p>
      <w:pPr>
        <w:spacing w:after="140" w:line="288"/>
        <w:jc w:val="both"/>
      </w:pPr>
      <w:r>
        <w:rPr>
          <w:b/>
          <w:bCs/>
        </w:rPr>
        <w:t xml:space="preserve">Model.</w:t>
      </w:r>
      <w:r>
        <w:t xml:space="preserve"> We fine-tune Qwen2-VL-2B-Instruct via the Unsloth FastVisionModel interface, with base weights loaded in 4-bit (NF4) precision.</w:t>
      </w:r>
    </w:p>
    <w:p>
      <w:pPr>
        <w:spacing w:after="140" w:line="288"/>
        <w:jc w:val="both"/>
      </w:pPr>
      <w:r>
        <w:rPr>
          <w:b/>
          <w:bCs/>
        </w:rPr>
        <w:t xml:space="preserve">QLoRA configuration.</w:t>
      </w:r>
      <w:r>
        <w:t xml:space="preserve"> We attach LoRA adapters of rank r=16 with alpha=16 to all attention and MLP projections in both the language and vision towers, with no dropout and no bias terms. Only the adapters are trained (28.9 M parameters, 1.45%).</w:t>
      </w:r>
    </w:p>
    <w:p>
      <w:pPr>
        <w:spacing w:after="140" w:line="288"/>
        <w:jc w:val="both"/>
      </w:pPr>
      <w:r>
        <w:rPr>
          <w:b/>
          <w:bCs/>
        </w:rPr>
        <w:t xml:space="preserve">Memory-frugal training.</w:t>
      </w:r>
      <w:r>
        <w:t xml:space="preserve"> To fit a 6 GB GPU we use: 4-bit base weights, Unsloth gradient checkpointing, per-device batch size 1 with gradient accumulation of 8, a maximum sequence length of 1024 tokens, and bfloat16 activations (never fp32). Fundus images are resized so the longer side is at most 512 pixels. We train for 3 epochs with the 8-bit AdamW optimiser, a linear schedule, and learning rate 2e-4. In our runs the full 3-epoch fine-tune (618 optimiser steps over 1,652 training QA pairs) completes in about 65 minutes on a single laptop RTX 4050 and peaks at 3.52 GB of VRAM — well inside the budget.</w:t>
      </w:r>
    </w:p>
    <w:p>
      <w:pPr>
        <w:pStyle w:val="Heading1"/>
      </w:pPr>
      <w:r>
        <w:t xml:space="preserve">5. Experiments</w:t>
      </w:r>
    </w:p>
    <w:p>
      <w:pPr>
        <w:spacing w:after="140" w:line="288"/>
        <w:jc w:val="both"/>
      </w:pPr>
      <w:r>
        <w:t xml:space="preserve">We evaluate on the 103-image test split. For grading we parse a 0-4 grade from each model's answer and report exact-match accuracy and quadratic weighted kappa (QWK). For explanations we report ROUGE-L and BERTScore against the reference clinical reasoning, plus mean inference latency and per-image cost. We compare the zero-shot base Qwen2-VL-2B against our fine-tuned QLoRA model (a GPT-4o-mini API row is supported by the code but was not run for lack of a key).</w:t>
      </w:r>
    </w:p>
    <w:p>
      <w:pPr>
        <w:spacing w:after="80" w:before="80"/>
      </w:pPr>
      <w:r>
        <w:rPr>
          <w:rFonts w:ascii="Calibri" w:cs="Calibri" w:eastAsia="Calibri" w:hAnsi="Calibri"/>
          <w:i/>
          <w:iCs/>
          <w:sz w:val="20"/>
          <w:szCs w:val="20"/>
        </w:rPr>
        <w:t xml:space="preserve">Table 1. DR grading and explanation quality on the 103-image IDRiD test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140"/>
        <w:gridCol w:w="1140"/>
        <w:gridCol w:w="1300"/>
        <w:gridCol w:w="1620"/>
        <w:gridCol w:w="840"/>
        <w:gridCol w:w="800"/>
      </w:tblGrid>
      <w:tr>
        <w:tc>
          <w:tcPr>
            <w:tcW w:type="auto" w:w="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left"/>
            </w:pPr>
            <w:r>
              <w:rPr>
                <w:rFonts w:ascii="Calibri" w:cs="Calibri" w:eastAsia="Calibri" w:hAnsi="Calibri"/>
                <w:b/>
                <w:bCs/>
              </w:rPr>
              <w:t xml:space="preserve">Model</w:t>
            </w:r>
          </w:p>
        </w:tc>
        <w:tc>
          <w:tcPr>
            <w:tcW w:type="auto" w:w="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rFonts w:ascii="Calibri" w:cs="Calibri" w:eastAsia="Calibri" w:hAnsi="Calibri"/>
                <w:b/>
                <w:bCs/>
              </w:rPr>
              <w:t xml:space="preserve">Acc.</w:t>
            </w:r>
          </w:p>
        </w:tc>
        <w:tc>
          <w:tcPr>
            <w:tcW w:type="auto" w:w="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rFonts w:ascii="Calibri" w:cs="Calibri" w:eastAsia="Calibri" w:hAnsi="Calibri"/>
                <w:b/>
                <w:bCs/>
              </w:rPr>
              <w:t xml:space="preserve">QWK</w:t>
            </w:r>
          </w:p>
        </w:tc>
        <w:tc>
          <w:tcPr>
            <w:tcW w:type="auto" w:w="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rFonts w:ascii="Calibri" w:cs="Calibri" w:eastAsia="Calibri" w:hAnsi="Calibri"/>
                <w:b/>
                <w:bCs/>
              </w:rPr>
              <w:t xml:space="preserve">ROUGE-L</w:t>
            </w:r>
          </w:p>
        </w:tc>
        <w:tc>
          <w:tcPr>
            <w:tcW w:type="auto" w:w="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rFonts w:ascii="Calibri" w:cs="Calibri" w:eastAsia="Calibri" w:hAnsi="Calibri"/>
                <w:b/>
                <w:bCs/>
              </w:rPr>
              <w:t xml:space="preserve">BERTScore</w:t>
            </w:r>
          </w:p>
        </w:tc>
        <w:tc>
          <w:tcPr>
            <w:tcW w:type="auto" w:w="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rFonts w:ascii="Calibri" w:cs="Calibri" w:eastAsia="Calibri" w:hAnsi="Calibri"/>
                <w:b/>
                <w:bCs/>
              </w:rPr>
              <w:t xml:space="preserve">s/img</w:t>
            </w:r>
          </w:p>
        </w:tc>
        <w:tc>
          <w:tcPr>
            <w:tcW w:type="auto" w:w="0"/>
            <w:tcBorders>
              <w:top w:val="single" w:color="BBBBBB" w:sz="1"/>
              <w:left w:val="single" w:color="BBBBBB" w:sz="1"/>
              <w:bottom w:val="single" w:color="BBBBBB" w:sz="1"/>
              <w:right w:val="single" w:color="BBBBBB" w:sz="1"/>
            </w:tcBorders>
            <w:shd w:fill="D9E2F3" w:val="clear"/>
            <w:tcMar>
              <w:top w:type="dxa" w:w="60"/>
              <w:left w:type="dxa" w:w="100"/>
              <w:bottom w:type="dxa" w:w="60"/>
              <w:right w:type="dxa" w:w="100"/>
            </w:tcMar>
          </w:tcPr>
          <w:p>
            <w:pPr>
              <w:jc w:val="center"/>
            </w:pPr>
            <w:r>
              <w:rPr>
                <w:rFonts w:ascii="Calibri" w:cs="Calibri" w:eastAsia="Calibri" w:hAnsi="Calibri"/>
                <w:b/>
                <w:bCs/>
              </w:rPr>
              <w:t xml:space="preserve">$/img</w:t>
            </w:r>
          </w:p>
        </w:tc>
      </w:tr>
      <w:tr>
        <w:tc>
          <w:tcPr>
            <w:tcW w:type="auto" w:w="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Calibri" w:cs="Calibri" w:eastAsia="Calibri" w:hAnsi="Calibri"/>
                <w:b w:val="false"/>
                <w:bCs w:val="false"/>
              </w:rPr>
              <w:t xml:space="preserve">Qwen2-VL-2B (zero-shot)</w:t>
            </w:r>
          </w:p>
        </w:tc>
        <w:tc>
          <w:tcPr>
            <w:tcW w:type="auto" w:w="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b w:val="false"/>
                <w:bCs w:val="false"/>
              </w:rPr>
              <w:t xml:space="preserve">31.1</w:t>
            </w:r>
          </w:p>
        </w:tc>
        <w:tc>
          <w:tcPr>
            <w:tcW w:type="auto" w:w="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b w:val="false"/>
                <w:bCs w:val="false"/>
              </w:rPr>
              <w:t xml:space="preserve">0.000</w:t>
            </w:r>
          </w:p>
        </w:tc>
        <w:tc>
          <w:tcPr>
            <w:tcW w:type="auto" w:w="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b w:val="false"/>
                <w:bCs w:val="false"/>
              </w:rPr>
              <w:t xml:space="preserve">0.082</w:t>
            </w:r>
          </w:p>
        </w:tc>
        <w:tc>
          <w:tcPr>
            <w:tcW w:type="auto" w:w="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b w:val="false"/>
                <w:bCs w:val="false"/>
              </w:rPr>
              <w:t xml:space="preserve">-0.029</w:t>
            </w:r>
          </w:p>
        </w:tc>
        <w:tc>
          <w:tcPr>
            <w:tcW w:type="auto" w:w="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b w:val="false"/>
                <w:bCs w:val="false"/>
              </w:rPr>
              <w:t xml:space="preserve">9.73</w:t>
            </w:r>
          </w:p>
        </w:tc>
        <w:tc>
          <w:tcPr>
            <w:tcW w:type="auto" w:w="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Calibri" w:cs="Calibri" w:eastAsia="Calibri" w:hAnsi="Calibri"/>
                <w:b w:val="false"/>
                <w:bCs w:val="false"/>
              </w:rPr>
              <w:t xml:space="preserve">0.00</w:t>
            </w:r>
          </w:p>
        </w:tc>
      </w:tr>
      <w:tr>
        <w:tc>
          <w:tcPr>
            <w:tcW w:type="auto" w:w="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left"/>
            </w:pPr>
            <w:r>
              <w:rPr>
                <w:rFonts w:ascii="Calibri" w:cs="Calibri" w:eastAsia="Calibri" w:hAnsi="Calibri"/>
                <w:b/>
                <w:bCs/>
              </w:rPr>
              <w:t xml:space="preserve">Qwen2-VL-2B + QLoRA (ours)</w:t>
            </w:r>
          </w:p>
        </w:tc>
        <w:tc>
          <w:tcPr>
            <w:tcW w:type="auto" w:w="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center"/>
            </w:pPr>
            <w:r>
              <w:rPr>
                <w:rFonts w:ascii="Calibri" w:cs="Calibri" w:eastAsia="Calibri" w:hAnsi="Calibri"/>
                <w:b/>
                <w:bCs/>
              </w:rPr>
              <w:t xml:space="preserve">54.4</w:t>
            </w:r>
          </w:p>
        </w:tc>
        <w:tc>
          <w:tcPr>
            <w:tcW w:type="auto" w:w="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center"/>
            </w:pPr>
            <w:r>
              <w:rPr>
                <w:rFonts w:ascii="Calibri" w:cs="Calibri" w:eastAsia="Calibri" w:hAnsi="Calibri"/>
                <w:b/>
                <w:bCs/>
              </w:rPr>
              <w:t xml:space="preserve">0.622</w:t>
            </w:r>
          </w:p>
        </w:tc>
        <w:tc>
          <w:tcPr>
            <w:tcW w:type="auto" w:w="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center"/>
            </w:pPr>
            <w:r>
              <w:rPr>
                <w:rFonts w:ascii="Calibri" w:cs="Calibri" w:eastAsia="Calibri" w:hAnsi="Calibri"/>
                <w:b/>
                <w:bCs/>
              </w:rPr>
              <w:t xml:space="preserve">0.235</w:t>
            </w:r>
          </w:p>
        </w:tc>
        <w:tc>
          <w:tcPr>
            <w:tcW w:type="auto" w:w="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center"/>
            </w:pPr>
            <w:r>
              <w:rPr>
                <w:rFonts w:ascii="Calibri" w:cs="Calibri" w:eastAsia="Calibri" w:hAnsi="Calibri"/>
                <w:b/>
                <w:bCs/>
              </w:rPr>
              <w:t xml:space="preserve">0.287</w:t>
            </w:r>
          </w:p>
        </w:tc>
        <w:tc>
          <w:tcPr>
            <w:tcW w:type="auto" w:w="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center"/>
            </w:pPr>
            <w:r>
              <w:rPr>
                <w:rFonts w:ascii="Calibri" w:cs="Calibri" w:eastAsia="Calibri" w:hAnsi="Calibri"/>
                <w:b/>
                <w:bCs/>
              </w:rPr>
              <w:t xml:space="preserve">4.75</w:t>
            </w:r>
          </w:p>
        </w:tc>
        <w:tc>
          <w:tcPr>
            <w:tcW w:type="auto" w:w="0"/>
            <w:tcBorders>
              <w:top w:val="single" w:color="BBBBBB" w:sz="1"/>
              <w:left w:val="single" w:color="BBBBBB" w:sz="1"/>
              <w:bottom w:val="single" w:color="BBBBBB" w:sz="1"/>
              <w:right w:val="single" w:color="BBBBBB" w:sz="1"/>
            </w:tcBorders>
            <w:shd w:fill="EAF1FB" w:val="clear"/>
            <w:tcMar>
              <w:top w:type="dxa" w:w="60"/>
              <w:left w:type="dxa" w:w="100"/>
              <w:bottom w:type="dxa" w:w="60"/>
              <w:right w:type="dxa" w:w="100"/>
            </w:tcMar>
          </w:tcPr>
          <w:p>
            <w:pPr>
              <w:jc w:val="center"/>
            </w:pPr>
            <w:r>
              <w:rPr>
                <w:rFonts w:ascii="Calibri" w:cs="Calibri" w:eastAsia="Calibri" w:hAnsi="Calibri"/>
                <w:b/>
                <w:bCs/>
              </w:rPr>
              <w:t xml:space="preserve">0.00</w:t>
            </w:r>
          </w:p>
        </w:tc>
      </w:tr>
    </w:tbl>
    <w:p>
      <w:pPr>
        <w:pStyle w:val="Heading1"/>
      </w:pPr>
      <w:r>
        <w:t xml:space="preserve">6. Analysis</w:t>
      </w:r>
    </w:p>
    <w:p>
      <w:pPr>
        <w:spacing w:after="140" w:line="288"/>
        <w:jc w:val="both"/>
      </w:pPr>
      <w:r>
        <w:rPr>
          <w:b/>
          <w:bCs/>
        </w:rPr>
        <w:t xml:space="preserve">Grading.</w:t>
      </w:r>
      <w:r>
        <w:t xml:space="preserve"> Fine-tuning raises exact-match accuracy from 31.1% to 54.4% and, more tellingly, QWK from 0.00 to 0.62. The zero-shot base model is effectively non-discriminative: it emits verbose, generic descriptions and gravitates to the majority “moderate” class, so its grades carry no ordinal signal. The fine-tuned model instead produces calibrated grades that correlate substantially with expert labels. Because grading is ordinal, QWK — which penalises a No-DR/Proliferative confusion far more than an adjacent error — is the clinically meaningful metric, and the jump to 0.62 (substantial agreement) is the headline result.</w:t>
      </w:r>
    </w:p>
    <w:p>
      <w:pPr>
        <w:spacing w:after="140" w:line="288"/>
        <w:jc w:val="both"/>
      </w:pPr>
      <w:r>
        <w:rPr>
          <w:b/>
          <w:bCs/>
        </w:rPr>
        <w:t xml:space="preserve">Explanations.</w:t>
      </w:r>
      <w:r>
        <w:t xml:space="preserve"> ROUGE-L nearly triples (0.08→0.23) and BERTScore rises from -0.03 to 0.29. Qualitatively, the base model hallucinates irrelevant machinery (fluorescein angiography, OCT, retinal-vein occlusion), whereas the fine-tuned model writes concise, lesion-grounded reasoning (e.g. “cotton-wool spots and extensive hemorrhages indicate significant retinal ischemia, classifying this as severe NPDR”). It is also 2× faster because it stops at a structured answer instead of running to the token limit.</w:t>
      </w:r>
    </w:p>
    <w:p>
      <w:pPr>
        <w:spacing w:after="140" w:line="288"/>
        <w:jc w:val="both"/>
      </w:pPr>
      <w:r>
        <w:rPr>
          <w:b/>
          <w:bCs/>
        </w:rPr>
        <w:t xml:space="preserve">Failure modes and limitations.</w:t>
      </w:r>
      <w:r>
        <w:t xml:space="preserve"> Proliferative DR (grade 4) is the hardest class: our lesion flags derive from grade-conditioned priors rather than per-image masks, so the training reasoning for severe (3) and proliferative (4) disease is near-identical, blurring that boundary. The grade and the reasoning are produced by independent prompts and can occasionally disagree; joint decoding is a natural fix. Further limitations include the modest size and single-centre nature of IDRiD and the absence of a clinician faithfulness study.</w:t>
      </w:r>
    </w:p>
    <w:p>
      <w:pPr>
        <w:pStyle w:val="Heading1"/>
      </w:pPr>
      <w:r>
        <w:t xml:space="preserve">7. Conclusion</w:t>
      </w:r>
    </w:p>
    <w:p>
      <w:pPr>
        <w:spacing w:after="140" w:line="288"/>
        <w:jc w:val="both"/>
      </w:pPr>
      <w:r>
        <w:t xml:space="preserve">We showed that explainable DR grading can be fine-tuned end-to-end on a single 6 GB consumer GPU. By pairing a compact VLM with a label-grounded QA dataset and a 4-bit QLoRA recipe, IDRiD-VQA delivers structured, auditable DR reports at low latency and zero marginal cost. We release the dataset, adapter weights, and code. Future work includes multi-dataset training, validating explanation faithfulness with clinicians, and a MICCAI workshop evaluation.</w:t>
      </w:r>
    </w:p>
    <w:p>
      <w:pPr>
        <w:pStyle w:val="Heading1"/>
      </w:pPr>
      <w:r>
        <w:t xml:space="preserve">Ethics Statement</w:t>
      </w:r>
    </w:p>
    <w:p>
      <w:pPr>
        <w:spacing w:after="140" w:line="288"/>
        <w:jc w:val="both"/>
      </w:pPr>
      <w:r>
        <w:t xml:space="preserve">This work is a research prototype and is not a medical device. Model outputs must not be used for diagnosis or treatment. The dataset is derived from the publicly available IDRiD dataset under its license; synthetic explanations are model-generated and may contain errors.</w:t>
      </w:r>
    </w:p>
    <w:p>
      <w:pPr>
        <w:pStyle w:val="Heading1"/>
      </w:pPr>
      <w:r>
        <w:t xml:space="preserve">Limitations</w:t>
      </w:r>
    </w:p>
    <w:p>
      <w:pPr>
        <w:spacing w:after="140" w:line="288"/>
        <w:jc w:val="both"/>
      </w:pPr>
      <w:r>
        <w:t xml:space="preserve">The model is trained and evaluated only on IDRiD, a single-center dataset of 516 images, so generalisation to other cameras and populations is unverified. Synthetic QA is conditioned on labels, and lesion flags for the grading set are inferred from grade priors rather than measured. Grade parsing from free text can fail; we report parse-failure counts alongside accuracy.</w:t>
      </w:r>
    </w:p>
    <w:p>
      <w:pPr>
        <w:pStyle w:val="Heading1"/>
      </w:pPr>
      <w:r>
        <w:t xml:space="preserve">References</w:t>
      </w:r>
    </w:p>
    <w:p>
      <w:pPr>
        <w:pStyle w:val="ListParagraph"/>
        <w:numPr>
          <w:ilvl w:val="0"/>
          <w:numId w:val="2"/>
        </w:numPr>
        <w:spacing w:after="60" w:line="276"/>
      </w:pPr>
      <w:r>
        <w:t xml:space="preserve">Porwal, P. et al. (2018). Indian Diabetic Retinopathy Image Dataset (IDRiD): A Database for Diabetic Retinopathy Screening Research. Data, 3(3):25.</w:t>
      </w:r>
    </w:p>
    <w:p>
      <w:pPr>
        <w:pStyle w:val="ListParagraph"/>
        <w:numPr>
          <w:ilvl w:val="0"/>
          <w:numId w:val="2"/>
        </w:numPr>
        <w:spacing w:after="60" w:line="276"/>
      </w:pPr>
      <w:r>
        <w:t xml:space="preserve">Wang, P. et al. (2024). Qwen2-VL: Enhancing Vision-Language Model's Perception of the World at Any Resolution. arXiv:2409.12191.</w:t>
      </w:r>
    </w:p>
    <w:p>
      <w:pPr>
        <w:pStyle w:val="ListParagraph"/>
        <w:numPr>
          <w:ilvl w:val="0"/>
          <w:numId w:val="2"/>
        </w:numPr>
        <w:spacing w:after="60" w:line="276"/>
      </w:pPr>
      <w:r>
        <w:t xml:space="preserve">Hu, E. J. et al. (2022). LoRA: Low-Rank Adaptation of Large Language Models. ICLR.</w:t>
      </w:r>
    </w:p>
    <w:p>
      <w:pPr>
        <w:pStyle w:val="ListParagraph"/>
        <w:numPr>
          <w:ilvl w:val="0"/>
          <w:numId w:val="2"/>
        </w:numPr>
        <w:spacing w:after="60" w:line="276"/>
      </w:pPr>
      <w:r>
        <w:t xml:space="preserve">Dettmers, T. et al. (2023). QLoRA: Efficient Finetuning of Quantized LLMs. NeurIPS.</w:t>
      </w:r>
    </w:p>
    <w:p>
      <w:pPr>
        <w:pStyle w:val="ListParagraph"/>
        <w:numPr>
          <w:ilvl w:val="0"/>
          <w:numId w:val="2"/>
        </w:numPr>
        <w:spacing w:after="60" w:line="276"/>
      </w:pPr>
      <w:r>
        <w:t xml:space="preserve">Han, D., Han, M. and the Unsloth team (2024). Unsloth. github.com/unslothai/unsloth.</w:t>
      </w:r>
    </w:p>
    <w:p>
      <w:pPr>
        <w:spacing w:before="200"/>
      </w:pPr>
      <w:r>
        <w:rPr>
          <w:rFonts w:ascii="Calibri" w:cs="Calibri" w:eastAsia="Calibri" w:hAnsi="Calibri"/>
          <w:i/>
          <w:iCs/>
          <w:sz w:val="18"/>
          <w:szCs w:val="18"/>
        </w:rPr>
        <w:t xml:space="preserve">Model: huggingface.co/vermayuvraj/idrid-qwen2vl-2b-qlora  |  Dataset: huggingface.co/datasets/vermayuvraj/idrid-vqa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100" w:before="160"/>
      <w:outlineLvl w:val="1"/>
    </w:pPr>
    <w:rPr>
      <w:rFonts w:ascii="Calibri" w:cs="Calibri" w:eastAsia="Calibri" w:hAnsi="Calibri"/>
      <w:b/>
      <w:bCs/>
      <w:color w:val="2E4B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2026-07-02T15:39:57.462Z</dcterms:created>
  <dcterms:modified xsi:type="dcterms:W3CDTF">2026-07-02T15:39:57.462Z</dcterms:modified>
</cp:coreProperties>
</file>

<file path=docProps/custom.xml><?xml version="1.0" encoding="utf-8"?>
<Properties xmlns="http://schemas.openxmlformats.org/officeDocument/2006/custom-properties" xmlns:vt="http://schemas.openxmlformats.org/officeDocument/2006/docPropsVTypes"/>
</file>