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l2nrmnt3iq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3: Marketing &amp; Monetization Strategy (</w:t>
      </w: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MARKETING_STRATEGY.md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yzkr7ookw1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Distribution Model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Web Distribution Only:</w:t>
      </w:r>
      <w:r w:rsidDel="00000000" w:rsidR="00000000" w:rsidRPr="00000000">
        <w:rPr>
          <w:rtl w:val="0"/>
        </w:rPr>
        <w:t xml:space="preserve"> Installers (</w:t>
      </w:r>
      <w:r w:rsidDel="00000000" w:rsidR="00000000" w:rsidRPr="00000000">
        <w:rPr>
          <w:color w:val="188038"/>
          <w:rtl w:val="0"/>
        </w:rPr>
        <w:t xml:space="preserve">.dmg</w:t>
      </w:r>
      <w:r w:rsidDel="00000000" w:rsidR="00000000" w:rsidRPr="00000000">
        <w:rPr>
          <w:rtl w:val="0"/>
        </w:rPr>
        <w:t xml:space="preserve"> for macOS, </w:t>
      </w:r>
      <w:r w:rsidDel="00000000" w:rsidR="00000000" w:rsidRPr="00000000">
        <w:rPr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for Windows, AppImage for Linux) are hosted directly on the product website.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skip app stores:</w:t>
      </w:r>
      <w:r w:rsidDel="00000000" w:rsidR="00000000" w:rsidRPr="00000000">
        <w:rPr>
          <w:rtl w:val="0"/>
        </w:rPr>
        <w:t xml:space="preserve"> Official app stores (Mac App Store, Google Play) use strict sandboxing that blocks raw file-system access, local database management, and child process execution (running Python/CLI tools). Direct distribution ensures full operational capability.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7fyo9rab8p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Monetization Framework ("Sponsorware" Perpetual Model)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Free Tier:</w:t>
      </w:r>
      <w:r w:rsidDel="00000000" w:rsidR="00000000" w:rsidRPr="00000000">
        <w:rPr>
          <w:rtl w:val="0"/>
        </w:rPr>
        <w:t xml:space="preserve"> Fully functional local backup decryption, SHA-256 file hashing, database self-repair, standard MVT/iLEAPP artifact extraction, and basic JSON table viewing. (Builds massive community trust and organic adoption).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Paid Professional Tier (</w:t>
      </w:r>
      <m:oMath>
        <m:r>
          <w:rPr>
            <w:b w:val="1"/>
            <w:bCs w:val="1"/>
          </w:rPr>
          <m:t xml:space="preserve">49–</m:t>
        </m:r>
      </m:oMath>
      <w:r w:rsidDel="00000000" w:rsidR="00000000" w:rsidRPr="00000000">
        <w:rPr>
          <w:b w:val="1"/>
          <w:bCs w:val="1"/>
          <w:rtl w:val="0"/>
        </w:rPr>
        <w:t xml:space="preserve">99 Perpetual License):</w:t>
      </w:r>
      <w:r w:rsidDel="00000000" w:rsidR="00000000" w:rsidRPr="00000000">
        <w:rPr>
          <w:rtl w:val="0"/>
        </w:rPr>
        <w:t xml:space="preserve"> Unlocks advanced cross-domain relational timeline grids, automated </w:t>
      </w:r>
      <m:oMath>
        <m:r>
          <m:t>±</m:t>
        </m:r>
        <m:r>
          <w:rPr/>
          <m:t xml:space="preserve">15</m:t>
        </m:r>
      </m:oMath>
      <w:r w:rsidDel="00000000" w:rsidR="00000000" w:rsidRPr="00000000">
        <w:rPr>
          <w:rtl w:val="0"/>
        </w:rPr>
        <w:t xml:space="preserve">-minute alert contextualization, one-click professional correlation report generation (</w:t>
      </w:r>
      <w:r w:rsidDel="00000000" w:rsidR="00000000" w:rsidRPr="00000000">
        <w:rPr>
          <w:color w:val="188038"/>
          <w:rtl w:val="0"/>
        </w:rPr>
        <w:t xml:space="preserve">correlation_report.md</w:t>
      </w:r>
      <w:r w:rsidDel="00000000" w:rsidR="00000000" w:rsidRPr="00000000">
        <w:rPr>
          <w:rtl w:val="0"/>
        </w:rPr>
        <w:t xml:space="preserve">), and priority schema updates.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Procurement Friendly:</w:t>
      </w:r>
      <w:r w:rsidDel="00000000" w:rsidR="00000000" w:rsidRPr="00000000">
        <w:rPr>
          <w:rtl w:val="0"/>
        </w:rPr>
        <w:t xml:space="preserve"> Avoids annoying recurring SaaS subscription fatigue for agencies while providing a sustainable revenue stream via flat perpetual licenses with optional annual update renewals (modeled after TablePlus and DevUtils).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0rgnm1yhr0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Messaging &amp; Positioning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Enterprise Mobile Forensics, Without the Enterprise Price Tag.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Pitch:</w:t>
      </w:r>
      <w:r w:rsidDel="00000000" w:rsidR="00000000" w:rsidRPr="00000000">
        <w:rPr>
          <w:rtl w:val="0"/>
        </w:rPr>
        <w:t xml:space="preserve"> Stop drowning in disconnected CSVs and isolated terminal scripts. Verichron Epoch unifies your forensic artifacts into a single, lightning-fast timeline on your local machine—keeping your data private, secure, and fully under your control.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