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5F652">
      <w:pPr>
        <w:spacing w:after="160"/>
        <w:jc w:val="center"/>
      </w:pPr>
      <w:r>
        <w:rPr>
          <w:rFonts w:ascii="Times New Roman" w:hAnsi="Times New Roman" w:eastAsia="宋体"/>
          <w:b/>
          <w:sz w:val="32"/>
        </w:rPr>
        <w:t>Supplementary Figures S1–S7</w:t>
      </w:r>
    </w:p>
    <w:p w14:paraId="00BC6B32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S1. Discovery object provenance and AUCell-matched input overview.</w:t>
      </w:r>
    </w:p>
    <w:p w14:paraId="5195178F">
      <w:pPr>
        <w:spacing w:after="80"/>
        <w:jc w:val="center"/>
      </w:pPr>
      <w:r>
        <w:drawing>
          <wp:inline distT="0" distB="0" distL="114300" distR="114300">
            <wp:extent cx="8101330" cy="51663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01612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8425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 GSE268807 astrocyte pilot 分析对象的样本组成、QC/下采样追踪、最终样本-分组细胞矩阵以及 AUCell 匹配对象构建流程。</w:t>
      </w:r>
    </w:p>
    <w:p w14:paraId="74068383">
      <w:r>
        <w:br w:type="page"/>
      </w:r>
    </w:p>
    <w:p w14:paraId="60A9A667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S2. Full differential regulon landscape in the GSE268807 astrocyte pilot.</w:t>
      </w:r>
    </w:p>
    <w:p w14:paraId="37A630C5">
      <w:pPr>
        <w:spacing w:after="80"/>
        <w:jc w:val="center"/>
      </w:pPr>
      <w:r>
        <w:drawing>
          <wp:inline distT="0" distB="0" distL="114300" distR="114300">
            <wp:extent cx="7435215" cy="51663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5492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55BC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该图展示完整差异 regulon 景观、全 regulon 差异汇总以及内部对照相关和病灶相关 regulon 的排序结果，用于补充主文 Figure 2。</w:t>
      </w:r>
    </w:p>
    <w:p w14:paraId="6784B6A6">
      <w:r>
        <w:br w:type="page"/>
      </w:r>
    </w:p>
    <w:p w14:paraId="4F9F4A15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S3. Complete CellOracle in silico perturbation metrics and randomized-control assessment.</w:t>
      </w:r>
    </w:p>
    <w:p w14:paraId="3FA54F83">
      <w:pPr>
        <w:spacing w:after="80"/>
        <w:jc w:val="center"/>
      </w:pPr>
      <w:r>
        <w:drawing>
          <wp:inline distT="0" distB="0" distL="114300" distR="114300">
            <wp:extent cx="6906260" cy="5166360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646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FCA6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该图展示候选 TF 的完整 CellOracle in silico perturbation 指标、代表性模拟扰动图和随机对照评估。结果仅代表计算模拟扰动，不代表实验敲除或疾病恢复。</w:t>
      </w:r>
    </w:p>
    <w:p w14:paraId="4D459C1F">
      <w:r>
        <w:br w:type="page"/>
      </w:r>
    </w:p>
    <w:p w14:paraId="7915AD66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S4. Complete sample-level robustness and sensitivity analyses.</w:t>
      </w:r>
    </w:p>
    <w:p w14:paraId="7F86EA7A">
      <w:pPr>
        <w:spacing w:after="80"/>
        <w:jc w:val="center"/>
      </w:pPr>
      <w:r>
        <w:drawing>
          <wp:inline distT="0" distB="0" distL="114300" distR="114300">
            <wp:extent cx="8009255" cy="5165725"/>
            <wp:effectExtent l="0" t="0" r="698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9617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4A93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 LOSO 表达效应、LOSO regulon 效应、pseudobulk 支持以及阈值敏感性分析，用于评估候选 TF 信号的样本层面稳健性。</w:t>
      </w:r>
    </w:p>
    <w:p w14:paraId="78BE84BB">
      <w:r>
        <w:br w:type="page"/>
      </w:r>
    </w:p>
    <w:p w14:paraId="2E75E79D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S5. Supportive/contextual evidence from GSE140393 and GSE190452.</w:t>
      </w:r>
    </w:p>
    <w:p w14:paraId="3B172E66">
      <w:pPr>
        <w:spacing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9050020" cy="5370195"/>
            <wp:effectExtent l="0" t="0" r="2540" b="9525"/>
            <wp:docPr id="10" name="图片 10" descr="Supplementary_Figure_S5_co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upplementary_Figure_S5_compac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002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31E8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 GSE140393 和 GSE190452 的表达层面及靶基因集支持性背景证据。相关结果仅用于 contextual/supportive interpretation，不作为 FCD II 同病种 regulon-level validation。</w:t>
      </w:r>
    </w:p>
    <w:p w14:paraId="3A378FFA">
      <w:r>
        <w:br w:type="page"/>
      </w:r>
      <w:bookmarkStart w:id="0" w:name="_GoBack"/>
      <w:bookmarkEnd w:id="0"/>
    </w:p>
    <w:p w14:paraId="0374ECFC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S6. Full functional enrichment landscape and program convergence.</w:t>
      </w:r>
    </w:p>
    <w:p w14:paraId="246ED8D2">
      <w:pPr>
        <w:spacing w:after="80"/>
        <w:jc w:val="center"/>
      </w:pPr>
      <w:r>
        <w:drawing>
          <wp:inline distT="0" distB="0" distL="114300" distR="114300">
            <wp:extent cx="6384925" cy="5165725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5458" cy="516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483A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 NFE2L2、THRB、BHLHE40 和 SOX2 的完整 GO/KEGG 富集景观、regulon-DEG 程序收敛以及显著功能术语计数。</w:t>
      </w:r>
    </w:p>
    <w:p w14:paraId="1A969558">
      <w:r>
        <w:br w:type="page"/>
      </w:r>
    </w:p>
    <w:p w14:paraId="4E7366B6">
      <w:pPr>
        <w:spacing w:after="80"/>
      </w:pPr>
      <w:r>
        <w:rPr>
          <w:rFonts w:ascii="Times New Roman" w:hAnsi="Times New Roman" w:eastAsia="宋体"/>
          <w:b/>
          <w:sz w:val="22"/>
        </w:rPr>
        <w:t>Supplementary Figure S7. Exploratory drug-signature enrichment and BBB-layered annotation.</w:t>
      </w:r>
    </w:p>
    <w:p w14:paraId="0925DC4B">
      <w:pPr>
        <w:spacing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9050020" cy="5210810"/>
            <wp:effectExtent l="0" t="0" r="2540" b="1270"/>
            <wp:docPr id="9" name="图片 9" descr="Supplementary_Figure_S7_co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upplementary_Figure_S7_compac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002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2089">
      <w:pPr>
        <w:spacing w:before="40" w:after="0" w:line="252" w:lineRule="auto"/>
      </w:pPr>
      <w:r>
        <w:rPr>
          <w:rFonts w:ascii="Times New Roman" w:hAnsi="Times New Roman" w:eastAsia="宋体"/>
          <w:b w:val="0"/>
          <w:sz w:val="19"/>
        </w:rPr>
        <w:t>该图展示探索性 drug-signature enrichment 与 BBB 分层注释。该模块仅为 hypothesis-generating exploratory annotation，不代表临床用途、疗效、安全性或治疗优先级。</w:t>
      </w:r>
    </w:p>
    <w:sectPr>
      <w:pgSz w:w="15840" w:h="12240" w:orient="landscape"/>
      <w:pgMar w:top="648" w:right="792" w:bottom="648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0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</Words>
  <Characters>514</Characters>
  <Lines>0</Lines>
  <Paragraphs>0</Paragraphs>
  <TotalTime>25</TotalTime>
  <ScaleCrop>false</ScaleCrop>
  <LinksUpToDate>false</LinksUpToDate>
  <CharactersWithSpaces>568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Dream</cp:lastModifiedBy>
  <dcterms:modified xsi:type="dcterms:W3CDTF">2026-05-17T13:47:46Z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eyJoZGlkIjoiNjY3MDVmYTg5NmRlZmY1MGJhMDkzYTc0OWU2ZTA4YWUiLCJ1c2VySWQiOiIxMjAyNDE4MzIzIn0=</vt:lpwstr>
  </property>
  <property fmtid="{D5CDD505-2E9C-101B-9397-08002B2CF9AE}" pid="3" name="KSOProductBuildVer">
    <vt:lpwstr>2052-12.1.0.26373</vt:lpwstr>
  </property>
  <property fmtid="{D5CDD505-2E9C-101B-9397-08002B2CF9AE}" pid="4" name="ICV">
    <vt:lpwstr>2997DBB471B3450998CA088F5B114A32_12</vt:lpwstr>
  </property>
</Properties>
</file>