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BC2C6D">
      <w:pPr>
        <w:jc w:val="both"/>
      </w:pPr>
      <w:r>
        <w:rPr>
          <w:b/>
          <w:sz w:val="32"/>
        </w:rPr>
        <w:t>Single-cell regulatory analysis identifies astrocyte stress response and homeostatic support in focal cortical dysplasia type II</w:t>
      </w:r>
      <w:del w:id="0" w:author="李秀翠 Sucy  Lee" w:date="2026-07-21T06:16:03Z">
        <w:r>
          <w:rPr>
            <w:b/>
            <w:sz w:val="32"/>
          </w:rPr>
          <w:delText>programs</w:delText>
        </w:r>
      </w:del>
    </w:p>
    <w:p w14:paraId="26D748C2">
      <w:pPr>
        <w:jc w:val="both"/>
      </w:pPr>
    </w:p>
    <w:p w14:paraId="522E71FA">
      <w:pPr>
        <w:jc w:val="both"/>
      </w:pPr>
      <w:r>
        <w:rPr>
          <w:b w:val="0"/>
          <w:i w:val="0"/>
        </w:rPr>
        <w:t>Article type: Research article</w:t>
      </w:r>
    </w:p>
    <w:p w14:paraId="4AEE961E">
      <w:pPr>
        <w:jc w:val="both"/>
      </w:pPr>
      <w:r>
        <w:rPr>
          <w:b w:val="0"/>
          <w:i w:val="0"/>
        </w:rPr>
        <w:t>Target journal: BMC Genomics</w:t>
      </w:r>
    </w:p>
    <w:p w14:paraId="79E83FF3">
      <w:pPr>
        <w:jc w:val="both"/>
      </w:pPr>
      <w:r>
        <w:rPr>
          <w:b w:val="0"/>
          <w:i w:val="0"/>
        </w:rPr>
        <w:t>Authors: [AUTHOR_INPUT_NEEDED: Confirm the final author list and order; the current repository citation metadata lists Xinyuan Ye.]</w:t>
      </w:r>
    </w:p>
    <w:p w14:paraId="53F830EA">
      <w:pPr>
        <w:jc w:val="both"/>
      </w:pPr>
      <w:r>
        <w:rPr>
          <w:b w:val="0"/>
          <w:i w:val="0"/>
        </w:rPr>
        <w:t>Affiliations: [AUTHOR_INPUT_NEEDED: Provide numbered affiliations and complete institutional addresses for all authors.]</w:t>
      </w:r>
    </w:p>
    <w:p w14:paraId="795A247B">
      <w:pPr>
        <w:jc w:val="both"/>
      </w:pPr>
      <w:r>
        <w:rPr>
          <w:b w:val="0"/>
          <w:i w:val="0"/>
        </w:rPr>
        <w:t>Corresponding author: [AUTHOR_INPUT_NEEDED: Provide the corresponding author's name, affiliation, postal address, and e-mail address.]</w:t>
      </w:r>
    </w:p>
    <w:p w14:paraId="37206218">
      <w:pPr>
        <w:jc w:val="both"/>
      </w:pPr>
      <w:r>
        <w:rPr>
          <w:b w:val="0"/>
          <w:i w:val="0"/>
        </w:rPr>
        <w:t>Running title: Astrocyte programs in FCD II</w:t>
      </w:r>
    </w:p>
    <w:p w14:paraId="54641E4E">
      <w:pPr>
        <w:jc w:val="both"/>
      </w:pPr>
      <w:r>
        <w:br w:type="page"/>
      </w:r>
    </w:p>
    <w:p w14:paraId="03307C62">
      <w:pPr>
        <w:pStyle w:val="3"/>
        <w:jc w:val="both"/>
      </w:pPr>
      <w:r>
        <w:t>Abstract</w:t>
      </w:r>
    </w:p>
    <w:p w14:paraId="5BEE9B5A">
      <w:pPr>
        <w:pStyle w:val="4"/>
        <w:jc w:val="both"/>
        <w:rPr>
          <w:b w:val="0"/>
          <w:bCs w:val="0"/>
        </w:rPr>
      </w:pPr>
      <w:r>
        <w:t>Background: Focal cortical dysplasia type II (FCD II) is a major structural cause of drug-resistant focal epilepsy, often requiring surgical resection. FCD II lesions contain dysmorphic neurons and mTOR-pathway-related pathological cells with glial reactivity, inflammation, metabolic stress, and microenvironment remodeling. Astrocytes support ionic homeostasis, synaptic metabolism, and inflammatory responses, potentially influencing focus excitability. However, upstream transcription factor programs altered or preserved in FCD II astrocytes remain poorly characterized.</w:t>
      </w:r>
    </w:p>
    <w:p w14:paraId="7008CC31">
      <w:pPr>
        <w:pStyle w:val="4"/>
        <w:jc w:val="both"/>
        <w:rPr>
          <w:b w:val="0"/>
          <w:bCs w:val="0"/>
        </w:rPr>
      </w:pPr>
      <w:r>
        <w:t>Methods: We analyzed 2,322 FCD II astrocytes from GSE268807 as the discovery set, with supportive analyses using GSE140393 and GSE190452. pySCENIC/AUCell inferred transcription factor regulatory networks and quantified regulon activity. Comparing lesion-side and internal-control-side astrocytes identified candidate transcription factors with differentially directed activity. CellOracle simulated perturbation-induced cell-state displacement, and robustness was assessed by leave-one-sample-out analysis, external expression analyses, and GO/KEGG enrichment.</w:t>
      </w:r>
    </w:p>
    <w:p w14:paraId="7365500B">
      <w:pPr>
        <w:pStyle w:val="4"/>
        <w:jc w:val="both"/>
        <w:rPr>
          <w:b w:val="0"/>
          <w:bCs w:val="0"/>
        </w:rPr>
      </w:pPr>
      <w:r>
        <w:t>Results: Lesion-side and internal-control-side astrocytes exhibited divergent regulon activity. The NFE2L2 regulon (458 target genes) showed higher lesion-side activity (cell-level ΔAUC = 0.009 on a 0-1 scale, FDR = 1.64 × 10⁻¹⁹), with enrichment indicating stress adaptation and transcriptional reprogramming. Conversely, the THRB regulon (17 target genes) showed higher internal-control-side activity (cell-level ΔAUC = −0.245, FDR = 4.05 × 10⁻¹¹⁴), enriched for synaptic and calcium signaling. Note that, because cells within a sample are not independent, these cell-level FDRs are descriptive of directionality and are not evidence of independent biological replication; the sample-level (pseudobulk) effects reproduced the same directions, but their statistical power is limited by the four-sample cohort. In CellOracle simulations, NFE2L2 perturbation produced the largest mean shift (0.699), and THRB achieved the highest group-matched composite perturbation score (Approx. Recovery Index = 0.689). Robustness and external analyses supported directional stability. Thus, NFE2L2 was prioritized as a lesion-associated stress-response axis and THRB as an internal-control-associated homeostatic-support axis; BHLHE40 emerged as a secondary candidate and SOX2 was retained at lower priority.</w:t>
      </w:r>
      <w:ins w:id="1" w:author="李秀翠 Sucy  Lee" w:date="2026-07-21T07:07:24Z">
        <w:r>
          <w:rPr>
            <w:rFonts w:hint="eastAsia"/>
            <w:b w:val="0"/>
            <w:bCs w:val="0"/>
            <w:lang w:val="en-US" w:eastAsia="zh-CN"/>
          </w:rPr>
          <w:t xml:space="preserve"> </w:t>
        </w:r>
      </w:ins>
      <w:del w:id="2" w:author="李秀翠 Sucy  Lee" w:date="2026-07-21T07:07:20Z">
        <w:r>
          <w:rPr>
            <w:b w:val="0"/>
            <w:bCs w:val="0"/>
          </w:rPr>
          <w:delText xml:space="preserve"> </w:delText>
        </w:r>
      </w:del>
    </w:p>
    <w:p w14:paraId="26BC3FD3">
      <w:pPr>
        <w:pStyle w:val="4"/>
        <w:jc w:val="both"/>
        <w:rPr>
          <w:b w:val="0"/>
          <w:bCs w:val="0"/>
        </w:rPr>
      </w:pPr>
      <w:r>
        <w:t>Conclusions: In FCD II astrocytes, NFE2L2 and THRB represent two distinct regulatory programs: lesion-associated stress response and relatively preserved homeostatic support. These two prioritized, opposing directional candidate programs provide a framework for future replication, spatial localization, and perturbation studies. Beyond FCD II specifically, the analytical approach illustrates how regulon-level, perturbation-aware analysis of publicly available single-cell data can generate testable candidate programs. The FCD II microenvironment combines detectable stress signals with partially retained homeostatic capacity, a pattern relevant to other epilepsy and mTOR-related brain disorders.</w:t>
      </w:r>
    </w:p>
    <w:p w14:paraId="24B5880A">
      <w:pPr>
        <w:pStyle w:val="4"/>
        <w:jc w:val="both"/>
      </w:pPr>
      <w:r>
        <w:rPr>
          <w:b/>
          <w:bCs/>
        </w:rPr>
        <w:t>Keywords</w:t>
      </w:r>
      <w:r>
        <w:rPr>
          <w:rFonts w:hint="eastAsia"/>
          <w:b/>
          <w:bCs/>
          <w:lang w:val="en-US" w:eastAsia="zh-CN"/>
        </w:rPr>
        <w:t>:</w:t>
      </w:r>
      <w:r>
        <w:rPr>
          <w:rFonts w:hint="eastAsia"/>
          <w:lang w:val="en-US" w:eastAsia="zh-CN"/>
        </w:rPr>
        <w:t xml:space="preserve"> </w:t>
      </w:r>
      <w:r>
        <w:rPr>
          <w:b w:val="0"/>
          <w:bCs w:val="0"/>
        </w:rPr>
        <w:t>focal cortical dysplasia type II; astrocyte; epilepsy; transcription factor; regulon; pySCENIC; CellOracle; NFE2L2; THRB.</w:t>
      </w:r>
    </w:p>
    <w:p w14:paraId="27E97E28">
      <w:pPr>
        <w:pStyle w:val="3"/>
        <w:jc w:val="both"/>
      </w:pPr>
      <w:r>
        <w:t>Background</w:t>
      </w:r>
    </w:p>
    <w:p w14:paraId="611C2772">
      <w:pPr>
        <w:jc w:val="both"/>
        <w:rPr>
          <w:ins w:id="6" w:author="李秀翠 Sucy  Lee" w:date="2026-07-21T06:25:11Z"/>
        </w:rPr>
      </w:pPr>
      <w:r>
        <w:t xml:space="preserve">Focal cortical dysplasia (FCD) is a major structural cause of drug-resistant focal epilepsy in both children and adults. FCD type II is pathologically characterized by cortical dyslamination, dysmorphic neurons, and/or balloon cells, and these alterations are closely associated with somatic mutations in the mTOR pathway [1–5]. In clinical practice, many patients with FCD II undergo presurgical evaluation, lesion localization, and surgical resection due to recurrent seizures and poor response to antiepileptic drugs. Therefore, elucidating the cellular mechanisms that sustain abnormal excitability and drive microenvironment remodeling within the lesion is critical for understanding epileptogenesis. </w:t>
      </w:r>
    </w:p>
    <w:p w14:paraId="6176FB1F">
      <w:pPr>
        <w:jc w:val="both"/>
        <w:rPr>
          <w:del w:id="7" w:author="李秀翠 Sucy  Lee" w:date="2026-07-21T06:25:05Z"/>
        </w:rPr>
      </w:pPr>
      <w:del w:id="8" w:author="李秀翠 Sucy  Lee" w:date="2026-07-21T06:25:05Z">
        <w:r>
          <w:rPr/>
          <w:delText>Such knowledge can also help prioritize future validation efforts.</w:delText>
        </w:r>
      </w:del>
    </w:p>
    <w:p w14:paraId="714B18BA">
      <w:pPr>
        <w:jc w:val="both"/>
      </w:pPr>
      <w:r>
        <w:t>Previous studies have primarily focused on dysmorphic neurons, mTOR pathway activation, and canonical pathological cell states in FCD II. Recently, single-cell, multi-omics, and spatial transcriptomic studies have demonstrated that FCD II lesions do not result from a single aberrant neuronal population but instead involve multi-level remodeling of neurons, glial cells, vascular-associated cells, and the extracellular microenvironment [6–9]. These findings have shifted the focus of FCD II research from isolated pathological cells to the lesional tissue ecosystem, but they also raise a new question: how do non-neuronal cells, particularly astrocytes, contribute to the maintenance of epileptic focus excitability and to alterations in tissue homeostasis?</w:t>
      </w:r>
    </w:p>
    <w:p w14:paraId="16207E72">
      <w:pPr>
        <w:jc w:val="both"/>
      </w:pPr>
      <w:r>
        <w:rPr>
          <w:rFonts w:ascii="Times New Roman" w:hAnsi="Times New Roman" w:eastAsia="宋体"/>
          <w:sz w:val="21"/>
          <w:rPrChange w:id="9" w:author="Dream" w:date="2026-07-26T01:03:26Z">
            <w:rPr>
              <w:rFonts w:ascii="Times New Roman" w:hAnsi="Times New Roman" w:eastAsia="宋体"/>
              <w:sz w:val="24"/>
            </w:rPr>
          </w:rPrChange>
        </w:rPr>
        <w:t>Astrocytes are key cell types for maintaining brain tissue homeostasis. They participate in synaptic microenvironment maintenance, glutamate metabolism, potassium buffering, energy metabolism, calcium signaling regulation, and inflammatory responses—functions that directly influence neuronal excitability and local microenvironment stability, thereby playing important roles in epileptogenesis and seizure propagation [10–13]. In chronic epileptic tissue, astrocytes may undergo reactive changes while retaining some supportive functions that help preserve local homeostasis. Therefore, it is overly simplistic to label FCD II astrocytes as either purely "reactive" or "impaired"; instead, these cells simultaneously exhibit stress responses in lesion areas and retain certain homeostatic support functions, and the two aspects need to be analyzed separately to distinguish lesion-associated stress responses from relatively preserved homeostatic support programs.</w:t>
      </w:r>
    </w:p>
    <w:p w14:paraId="2DBFE9E4">
      <w:pPr>
        <w:jc w:val="both"/>
      </w:pPr>
      <w:r>
        <w:t>Conventional differential expression analysis can identify genes that differ between tissue regions or cell states, but it cannot easily determine whether these changes are driven by common upstream regulatory programs. A transcription factor and its potential target genes together constitute a regulatory unit commonly referred to as a regulon. Regulon activity analysis organizes scattered single-gene expression differences at the level of transcription factor regulatory programs, thereby providing a more suitable framework for interpreting the upstream regulatory architecture underlying cell states. SCENIC/pySCENIC estimates the activity of transcription factor-associated regulons in single cells through co-expression network analysis, motif support, and AUCell scoring [14,15]; CellOracle can simulate cell-state displacement following transcription factor perturbations based on inferred regulatory networks [16]. These methods provide a feasible framework for screening putative regulatory axes using publicly available single-cell data, but they have not yet been systematically applied to FCD II astrocytes.</w:t>
      </w:r>
    </w:p>
    <w:p w14:paraId="6FA00359">
      <w:pPr>
        <w:jc w:val="both"/>
      </w:pPr>
      <w:r>
        <w:t>To date, the transcription factor–regulon programs within FCD II astrocytes and their perturbation priorities remain largely uncharacterized. In this study, using FCD II astrocytes from both lesional regions and non-lesional internal controls in GSE268807 as our discovery dataset, we aimed to (i) infer regulon activity via pySCENIC/AUCell, (ii) identify and prioritize putative regulatory programs with lesion-side or internal-control-side directionality, (iii) simulate perturbation-induced cell-state displacement using CellOracle, and (iv) assess robustness through sample-level analyses and supportive external datasets. The overall goal was to establish a prioritization framework that distinguishes lesion-associated stress-response programs from relatively preserved homeostatic-support programs, thereby guiding future spatial localization and functional validation within the lesion.</w:t>
      </w:r>
    </w:p>
    <w:p w14:paraId="2D9B71D9">
      <w:pPr>
        <w:pStyle w:val="3"/>
        <w:jc w:val="both"/>
      </w:pPr>
      <w:r>
        <w:t>Methods</w:t>
      </w:r>
    </w:p>
    <w:p w14:paraId="444400E0">
      <w:pPr>
        <w:pStyle w:val="4"/>
        <w:jc w:val="both"/>
      </w:pPr>
      <w:r>
        <w:t>Study design and datasets</w:t>
      </w:r>
    </w:p>
    <w:p w14:paraId="5198619C">
      <w:pPr>
        <w:jc w:val="both"/>
      </w:pPr>
      <w:r>
        <w:t>The aim of this study was to identify upstream regulatory axes associated with lesion-specific alterations and homeostatic support in FCD II astrocytes, and to prioritize key candidate transcription factors. To this end, we utilized GSE268807—which contains astrocytes from both lesional tissue and patient-matched internal controls—as the discovery dataset, while integrating GSE140393 and GSE190452 as independent supportive datasets. The overall workflow was conducted in a stepwise manner, encompassing data object construction, regulon inference, differential screening, candidate prioritization, in silico perturbation, robustness and supportive analyses, and functional interpretation.</w:t>
      </w:r>
    </w:p>
    <w:p w14:paraId="097A2D68">
      <w:pPr>
        <w:jc w:val="both"/>
      </w:pPr>
      <w:r>
        <w:t>GSE268807 was designated as the discovery dataset because it contains astrocytes from both the FCD II lesion and the internal control of the same patient, enabling a direct, intra-individual comparison of regulon activity [17]. GSE140393 comprises FCD II lesion astrocytes and was used to assess the expression-level support for candidate transcription factors and their target gene sets in an independent FCD II cohort [18]. GSE190452, which includes astrocytes from temporal lobe epilepsy patients and non-epileptic controls, was utilized to examine whether the candidate programs exhibit consistent expression patterns in an alternative epilepsy context [19,20]. The specific roles of each dataset are summarized in Table 1.</w:t>
      </w:r>
    </w:p>
    <w:p w14:paraId="68822531">
      <w:pPr>
        <w:pStyle w:val="166"/>
        <w:spacing w:after="120" w:line="240" w:lineRule="auto"/>
        <w:jc w:val="both"/>
        <w:rPr>
          <w:b/>
          <w:bCs/>
          <w:rPrChange w:id="10" w:author="Dream" w:date="2026-08-28T19:05:25Z">
            <w:rPr/>
          </w:rPrChange>
        </w:rPr>
      </w:pPr>
      <w:r>
        <w:rPr>
          <w:rFonts w:ascii="Times New Roman" w:hAnsi="Times New Roman" w:eastAsia="宋体"/>
          <w:b/>
          <w:bCs/>
          <w:color w:val="000000"/>
          <w:sz w:val="20"/>
          <w:rPrChange w:id="11" w:author="Dream" w:date="2026-08-28T19:05:25Z">
            <w:rPr>
              <w:rFonts w:ascii="Times New Roman" w:hAnsi="Times New Roman" w:eastAsia="宋体"/>
              <w:b w:val="0"/>
              <w:color w:val="000000"/>
              <w:sz w:val="20"/>
            </w:rPr>
          </w:rPrChange>
        </w:rPr>
        <w:t>Table 1. Analytical datasets and object roles.</w:t>
      </w:r>
    </w:p>
    <w:tbl>
      <w:tblPr>
        <w:tblStyle w:val="35"/>
        <w:tblW w:w="5106" w:type="pct"/>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17"/>
        <w:gridCol w:w="1552"/>
        <w:gridCol w:w="1737"/>
        <w:gridCol w:w="894"/>
        <w:gridCol w:w="1459"/>
        <w:gridCol w:w="3449"/>
      </w:tblGrid>
      <w:tr w14:paraId="089C835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674" w:type="pct"/>
            <w:tcBorders>
              <w:top w:val="single" w:color="000000" w:sz="12" w:space="0"/>
              <w:left w:val="nil"/>
              <w:bottom w:val="single" w:color="000000" w:sz="4" w:space="0"/>
              <w:right w:val="nil"/>
              <w:tl2br w:val="nil"/>
            </w:tcBorders>
            <w:shd w:val="clear" w:color="auto" w:fill="FFFFFF"/>
            <w:noWrap w:val="0"/>
            <w:tcMar>
              <w:top w:w="-1" w:type="dxa"/>
              <w:left w:w="-1" w:type="dxa"/>
              <w:bottom w:w="-1" w:type="dxa"/>
              <w:right w:w="-1" w:type="dxa"/>
            </w:tcMar>
            <w:vAlign w:val="center"/>
          </w:tcPr>
          <w:p w14:paraId="71B1598B">
            <w:pPr>
              <w:snapToGrid w:val="0"/>
              <w:spacing w:after="0" w:line="240" w:lineRule="auto"/>
              <w:ind w:left="0" w:leftChars="0" w:right="0" w:rightChars="0" w:firstLine="0" w:firstLineChars="0"/>
              <w:jc w:val="both"/>
              <w:rPr>
                <w:rFonts w:ascii="Times New Roman" w:eastAsia="宋体"/>
                <w:b/>
                <w:bCs/>
                <w:sz w:val="16"/>
              </w:rPr>
            </w:pPr>
            <w:r>
              <w:rPr>
                <w:rFonts w:ascii="Times New Roman" w:hAnsi="Times New Roman" w:eastAsia="宋体"/>
                <w:b/>
                <w:bCs/>
                <w:color w:val="000000"/>
                <w:sz w:val="16"/>
              </w:rPr>
              <w:t>Dataset</w:t>
            </w:r>
          </w:p>
        </w:tc>
        <w:tc>
          <w:tcPr>
            <w:tcW w:w="738" w:type="pct"/>
            <w:tcBorders>
              <w:top w:val="single" w:color="000000" w:sz="12" w:space="0"/>
              <w:left w:val="nil"/>
              <w:bottom w:val="single" w:color="000000" w:sz="4" w:space="0"/>
              <w:right w:val="nil"/>
            </w:tcBorders>
            <w:shd w:val="clear" w:color="auto" w:fill="FFFFFF"/>
            <w:noWrap w:val="0"/>
            <w:tcMar>
              <w:top w:w="-1" w:type="dxa"/>
              <w:left w:w="-1" w:type="dxa"/>
              <w:bottom w:w="-1" w:type="dxa"/>
              <w:right w:w="-1" w:type="dxa"/>
            </w:tcMar>
            <w:vAlign w:val="center"/>
          </w:tcPr>
          <w:p w14:paraId="6924A7D7">
            <w:pPr>
              <w:snapToGrid w:val="0"/>
              <w:spacing w:after="0" w:line="240" w:lineRule="auto"/>
              <w:ind w:left="0" w:leftChars="0" w:right="0" w:rightChars="0" w:firstLine="0" w:firstLineChars="0"/>
              <w:jc w:val="both"/>
              <w:rPr>
                <w:rFonts w:ascii="Times New Roman" w:eastAsia="宋体"/>
                <w:b/>
                <w:bCs/>
                <w:sz w:val="16"/>
              </w:rPr>
            </w:pPr>
            <w:r>
              <w:rPr>
                <w:rFonts w:ascii="Times New Roman" w:hAnsi="Times New Roman" w:eastAsia="宋体"/>
                <w:b/>
                <w:bCs/>
                <w:color w:val="000000"/>
                <w:sz w:val="16"/>
              </w:rPr>
              <w:t>Role</w:t>
            </w:r>
          </w:p>
        </w:tc>
        <w:tc>
          <w:tcPr>
            <w:tcW w:w="826" w:type="pct"/>
            <w:tcBorders>
              <w:top w:val="single" w:color="000000" w:sz="12" w:space="0"/>
              <w:left w:val="nil"/>
              <w:bottom w:val="single" w:color="000000" w:sz="4" w:space="0"/>
              <w:right w:val="nil"/>
            </w:tcBorders>
            <w:shd w:val="clear" w:color="auto" w:fill="FFFFFF"/>
            <w:noWrap w:val="0"/>
            <w:tcMar>
              <w:top w:w="-1" w:type="dxa"/>
              <w:left w:w="-1" w:type="dxa"/>
              <w:bottom w:w="-1" w:type="dxa"/>
              <w:right w:w="-1" w:type="dxa"/>
            </w:tcMar>
            <w:vAlign w:val="center"/>
          </w:tcPr>
          <w:p w14:paraId="049AE1A3">
            <w:pPr>
              <w:snapToGrid w:val="0"/>
              <w:spacing w:after="0" w:line="240" w:lineRule="auto"/>
              <w:ind w:left="0" w:leftChars="0" w:right="0" w:rightChars="0" w:firstLine="0" w:firstLineChars="0"/>
              <w:jc w:val="both"/>
              <w:rPr>
                <w:rFonts w:ascii="Times New Roman" w:eastAsia="宋体"/>
                <w:b/>
                <w:bCs/>
                <w:sz w:val="16"/>
              </w:rPr>
            </w:pPr>
            <w:r>
              <w:rPr>
                <w:rFonts w:ascii="Times New Roman" w:hAnsi="Times New Roman" w:eastAsia="宋体"/>
                <w:b/>
                <w:bCs/>
                <w:color w:val="000000"/>
                <w:sz w:val="16"/>
              </w:rPr>
              <w:t>Analysis object</w:t>
            </w:r>
          </w:p>
        </w:tc>
        <w:tc>
          <w:tcPr>
            <w:tcW w:w="425" w:type="pct"/>
            <w:tcBorders>
              <w:top w:val="single" w:color="000000" w:sz="12" w:space="0"/>
              <w:left w:val="nil"/>
              <w:bottom w:val="single" w:color="000000" w:sz="4" w:space="0"/>
              <w:right w:val="nil"/>
            </w:tcBorders>
            <w:shd w:val="clear" w:color="auto" w:fill="FFFFFF"/>
            <w:noWrap w:val="0"/>
            <w:tcMar>
              <w:top w:w="-1" w:type="dxa"/>
              <w:left w:w="-1" w:type="dxa"/>
              <w:bottom w:w="-1" w:type="dxa"/>
              <w:right w:w="-1" w:type="dxa"/>
            </w:tcMar>
            <w:vAlign w:val="center"/>
          </w:tcPr>
          <w:p w14:paraId="10C27460">
            <w:pPr>
              <w:snapToGrid w:val="0"/>
              <w:spacing w:after="0" w:line="240" w:lineRule="auto"/>
              <w:ind w:left="0" w:leftChars="0" w:right="0" w:rightChars="0" w:firstLine="0" w:firstLineChars="0"/>
              <w:jc w:val="both"/>
              <w:rPr>
                <w:rFonts w:ascii="Times New Roman" w:eastAsia="宋体"/>
                <w:b/>
                <w:bCs/>
                <w:sz w:val="16"/>
              </w:rPr>
            </w:pPr>
            <w:r>
              <w:rPr>
                <w:rFonts w:ascii="Times New Roman" w:hAnsi="Times New Roman" w:eastAsia="宋体"/>
                <w:b/>
                <w:bCs/>
                <w:color w:val="000000"/>
                <w:sz w:val="16"/>
              </w:rPr>
              <w:t>Cell number</w:t>
            </w:r>
          </w:p>
        </w:tc>
        <w:tc>
          <w:tcPr>
            <w:tcW w:w="694" w:type="pct"/>
            <w:tcBorders>
              <w:top w:val="single" w:color="000000" w:sz="12" w:space="0"/>
              <w:left w:val="nil"/>
              <w:bottom w:val="single" w:color="000000" w:sz="4" w:space="0"/>
              <w:right w:val="nil"/>
            </w:tcBorders>
            <w:shd w:val="clear" w:color="auto" w:fill="FFFFFF"/>
            <w:noWrap w:val="0"/>
            <w:tcMar>
              <w:top w:w="-1" w:type="dxa"/>
              <w:left w:w="-1" w:type="dxa"/>
              <w:bottom w:w="-1" w:type="dxa"/>
              <w:right w:w="-1" w:type="dxa"/>
            </w:tcMar>
            <w:vAlign w:val="center"/>
          </w:tcPr>
          <w:p w14:paraId="4D3D7D45">
            <w:pPr>
              <w:snapToGrid w:val="0"/>
              <w:spacing w:after="0" w:line="240" w:lineRule="auto"/>
              <w:ind w:left="0" w:leftChars="0" w:right="0" w:rightChars="0" w:firstLine="0" w:firstLineChars="0"/>
              <w:jc w:val="both"/>
              <w:rPr>
                <w:rFonts w:ascii="Times New Roman" w:eastAsia="宋体"/>
                <w:b/>
                <w:bCs/>
                <w:sz w:val="16"/>
              </w:rPr>
            </w:pPr>
            <w:r>
              <w:rPr>
                <w:rFonts w:ascii="Times New Roman" w:hAnsi="Times New Roman" w:eastAsia="宋体"/>
                <w:b/>
                <w:bCs/>
                <w:color w:val="000000"/>
                <w:sz w:val="16"/>
              </w:rPr>
              <w:t>Comparison</w:t>
            </w:r>
          </w:p>
        </w:tc>
        <w:tc>
          <w:tcPr>
            <w:tcW w:w="1640" w:type="pct"/>
            <w:tcBorders>
              <w:top w:val="single" w:color="000000" w:sz="12" w:space="0"/>
              <w:left w:val="nil"/>
              <w:bottom w:val="single" w:color="000000" w:sz="4" w:space="0"/>
              <w:right w:val="nil"/>
            </w:tcBorders>
            <w:shd w:val="clear" w:color="auto" w:fill="FFFFFF"/>
            <w:noWrap w:val="0"/>
            <w:tcMar>
              <w:top w:w="-1" w:type="dxa"/>
              <w:left w:w="-1" w:type="dxa"/>
              <w:bottom w:w="-1" w:type="dxa"/>
              <w:right w:w="-1" w:type="dxa"/>
            </w:tcMar>
            <w:vAlign w:val="center"/>
          </w:tcPr>
          <w:p w14:paraId="3EA5EC05">
            <w:pPr>
              <w:snapToGrid w:val="0"/>
              <w:spacing w:after="0" w:line="240" w:lineRule="auto"/>
              <w:ind w:left="0" w:leftChars="0" w:right="0" w:rightChars="0" w:firstLine="0" w:firstLineChars="0"/>
              <w:jc w:val="both"/>
              <w:rPr>
                <w:rFonts w:ascii="Times New Roman" w:eastAsia="宋体"/>
                <w:b/>
                <w:bCs/>
                <w:sz w:val="16"/>
              </w:rPr>
            </w:pPr>
            <w:r>
              <w:rPr>
                <w:rFonts w:ascii="Times New Roman" w:hAnsi="Times New Roman" w:eastAsia="宋体"/>
                <w:b/>
                <w:bCs/>
                <w:color w:val="000000"/>
                <w:sz w:val="16"/>
              </w:rPr>
              <w:t>Use in this study</w:t>
            </w:r>
          </w:p>
        </w:tc>
      </w:tr>
      <w:tr w14:paraId="199663D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674" w:type="pct"/>
            <w:tcBorders>
              <w:top w:val="single" w:color="000000" w:sz="4" w:space="0"/>
              <w:left w:val="nil"/>
              <w:bottom w:val="nil"/>
              <w:right w:val="nil"/>
            </w:tcBorders>
            <w:shd w:val="clear" w:color="auto" w:fill="FFFFFF"/>
            <w:noWrap w:val="0"/>
            <w:tcMar>
              <w:top w:w="-1" w:type="dxa"/>
              <w:left w:w="-1" w:type="dxa"/>
              <w:bottom w:w="-1" w:type="dxa"/>
              <w:right w:w="-1" w:type="dxa"/>
            </w:tcMar>
            <w:vAlign w:val="center"/>
          </w:tcPr>
          <w:p w14:paraId="656867CC">
            <w:pPr>
              <w:snapToGrid w:val="0"/>
              <w:spacing w:after="0" w:line="240" w:lineRule="auto"/>
              <w:ind w:left="0" w:leftChars="0" w:right="0" w:rightChars="0" w:firstLine="0" w:firstLineChars="0"/>
              <w:jc w:val="both"/>
              <w:rPr>
                <w:rFonts w:ascii="Times New Roman" w:eastAsia="宋体"/>
                <w:sz w:val="16"/>
              </w:rPr>
            </w:pPr>
            <w:r>
              <w:rPr>
                <w:rFonts w:ascii="Times New Roman" w:hAnsi="Times New Roman" w:eastAsia="宋体"/>
                <w:b w:val="0"/>
                <w:color w:val="000000"/>
                <w:sz w:val="16"/>
              </w:rPr>
              <w:t>GSE268807 astrocyte object</w:t>
            </w:r>
          </w:p>
        </w:tc>
        <w:tc>
          <w:tcPr>
            <w:tcW w:w="738" w:type="pct"/>
            <w:tcBorders>
              <w:top w:val="single" w:color="000000" w:sz="4" w:space="0"/>
              <w:left w:val="nil"/>
              <w:bottom w:val="nil"/>
              <w:right w:val="nil"/>
            </w:tcBorders>
            <w:shd w:val="clear" w:color="auto" w:fill="FFFFFF"/>
            <w:noWrap w:val="0"/>
            <w:tcMar>
              <w:top w:w="-1" w:type="dxa"/>
              <w:left w:w="-1" w:type="dxa"/>
              <w:bottom w:w="-1" w:type="dxa"/>
              <w:right w:w="-1" w:type="dxa"/>
            </w:tcMar>
            <w:vAlign w:val="center"/>
          </w:tcPr>
          <w:p w14:paraId="6BEBC793">
            <w:pPr>
              <w:snapToGrid w:val="0"/>
              <w:spacing w:after="0" w:line="240" w:lineRule="auto"/>
              <w:ind w:left="0" w:leftChars="0" w:right="0" w:rightChars="0" w:firstLine="0" w:firstLineChars="0"/>
              <w:jc w:val="both"/>
              <w:rPr>
                <w:rFonts w:ascii="Times New Roman" w:eastAsia="宋体"/>
                <w:sz w:val="16"/>
              </w:rPr>
            </w:pPr>
            <w:r>
              <w:rPr>
                <w:rFonts w:ascii="Times New Roman" w:hAnsi="Times New Roman" w:eastAsia="宋体"/>
                <w:b w:val="0"/>
                <w:color w:val="000000"/>
                <w:sz w:val="16"/>
              </w:rPr>
              <w:t>Discovery dataset</w:t>
            </w:r>
          </w:p>
        </w:tc>
        <w:tc>
          <w:tcPr>
            <w:tcW w:w="826" w:type="pct"/>
            <w:tcBorders>
              <w:top w:val="single" w:color="000000" w:sz="4" w:space="0"/>
              <w:left w:val="nil"/>
              <w:bottom w:val="nil"/>
              <w:right w:val="nil"/>
            </w:tcBorders>
            <w:shd w:val="clear" w:color="auto" w:fill="FFFFFF"/>
            <w:noWrap w:val="0"/>
            <w:tcMar>
              <w:top w:w="-1" w:type="dxa"/>
              <w:left w:w="-1" w:type="dxa"/>
              <w:bottom w:w="-1" w:type="dxa"/>
              <w:right w:w="-1" w:type="dxa"/>
            </w:tcMar>
            <w:vAlign w:val="center"/>
          </w:tcPr>
          <w:p w14:paraId="5869CB78">
            <w:pPr>
              <w:snapToGrid w:val="0"/>
              <w:spacing w:after="0" w:line="240" w:lineRule="auto"/>
              <w:ind w:left="0" w:leftChars="0" w:right="0" w:rightChars="0" w:firstLine="0" w:firstLineChars="0"/>
              <w:jc w:val="both"/>
              <w:rPr>
                <w:rFonts w:ascii="Times New Roman" w:eastAsia="宋体"/>
                <w:sz w:val="16"/>
              </w:rPr>
            </w:pPr>
            <w:r>
              <w:rPr>
                <w:rFonts w:ascii="Times New Roman" w:hAnsi="Times New Roman" w:eastAsia="宋体"/>
                <w:b w:val="0"/>
                <w:color w:val="000000"/>
                <w:sz w:val="16"/>
              </w:rPr>
              <w:t>AUCell-matched FCD II astrocyte object</w:t>
            </w:r>
          </w:p>
        </w:tc>
        <w:tc>
          <w:tcPr>
            <w:tcW w:w="425" w:type="pct"/>
            <w:tcBorders>
              <w:top w:val="single" w:color="000000" w:sz="4" w:space="0"/>
              <w:left w:val="nil"/>
              <w:bottom w:val="nil"/>
              <w:right w:val="nil"/>
            </w:tcBorders>
            <w:shd w:val="clear" w:color="auto" w:fill="FFFFFF"/>
            <w:noWrap w:val="0"/>
            <w:tcMar>
              <w:top w:w="-1" w:type="dxa"/>
              <w:left w:w="-1" w:type="dxa"/>
              <w:bottom w:w="-1" w:type="dxa"/>
              <w:right w:w="-1" w:type="dxa"/>
            </w:tcMar>
            <w:vAlign w:val="center"/>
          </w:tcPr>
          <w:p w14:paraId="28E7396A">
            <w:pPr>
              <w:snapToGrid w:val="0"/>
              <w:spacing w:after="0" w:line="240" w:lineRule="auto"/>
              <w:ind w:left="0" w:leftChars="0" w:right="0" w:rightChars="0" w:firstLine="0" w:firstLineChars="0"/>
              <w:jc w:val="both"/>
              <w:rPr>
                <w:rFonts w:ascii="Times New Roman" w:eastAsia="宋体"/>
                <w:sz w:val="16"/>
              </w:rPr>
            </w:pPr>
            <w:r>
              <w:rPr>
                <w:rFonts w:ascii="Times New Roman" w:hAnsi="Times New Roman" w:eastAsia="宋体"/>
                <w:b w:val="0"/>
                <w:color w:val="000000"/>
                <w:sz w:val="16"/>
              </w:rPr>
              <w:t>2,322</w:t>
            </w:r>
          </w:p>
        </w:tc>
        <w:tc>
          <w:tcPr>
            <w:tcW w:w="694" w:type="pct"/>
            <w:tcBorders>
              <w:top w:val="single" w:color="000000" w:sz="4" w:space="0"/>
              <w:left w:val="nil"/>
              <w:bottom w:val="nil"/>
              <w:right w:val="nil"/>
            </w:tcBorders>
            <w:shd w:val="clear" w:color="auto" w:fill="FFFFFF"/>
            <w:noWrap w:val="0"/>
            <w:tcMar>
              <w:top w:w="-1" w:type="dxa"/>
              <w:left w:w="-1" w:type="dxa"/>
              <w:bottom w:w="-1" w:type="dxa"/>
              <w:right w:w="-1" w:type="dxa"/>
            </w:tcMar>
            <w:vAlign w:val="center"/>
          </w:tcPr>
          <w:p w14:paraId="68E9E1A0">
            <w:pPr>
              <w:snapToGrid w:val="0"/>
              <w:spacing w:after="0" w:line="240" w:lineRule="auto"/>
              <w:ind w:left="0" w:leftChars="0" w:right="0" w:rightChars="0" w:firstLine="0" w:firstLineChars="0"/>
              <w:jc w:val="both"/>
              <w:rPr>
                <w:rFonts w:ascii="Times New Roman" w:eastAsia="宋体"/>
                <w:sz w:val="16"/>
              </w:rPr>
            </w:pPr>
            <w:r>
              <w:rPr>
                <w:rFonts w:ascii="Times New Roman" w:hAnsi="Times New Roman" w:eastAsia="宋体"/>
                <w:b w:val="0"/>
                <w:color w:val="000000"/>
                <w:sz w:val="16"/>
              </w:rPr>
              <w:t>Lesion vs internal-control</w:t>
            </w:r>
          </w:p>
        </w:tc>
        <w:tc>
          <w:tcPr>
            <w:tcW w:w="1640" w:type="pct"/>
            <w:tcBorders>
              <w:top w:val="single" w:color="000000" w:sz="4" w:space="0"/>
              <w:left w:val="nil"/>
              <w:bottom w:val="nil"/>
              <w:right w:val="nil"/>
            </w:tcBorders>
            <w:shd w:val="clear" w:color="auto" w:fill="FFFFFF"/>
            <w:noWrap w:val="0"/>
            <w:tcMar>
              <w:top w:w="-1" w:type="dxa"/>
              <w:left w:w="-1" w:type="dxa"/>
              <w:bottom w:w="-1" w:type="dxa"/>
              <w:right w:w="-1" w:type="dxa"/>
            </w:tcMar>
            <w:vAlign w:val="center"/>
          </w:tcPr>
          <w:p w14:paraId="0F55B500">
            <w:pPr>
              <w:snapToGrid w:val="0"/>
              <w:spacing w:after="0" w:line="240" w:lineRule="auto"/>
              <w:ind w:left="0" w:leftChars="0" w:right="0" w:rightChars="0" w:firstLine="0" w:firstLineChars="0"/>
              <w:jc w:val="both"/>
              <w:rPr>
                <w:rFonts w:ascii="Times New Roman" w:eastAsia="宋体"/>
                <w:sz w:val="16"/>
              </w:rPr>
            </w:pPr>
            <w:r>
              <w:rPr>
                <w:rFonts w:ascii="Times New Roman" w:hAnsi="Times New Roman" w:eastAsia="宋体"/>
                <w:b w:val="0"/>
                <w:color w:val="000000"/>
                <w:sz w:val="16"/>
              </w:rPr>
              <w:t>Regulon discovery; differential regulon analysis; CellOracle in silico perturbation; internal robustness analysis</w:t>
            </w:r>
          </w:p>
        </w:tc>
      </w:tr>
      <w:tr w14:paraId="1433B23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674" w:type="pct"/>
            <w:tcBorders>
              <w:top w:val="nil"/>
              <w:left w:val="nil"/>
              <w:bottom w:val="nil"/>
              <w:right w:val="nil"/>
            </w:tcBorders>
            <w:shd w:val="clear" w:color="auto" w:fill="FFFFFF"/>
            <w:noWrap w:val="0"/>
            <w:tcMar>
              <w:top w:w="-1" w:type="dxa"/>
              <w:left w:w="-1" w:type="dxa"/>
              <w:bottom w:w="-1" w:type="dxa"/>
              <w:right w:w="-1" w:type="dxa"/>
            </w:tcMar>
            <w:vAlign w:val="center"/>
          </w:tcPr>
          <w:p w14:paraId="113E3023">
            <w:pPr>
              <w:snapToGrid w:val="0"/>
              <w:spacing w:after="0" w:line="240" w:lineRule="auto"/>
              <w:ind w:left="0" w:leftChars="0" w:right="0" w:rightChars="0" w:firstLine="0" w:firstLineChars="0"/>
              <w:jc w:val="both"/>
              <w:rPr>
                <w:rFonts w:ascii="Times New Roman" w:eastAsia="宋体"/>
                <w:sz w:val="16"/>
              </w:rPr>
            </w:pPr>
            <w:r>
              <w:rPr>
                <w:rFonts w:ascii="Times New Roman" w:hAnsi="Times New Roman" w:eastAsia="宋体"/>
                <w:b w:val="0"/>
                <w:color w:val="000000"/>
                <w:sz w:val="16"/>
              </w:rPr>
              <w:t>GSE140393</w:t>
            </w:r>
          </w:p>
        </w:tc>
        <w:tc>
          <w:tcPr>
            <w:tcW w:w="738" w:type="pct"/>
            <w:tcBorders>
              <w:top w:val="nil"/>
              <w:left w:val="nil"/>
              <w:bottom w:val="nil"/>
              <w:right w:val="nil"/>
            </w:tcBorders>
            <w:shd w:val="clear" w:color="auto" w:fill="FFFFFF"/>
            <w:noWrap w:val="0"/>
            <w:tcMar>
              <w:top w:w="-1" w:type="dxa"/>
              <w:left w:w="-1" w:type="dxa"/>
              <w:bottom w:w="-1" w:type="dxa"/>
              <w:right w:w="-1" w:type="dxa"/>
            </w:tcMar>
            <w:vAlign w:val="center"/>
          </w:tcPr>
          <w:p w14:paraId="4E4FF5D5">
            <w:pPr>
              <w:snapToGrid w:val="0"/>
              <w:spacing w:after="0" w:line="240" w:lineRule="auto"/>
              <w:ind w:left="0" w:leftChars="0" w:right="0" w:rightChars="0" w:firstLine="0" w:firstLineChars="0"/>
              <w:jc w:val="both"/>
              <w:rPr>
                <w:rFonts w:ascii="Times New Roman" w:eastAsia="宋体"/>
                <w:sz w:val="16"/>
              </w:rPr>
            </w:pPr>
            <w:r>
              <w:rPr>
                <w:rFonts w:ascii="Times New Roman" w:hAnsi="Times New Roman" w:eastAsia="宋体"/>
                <w:b w:val="0"/>
                <w:color w:val="000000"/>
                <w:sz w:val="16"/>
              </w:rPr>
              <w:t>Supportive expression analysis</w:t>
            </w:r>
          </w:p>
        </w:tc>
        <w:tc>
          <w:tcPr>
            <w:tcW w:w="826" w:type="pct"/>
            <w:tcBorders>
              <w:top w:val="nil"/>
              <w:left w:val="nil"/>
              <w:bottom w:val="nil"/>
              <w:right w:val="nil"/>
            </w:tcBorders>
            <w:shd w:val="clear" w:color="auto" w:fill="FFFFFF"/>
            <w:noWrap w:val="0"/>
            <w:tcMar>
              <w:top w:w="-1" w:type="dxa"/>
              <w:left w:w="-1" w:type="dxa"/>
              <w:bottom w:w="-1" w:type="dxa"/>
              <w:right w:w="-1" w:type="dxa"/>
            </w:tcMar>
            <w:vAlign w:val="center"/>
          </w:tcPr>
          <w:p w14:paraId="3FEA59B1">
            <w:pPr>
              <w:snapToGrid w:val="0"/>
              <w:spacing w:after="0" w:line="240" w:lineRule="auto"/>
              <w:ind w:left="0" w:leftChars="0" w:right="0" w:rightChars="0" w:firstLine="0" w:firstLineChars="0"/>
              <w:jc w:val="both"/>
              <w:rPr>
                <w:rFonts w:ascii="Times New Roman" w:eastAsia="宋体"/>
                <w:sz w:val="16"/>
              </w:rPr>
            </w:pPr>
            <w:r>
              <w:rPr>
                <w:rFonts w:ascii="Times New Roman" w:hAnsi="Times New Roman" w:eastAsia="宋体"/>
                <w:b w:val="0"/>
                <w:color w:val="000000"/>
                <w:sz w:val="16"/>
              </w:rPr>
              <w:t>FCD II lesion astrocyte expression object</w:t>
            </w:r>
          </w:p>
        </w:tc>
        <w:tc>
          <w:tcPr>
            <w:tcW w:w="425" w:type="pct"/>
            <w:tcBorders>
              <w:top w:val="nil"/>
              <w:left w:val="nil"/>
              <w:bottom w:val="nil"/>
              <w:right w:val="nil"/>
            </w:tcBorders>
            <w:shd w:val="clear" w:color="auto" w:fill="FFFFFF"/>
            <w:noWrap w:val="0"/>
            <w:tcMar>
              <w:top w:w="-1" w:type="dxa"/>
              <w:left w:w="-1" w:type="dxa"/>
              <w:bottom w:w="-1" w:type="dxa"/>
              <w:right w:w="-1" w:type="dxa"/>
            </w:tcMar>
            <w:vAlign w:val="center"/>
          </w:tcPr>
          <w:p w14:paraId="4C053203">
            <w:pPr>
              <w:snapToGrid w:val="0"/>
              <w:spacing w:after="0" w:line="240" w:lineRule="auto"/>
              <w:ind w:left="0" w:leftChars="0" w:right="0" w:rightChars="0" w:firstLine="0" w:firstLineChars="0"/>
              <w:jc w:val="both"/>
              <w:rPr>
                <w:rFonts w:ascii="Times New Roman" w:eastAsia="宋体"/>
                <w:sz w:val="16"/>
              </w:rPr>
            </w:pPr>
            <w:r>
              <w:rPr>
                <w:rFonts w:ascii="Times New Roman" w:hAnsi="Times New Roman" w:eastAsia="宋体"/>
                <w:b w:val="0"/>
                <w:color w:val="000000"/>
                <w:sz w:val="16"/>
              </w:rPr>
              <w:t>11,399</w:t>
            </w:r>
          </w:p>
        </w:tc>
        <w:tc>
          <w:tcPr>
            <w:tcW w:w="694" w:type="pct"/>
            <w:tcBorders>
              <w:top w:val="nil"/>
              <w:left w:val="nil"/>
              <w:bottom w:val="nil"/>
              <w:right w:val="nil"/>
            </w:tcBorders>
            <w:shd w:val="clear" w:color="auto" w:fill="FFFFFF"/>
            <w:noWrap w:val="0"/>
            <w:tcMar>
              <w:top w:w="-1" w:type="dxa"/>
              <w:left w:w="-1" w:type="dxa"/>
              <w:bottom w:w="-1" w:type="dxa"/>
              <w:right w:w="-1" w:type="dxa"/>
            </w:tcMar>
            <w:vAlign w:val="center"/>
          </w:tcPr>
          <w:p w14:paraId="7253B678">
            <w:pPr>
              <w:snapToGrid w:val="0"/>
              <w:spacing w:after="0" w:line="240" w:lineRule="auto"/>
              <w:ind w:left="0" w:leftChars="0" w:right="0" w:rightChars="0" w:firstLine="0" w:firstLineChars="0"/>
              <w:jc w:val="both"/>
              <w:rPr>
                <w:rFonts w:ascii="Times New Roman" w:eastAsia="宋体"/>
                <w:sz w:val="16"/>
              </w:rPr>
            </w:pPr>
            <w:r>
              <w:rPr>
                <w:rFonts w:ascii="Times New Roman" w:hAnsi="Times New Roman" w:eastAsia="宋体"/>
                <w:b w:val="0"/>
                <w:color w:val="000000"/>
                <w:sz w:val="16"/>
              </w:rPr>
              <w:t>Single-group lesion object</w:t>
            </w:r>
          </w:p>
        </w:tc>
        <w:tc>
          <w:tcPr>
            <w:tcW w:w="1640" w:type="pct"/>
            <w:tcBorders>
              <w:top w:val="nil"/>
              <w:left w:val="nil"/>
              <w:bottom w:val="nil"/>
              <w:right w:val="nil"/>
            </w:tcBorders>
            <w:shd w:val="clear" w:color="auto" w:fill="FFFFFF"/>
            <w:noWrap w:val="0"/>
            <w:tcMar>
              <w:top w:w="-1" w:type="dxa"/>
              <w:left w:w="-1" w:type="dxa"/>
              <w:bottom w:w="-1" w:type="dxa"/>
              <w:right w:w="-1" w:type="dxa"/>
            </w:tcMar>
            <w:vAlign w:val="center"/>
          </w:tcPr>
          <w:p w14:paraId="0FBBEB03">
            <w:pPr>
              <w:snapToGrid w:val="0"/>
              <w:spacing w:after="0" w:line="240" w:lineRule="auto"/>
              <w:ind w:left="0" w:leftChars="0" w:right="0" w:rightChars="0" w:firstLine="0" w:firstLineChars="0"/>
              <w:jc w:val="both"/>
              <w:rPr>
                <w:rFonts w:ascii="Times New Roman" w:eastAsia="宋体"/>
                <w:sz w:val="16"/>
              </w:rPr>
            </w:pPr>
            <w:r>
              <w:rPr>
                <w:rFonts w:ascii="Times New Roman" w:hAnsi="Times New Roman" w:eastAsia="宋体"/>
                <w:b w:val="0"/>
                <w:color w:val="000000"/>
                <w:sz w:val="16"/>
              </w:rPr>
              <w:t>Expression-level support for candidate transcription factors and gene sets</w:t>
            </w:r>
          </w:p>
        </w:tc>
      </w:tr>
      <w:tr w14:paraId="1D10B97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674" w:type="pct"/>
            <w:tcBorders>
              <w:top w:val="nil"/>
              <w:left w:val="nil"/>
              <w:bottom w:val="single" w:color="000000" w:sz="12" w:space="0"/>
              <w:right w:val="nil"/>
            </w:tcBorders>
            <w:shd w:val="clear" w:color="auto" w:fill="FFFFFF"/>
            <w:noWrap w:val="0"/>
            <w:tcMar>
              <w:top w:w="-1" w:type="dxa"/>
              <w:left w:w="-1" w:type="dxa"/>
              <w:bottom w:w="-1" w:type="dxa"/>
              <w:right w:w="-1" w:type="dxa"/>
            </w:tcMar>
            <w:vAlign w:val="center"/>
          </w:tcPr>
          <w:p w14:paraId="1DAD3124">
            <w:pPr>
              <w:snapToGrid w:val="0"/>
              <w:spacing w:after="0" w:line="240" w:lineRule="auto"/>
              <w:ind w:left="0" w:leftChars="0" w:right="0" w:rightChars="0" w:firstLine="0" w:firstLineChars="0"/>
              <w:jc w:val="both"/>
              <w:rPr>
                <w:rFonts w:ascii="Times New Roman" w:eastAsia="宋体"/>
                <w:sz w:val="16"/>
              </w:rPr>
            </w:pPr>
            <w:r>
              <w:rPr>
                <w:rFonts w:ascii="Times New Roman" w:hAnsi="Times New Roman" w:eastAsia="宋体"/>
                <w:b w:val="0"/>
                <w:color w:val="000000"/>
                <w:sz w:val="16"/>
              </w:rPr>
              <w:t>GSE190452</w:t>
            </w:r>
          </w:p>
        </w:tc>
        <w:tc>
          <w:tcPr>
            <w:tcW w:w="738" w:type="pct"/>
            <w:tcBorders>
              <w:top w:val="nil"/>
              <w:left w:val="nil"/>
              <w:bottom w:val="single" w:color="000000" w:sz="12" w:space="0"/>
              <w:right w:val="nil"/>
            </w:tcBorders>
            <w:shd w:val="clear" w:color="auto" w:fill="FFFFFF"/>
            <w:noWrap w:val="0"/>
            <w:tcMar>
              <w:top w:w="-1" w:type="dxa"/>
              <w:left w:w="-1" w:type="dxa"/>
              <w:bottom w:w="-1" w:type="dxa"/>
              <w:right w:w="-1" w:type="dxa"/>
            </w:tcMar>
            <w:vAlign w:val="center"/>
          </w:tcPr>
          <w:p w14:paraId="55C658D8">
            <w:pPr>
              <w:snapToGrid w:val="0"/>
              <w:spacing w:after="0" w:line="240" w:lineRule="auto"/>
              <w:ind w:left="0" w:leftChars="0" w:right="0" w:rightChars="0" w:firstLine="0" w:firstLineChars="0"/>
              <w:jc w:val="both"/>
              <w:rPr>
                <w:rFonts w:ascii="Times New Roman" w:eastAsia="宋体"/>
                <w:sz w:val="16"/>
              </w:rPr>
            </w:pPr>
            <w:r>
              <w:rPr>
                <w:rFonts w:ascii="Times New Roman" w:hAnsi="Times New Roman" w:eastAsia="宋体"/>
                <w:b w:val="0"/>
                <w:color w:val="000000"/>
                <w:sz w:val="16"/>
              </w:rPr>
              <w:t>Cross-syndrome supportive analysis</w:t>
            </w:r>
          </w:p>
        </w:tc>
        <w:tc>
          <w:tcPr>
            <w:tcW w:w="826" w:type="pct"/>
            <w:tcBorders>
              <w:top w:val="nil"/>
              <w:left w:val="nil"/>
              <w:bottom w:val="single" w:color="000000" w:sz="12" w:space="0"/>
              <w:right w:val="nil"/>
            </w:tcBorders>
            <w:shd w:val="clear" w:color="auto" w:fill="FFFFFF"/>
            <w:noWrap w:val="0"/>
            <w:tcMar>
              <w:top w:w="-1" w:type="dxa"/>
              <w:left w:w="-1" w:type="dxa"/>
              <w:bottom w:w="-1" w:type="dxa"/>
              <w:right w:w="-1" w:type="dxa"/>
            </w:tcMar>
            <w:vAlign w:val="center"/>
          </w:tcPr>
          <w:p w14:paraId="737CB159">
            <w:pPr>
              <w:snapToGrid w:val="0"/>
              <w:spacing w:after="0" w:line="240" w:lineRule="auto"/>
              <w:ind w:left="0" w:leftChars="0" w:right="0" w:rightChars="0" w:firstLine="0" w:firstLineChars="0"/>
              <w:jc w:val="both"/>
              <w:rPr>
                <w:rFonts w:ascii="Times New Roman" w:eastAsia="宋体"/>
                <w:sz w:val="16"/>
              </w:rPr>
            </w:pPr>
            <w:r>
              <w:rPr>
                <w:rFonts w:ascii="Times New Roman" w:hAnsi="Times New Roman" w:eastAsia="宋体"/>
                <w:b w:val="0"/>
                <w:color w:val="000000"/>
                <w:sz w:val="16"/>
              </w:rPr>
              <w:t>TLE/control expression object</w:t>
            </w:r>
          </w:p>
        </w:tc>
        <w:tc>
          <w:tcPr>
            <w:tcW w:w="425" w:type="pct"/>
            <w:tcBorders>
              <w:top w:val="nil"/>
              <w:left w:val="nil"/>
              <w:bottom w:val="single" w:color="000000" w:sz="12" w:space="0"/>
              <w:right w:val="nil"/>
            </w:tcBorders>
            <w:shd w:val="clear" w:color="auto" w:fill="FFFFFF"/>
            <w:noWrap w:val="0"/>
            <w:tcMar>
              <w:top w:w="-1" w:type="dxa"/>
              <w:left w:w="-1" w:type="dxa"/>
              <w:bottom w:w="-1" w:type="dxa"/>
              <w:right w:w="-1" w:type="dxa"/>
            </w:tcMar>
            <w:vAlign w:val="center"/>
          </w:tcPr>
          <w:p w14:paraId="5D4C1F17">
            <w:pPr>
              <w:snapToGrid w:val="0"/>
              <w:spacing w:after="0" w:line="240" w:lineRule="auto"/>
              <w:ind w:left="0" w:leftChars="0" w:right="0" w:rightChars="0" w:firstLine="0" w:firstLineChars="0"/>
              <w:jc w:val="both"/>
              <w:rPr>
                <w:rFonts w:ascii="Times New Roman" w:eastAsia="宋体"/>
                <w:sz w:val="16"/>
              </w:rPr>
            </w:pPr>
            <w:r>
              <w:rPr>
                <w:rFonts w:ascii="Times New Roman" w:hAnsi="Times New Roman" w:eastAsia="宋体"/>
                <w:b w:val="0"/>
                <w:color w:val="000000"/>
                <w:sz w:val="16"/>
              </w:rPr>
              <w:t>69,968</w:t>
            </w:r>
          </w:p>
        </w:tc>
        <w:tc>
          <w:tcPr>
            <w:tcW w:w="694" w:type="pct"/>
            <w:tcBorders>
              <w:top w:val="nil"/>
              <w:left w:val="nil"/>
              <w:bottom w:val="single" w:color="000000" w:sz="12" w:space="0"/>
              <w:right w:val="nil"/>
            </w:tcBorders>
            <w:shd w:val="clear" w:color="auto" w:fill="FFFFFF"/>
            <w:noWrap w:val="0"/>
            <w:tcMar>
              <w:top w:w="-1" w:type="dxa"/>
              <w:left w:w="-1" w:type="dxa"/>
              <w:bottom w:w="-1" w:type="dxa"/>
              <w:right w:w="-1" w:type="dxa"/>
            </w:tcMar>
            <w:vAlign w:val="center"/>
          </w:tcPr>
          <w:p w14:paraId="3AFBC9A6">
            <w:pPr>
              <w:snapToGrid w:val="0"/>
              <w:spacing w:after="0" w:line="240" w:lineRule="auto"/>
              <w:ind w:left="0" w:leftChars="0" w:right="0" w:rightChars="0" w:firstLine="0" w:firstLineChars="0"/>
              <w:jc w:val="both"/>
              <w:rPr>
                <w:rFonts w:ascii="Times New Roman" w:eastAsia="宋体"/>
                <w:sz w:val="16"/>
              </w:rPr>
            </w:pPr>
            <w:r>
              <w:rPr>
                <w:rFonts w:ascii="Times New Roman" w:hAnsi="Times New Roman" w:eastAsia="宋体"/>
                <w:b w:val="0"/>
                <w:color w:val="000000"/>
                <w:sz w:val="16"/>
              </w:rPr>
              <w:t>TLE vs non-epilepsy control</w:t>
            </w:r>
          </w:p>
        </w:tc>
        <w:tc>
          <w:tcPr>
            <w:tcW w:w="1640" w:type="pct"/>
            <w:tcBorders>
              <w:top w:val="nil"/>
              <w:left w:val="nil"/>
              <w:bottom w:val="single" w:color="000000" w:sz="12" w:space="0"/>
              <w:right w:val="nil"/>
            </w:tcBorders>
            <w:shd w:val="clear" w:color="auto" w:fill="FFFFFF"/>
            <w:noWrap w:val="0"/>
            <w:tcMar>
              <w:top w:w="-1" w:type="dxa"/>
              <w:left w:w="-1" w:type="dxa"/>
              <w:bottom w:w="-1" w:type="dxa"/>
              <w:right w:w="-1" w:type="dxa"/>
            </w:tcMar>
            <w:vAlign w:val="center"/>
          </w:tcPr>
          <w:p w14:paraId="2BB7BCAD">
            <w:pPr>
              <w:snapToGrid w:val="0"/>
              <w:spacing w:after="0" w:line="240" w:lineRule="auto"/>
              <w:ind w:left="0" w:leftChars="0" w:right="0" w:rightChars="0" w:firstLine="0" w:firstLineChars="0"/>
              <w:jc w:val="both"/>
              <w:rPr>
                <w:rFonts w:ascii="Times New Roman" w:eastAsia="宋体"/>
                <w:sz w:val="16"/>
              </w:rPr>
            </w:pPr>
            <w:r>
              <w:rPr>
                <w:rFonts w:ascii="Times New Roman" w:hAnsi="Times New Roman" w:eastAsia="宋体"/>
                <w:b w:val="0"/>
                <w:color w:val="000000"/>
                <w:sz w:val="16"/>
              </w:rPr>
              <w:t>Cross-syndrome expression and gene-set support analysis</w:t>
            </w:r>
          </w:p>
        </w:tc>
      </w:tr>
    </w:tbl>
    <w:p w14:paraId="6B3335BB">
      <w:pPr>
        <w:pStyle w:val="166"/>
        <w:spacing w:after="120" w:line="240" w:lineRule="auto"/>
        <w:jc w:val="both"/>
      </w:pPr>
      <w:r>
        <w:rPr>
          <w:rFonts w:ascii="Times New Roman" w:hAnsi="Times New Roman" w:eastAsia="宋体"/>
          <w:b w:val="0"/>
          <w:color w:val="000000"/>
          <w:sz w:val="20"/>
        </w:rPr>
        <w:t>Table note: GSE268807 was used as the discovery dataset. GSE140393 and GSE190452 were used for supportive expression and gene-set analyses, rather than formal regulon-level validation.</w:t>
      </w:r>
    </w:p>
    <w:p w14:paraId="75C6FC60">
      <w:pPr>
        <w:pStyle w:val="4"/>
        <w:jc w:val="both"/>
      </w:pPr>
      <w:r>
        <w:t>Astrocyte object construction</w:t>
      </w:r>
    </w:p>
    <w:p w14:paraId="2A8F1D97">
      <w:pPr>
        <w:jc w:val="both"/>
      </w:pPr>
      <w:r>
        <w:rPr>
          <w:rFonts w:ascii="Times New Roman" w:hAnsi="Times New Roman" w:eastAsia="宋体"/>
          <w:sz w:val="24"/>
        </w:rPr>
        <w:t>To maintain consistency with the cell annotations and sample identities established in the original study, we used the preprocessed 10X Genomics Multiome astrocyte subset from GSE268807 rather than reprocessing from raw sequencing reads. The final analysis object comprised 2,322 astrocytes and 36,601 genes from 4 biological samples (2 lesion-side and 2 internal-control-side) from 2 donors, with each donor contributing paired lesion and internal-control samples to partially control for inter-individual variation.</w:t>
      </w:r>
    </w:p>
    <w:p w14:paraId="1BD393CB">
      <w:pPr>
        <w:jc w:val="both"/>
      </w:pPr>
      <w:r>
        <w:t>Prior to analysis, we verified cell barcodes, sample identifiers, group labels, donor labels, cell counts, and gene counts. The AUCell activity matrix was matched to the astrocyte object by cell barcode. The matched object was then used for downstream differential regulon analysis, candidate transcription factor prioritization, CellOracle metadata integration, and sample-level robustness analyses. The object construction and matching workflow is illustrated in Additional file 1.</w:t>
      </w:r>
    </w:p>
    <w:p w14:paraId="25F1D7A1">
      <w:pPr>
        <w:pStyle w:val="4"/>
        <w:jc w:val="both"/>
      </w:pPr>
      <w:r>
        <w:t>Data preprocessing</w:t>
      </w:r>
    </w:p>
    <w:p w14:paraId="2A58953A">
      <w:pPr>
        <w:keepNext w:val="0"/>
        <w:keepLines w:val="0"/>
        <w:widowControl/>
        <w:suppressLineNumbers w:val="0"/>
        <w:spacing w:before="105" w:beforeAutospacing="0" w:after="105" w:afterAutospacing="0"/>
        <w:jc w:val="both"/>
      </w:pPr>
      <w:r>
        <w:t xml:space="preserve">To prepare the expression matrix for gene regulatory network inference while preserving the full gene space required for regulon analysis, we applied standard preprocessing steps: filtering of low-quality cells, removal of lowly expressed genes, library size normalization, and log transformation. After preprocessing, the matrix dimensions were 36,601 genes × 2,322 astrocytes. The full gene expression matrix retained after filtering was used for gene regulatory network inference, AUCell activity scoring, differential regulon analysis, and candidate transcription factor evaluation. This avoided artificially narrowing the gene space for regulon inference that would result from using only highly variable genes. </w:t>
      </w:r>
      <w:r>
        <w:rPr>
          <w:lang w:val="en-US" w:eastAsia="zh-CN"/>
        </w:rPr>
        <w:t>Highly variable gene selection was used solely for dimensionality reduction visualization and object quality control and did not contribute to regulon inference, AUCell scoring, or differential regulon analysis.</w:t>
      </w:r>
      <w:r>
        <w:t xml:space="preserve"> Cell and gene filtering thresholds, retained cell numbers, and sample tracking records are provided in Additional file 1 and in the object construction scripts within the code repository.</w:t>
      </w:r>
    </w:p>
    <w:p w14:paraId="6FCD60C7">
      <w:pPr>
        <w:pStyle w:val="4"/>
        <w:jc w:val="both"/>
      </w:pPr>
      <w:r>
        <w:t>Regulon inference and activity scoring</w:t>
      </w:r>
    </w:p>
    <w:p w14:paraId="428CD917">
      <w:pPr>
        <w:jc w:val="both"/>
      </w:pPr>
      <w:r>
        <w:t>To identify potential upstream regulatory programs in astrocytes, we used pySCENIC (within the Docker image aertslab/pyscenic:0.12.1) to infer transcription factor regulatory networks and AUCell to quantify the activity of each regulon in single cells. The workflow consisted of three steps. First, the GRNBoost2 algorithm [21] was used to infer co-expression connections between transcription factors and candidate target genes from the full gene expression matrix of astrocytes, using a list of hg38 transcription factors as input. Second, the cisTarget hg38 gene-based ranking database (10 kb around the transcription start site, v10 motif annotation) was employed for DNA sequence motif enrichment validation; only transcription factor–target gene pairs with motif support were retained to form refined regulons. Third, AUCell calculated a regulon activity score for each cell based on the expression levels of the target genes within each regulon, reflecting the overall activity of that regulatory unit at the single-cell level. The resulting AUCell scores were subsequently matched to the astrocyte object by cell barcode. Through the above procedure, a total of 105 motif-supported regulons were obtained for subsequent comparison between the lesion and internal-control sides. Complete commands, resource file names, and intermediate file tracking records are available in the code repository.</w:t>
      </w:r>
    </w:p>
    <w:p w14:paraId="5935EF6D">
      <w:pPr>
        <w:pStyle w:val="4"/>
        <w:jc w:val="both"/>
      </w:pPr>
      <w:r>
        <w:t>Differential regulon analysis</w:t>
      </w:r>
    </w:p>
    <w:p w14:paraId="1FA01D37">
      <w:pPr>
        <w:jc w:val="both"/>
      </w:pPr>
      <w:r>
        <w:t>To determine whether lesion-side and internal-control-side astrocytes are governed by distinct upstream regulatory programs, we evaluated the AUCell activity of all 105 regulons. For each regulon, ΔAUC was defined as the mean AUCell activity on the lesion side minus the mean activity on the internal-control side to reflect its activity bias. Statistical significance of the differences between groups was assessed using a two-tailed Wilcoxon rank-sum test. Multiple testing correction was applied using the Benjamini–Hochberg method, with the significance threshold set at FDR &lt; 0.05. Regulons with ΔAUC &gt; 0 and FDR &lt; 0.05 were classified as lesion-side-associated, while those with ΔAUC &lt; 0 and FDR &lt; 0.05 were classified as internal-control-side-associated. The complete differential regulon results are presented in Figure 2, Additional file 2, and Additional file 3.</w:t>
      </w:r>
    </w:p>
    <w:p w14:paraId="13F27DDF">
      <w:pPr>
        <w:pStyle w:val="4"/>
        <w:jc w:val="both"/>
      </w:pPr>
      <w:r>
        <w:t>Candidate transcription factor prioritization</w:t>
      </w:r>
    </w:p>
    <w:p w14:paraId="461C6992">
      <w:pPr>
        <w:jc w:val="both"/>
      </w:pPr>
      <w:r>
        <w:t>Differential regulon analysis can only distinguish the direction of regulon activity and is insufficient to determine which transcription factors have higher validation priority at the regulatory level. Therefore, we performed candidate prioritization in two steps. In the first step, we set entry criteria: we retained only those transcription factors for which the direction of their own expression was concordant with the direction of their regulon activity and for which the differential regulon reached FDR &lt; 0.05, ensuring that the candidate directions were interpretable and statistically reliable. In the second step, among the factors that met the entry criteria, final priority was determined by integrating the following dimensions: regulon target gene number and CellOracle perturbation indices were used to gauge regulatory scale and perturbation impact; sample-level robustness and the direction of supportive data were used to assess cross-sample reproducibility of the signals; and functional enrichment results were used to judge whether the biological interpretation converged on stress-response or homeostatic-support programs. All dimensions were evaluated qualitatively without applying any artificial weighting formula. The complete candidate transcription factor metrics and prioritization results are presented in Additional file 4 and Additional file 5.</w:t>
      </w:r>
    </w:p>
    <w:p w14:paraId="4BD15F66">
      <w:pPr>
        <w:pStyle w:val="166"/>
        <w:spacing w:line="240" w:lineRule="auto"/>
        <w:jc w:val="both"/>
        <w:rPr>
          <w:b/>
          <w:bCs/>
          <w:rPrChange w:id="12" w:author="Dream" w:date="2026-08-28T19:06:09Z">
            <w:rPr/>
          </w:rPrChange>
        </w:rPr>
      </w:pPr>
      <w:r>
        <w:rPr>
          <w:rFonts w:ascii="Times New Roman" w:hAnsi="Times New Roman" w:eastAsia="宋体"/>
          <w:b/>
          <w:bCs/>
          <w:color w:val="000000"/>
          <w:sz w:val="20"/>
          <w:rPrChange w:id="13" w:author="Dream" w:date="2026-08-28T19:06:09Z">
            <w:rPr>
              <w:rFonts w:ascii="Times New Roman" w:hAnsi="Times New Roman" w:eastAsia="宋体"/>
              <w:b w:val="0"/>
              <w:color w:val="000000"/>
              <w:sz w:val="20"/>
            </w:rPr>
          </w:rPrChange>
        </w:rPr>
        <w:t>Table 2. Integrated prioritization of candidate transcription factors.</w:t>
      </w:r>
    </w:p>
    <w:tbl>
      <w:tblPr>
        <w:tblStyle w:val="34"/>
        <w:tblW w:w="5106" w:type="pct"/>
        <w:jc w:val="center"/>
        <w:tblLayout w:type="autofit"/>
        <w:tblCellMar>
          <w:top w:w="0" w:type="dxa"/>
          <w:left w:w="108" w:type="dxa"/>
          <w:bottom w:w="0" w:type="dxa"/>
          <w:right w:w="108" w:type="dxa"/>
        </w:tblCellMar>
      </w:tblPr>
      <w:tblGrid>
        <w:gridCol w:w="930"/>
        <w:gridCol w:w="1064"/>
        <w:gridCol w:w="1266"/>
        <w:gridCol w:w="1540"/>
        <w:gridCol w:w="2198"/>
        <w:gridCol w:w="2179"/>
        <w:gridCol w:w="1331"/>
      </w:tblGrid>
      <w:tr w14:paraId="7B1B845A">
        <w:tblPrEx>
          <w:tblCellMar>
            <w:top w:w="0" w:type="dxa"/>
            <w:left w:w="108" w:type="dxa"/>
            <w:bottom w:w="0" w:type="dxa"/>
            <w:right w:w="108" w:type="dxa"/>
          </w:tblCellMar>
        </w:tblPrEx>
        <w:trPr>
          <w:trHeight w:val="0" w:hRule="atLeast"/>
          <w:tblHeader/>
          <w:jc w:val="center"/>
        </w:trPr>
        <w:tc>
          <w:tcPr>
            <w:tcW w:w="442" w:type="pct"/>
            <w:tcBorders>
              <w:top w:val="single" w:color="auto" w:sz="12" w:space="0"/>
              <w:left w:val="nil"/>
              <w:bottom w:val="nil"/>
              <w:right w:val="nil"/>
            </w:tcBorders>
            <w:noWrap w:val="0"/>
            <w:tcMar>
              <w:top w:w="-1" w:type="dxa"/>
              <w:left w:w="-1" w:type="dxa"/>
              <w:bottom w:w="-1" w:type="dxa"/>
              <w:right w:w="-1" w:type="dxa"/>
            </w:tcMar>
            <w:vAlign w:val="center"/>
          </w:tcPr>
          <w:p w14:paraId="24F3EA21">
            <w:pPr>
              <w:snapToGrid w:val="0"/>
              <w:spacing w:after="0" w:line="240" w:lineRule="auto"/>
              <w:ind w:left="0" w:leftChars="0" w:right="0" w:rightChars="0" w:firstLine="0" w:firstLineChars="0"/>
              <w:jc w:val="center"/>
              <w:rPr>
                <w:rFonts w:ascii="Times New Roman" w:eastAsia="宋体"/>
                <w:b/>
                <w:sz w:val="16"/>
              </w:rPr>
            </w:pPr>
            <w:r>
              <w:rPr>
                <w:rFonts w:ascii="Times New Roman" w:hAnsi="Times New Roman" w:eastAsia="宋体"/>
                <w:b/>
                <w:color w:val="000000"/>
                <w:sz w:val="16"/>
              </w:rPr>
              <w:t>TF</w:t>
            </w:r>
          </w:p>
        </w:tc>
        <w:tc>
          <w:tcPr>
            <w:tcW w:w="506" w:type="pct"/>
            <w:tcBorders>
              <w:top w:val="single" w:color="auto" w:sz="12" w:space="0"/>
              <w:left w:val="nil"/>
              <w:bottom w:val="nil"/>
              <w:right w:val="nil"/>
            </w:tcBorders>
            <w:noWrap w:val="0"/>
            <w:tcMar>
              <w:top w:w="-1" w:type="dxa"/>
              <w:left w:w="-1" w:type="dxa"/>
              <w:bottom w:w="-1" w:type="dxa"/>
              <w:right w:w="-1" w:type="dxa"/>
            </w:tcMar>
            <w:vAlign w:val="center"/>
          </w:tcPr>
          <w:p w14:paraId="5D8FF4B6">
            <w:pPr>
              <w:snapToGrid w:val="0"/>
              <w:spacing w:after="0" w:line="240" w:lineRule="auto"/>
              <w:ind w:left="0" w:leftChars="0" w:right="0" w:rightChars="0" w:firstLine="0" w:firstLineChars="0"/>
              <w:jc w:val="center"/>
              <w:rPr>
                <w:rFonts w:ascii="Times New Roman" w:eastAsia="宋体"/>
                <w:b/>
                <w:sz w:val="16"/>
              </w:rPr>
            </w:pPr>
            <w:r>
              <w:rPr>
                <w:rFonts w:ascii="Times New Roman" w:hAnsi="Times New Roman" w:eastAsia="宋体"/>
                <w:b/>
                <w:color w:val="000000"/>
                <w:sz w:val="16"/>
              </w:rPr>
              <w:t>Axis direction</w:t>
            </w:r>
          </w:p>
        </w:tc>
        <w:tc>
          <w:tcPr>
            <w:tcW w:w="602" w:type="pct"/>
            <w:tcBorders>
              <w:top w:val="single" w:color="auto" w:sz="12" w:space="0"/>
              <w:left w:val="nil"/>
              <w:bottom w:val="nil"/>
              <w:right w:val="nil"/>
            </w:tcBorders>
            <w:noWrap w:val="0"/>
            <w:tcMar>
              <w:top w:w="-1" w:type="dxa"/>
              <w:left w:w="-1" w:type="dxa"/>
              <w:bottom w:w="-1" w:type="dxa"/>
              <w:right w:w="-1" w:type="dxa"/>
            </w:tcMar>
            <w:vAlign w:val="center"/>
          </w:tcPr>
          <w:p w14:paraId="6C6F6842">
            <w:pPr>
              <w:snapToGrid w:val="0"/>
              <w:spacing w:after="0" w:line="240" w:lineRule="auto"/>
              <w:ind w:left="0" w:leftChars="0" w:right="0" w:rightChars="0" w:firstLine="0" w:firstLineChars="0"/>
              <w:jc w:val="center"/>
              <w:rPr>
                <w:rFonts w:ascii="Times New Roman" w:eastAsia="宋体"/>
                <w:b/>
                <w:sz w:val="16"/>
              </w:rPr>
            </w:pPr>
            <w:r>
              <w:rPr>
                <w:rFonts w:ascii="Times New Roman" w:hAnsi="Times New Roman" w:eastAsia="宋体"/>
                <w:b/>
                <w:color w:val="000000"/>
                <w:sz w:val="16"/>
              </w:rPr>
              <w:t>Discovery evidence</w:t>
            </w:r>
          </w:p>
        </w:tc>
        <w:tc>
          <w:tcPr>
            <w:tcW w:w="732" w:type="pct"/>
            <w:tcBorders>
              <w:top w:val="single" w:color="auto" w:sz="12" w:space="0"/>
              <w:left w:val="nil"/>
              <w:bottom w:val="nil"/>
              <w:right w:val="nil"/>
            </w:tcBorders>
            <w:noWrap w:val="0"/>
            <w:tcMar>
              <w:top w:w="-1" w:type="dxa"/>
              <w:left w:w="-1" w:type="dxa"/>
              <w:bottom w:w="-1" w:type="dxa"/>
              <w:right w:w="-1" w:type="dxa"/>
            </w:tcMar>
            <w:vAlign w:val="center"/>
          </w:tcPr>
          <w:p w14:paraId="38D3BFA0">
            <w:pPr>
              <w:snapToGrid w:val="0"/>
              <w:spacing w:after="0" w:line="240" w:lineRule="auto"/>
              <w:ind w:left="0" w:leftChars="0" w:right="0" w:rightChars="0" w:firstLine="0" w:firstLineChars="0"/>
              <w:jc w:val="center"/>
              <w:rPr>
                <w:rFonts w:ascii="Times New Roman" w:eastAsia="宋体"/>
                <w:b/>
                <w:sz w:val="16"/>
              </w:rPr>
            </w:pPr>
            <w:r>
              <w:rPr>
                <w:rFonts w:ascii="Times New Roman" w:hAnsi="Times New Roman" w:eastAsia="宋体"/>
                <w:b/>
                <w:color w:val="000000"/>
                <w:sz w:val="16"/>
              </w:rPr>
              <w:t>In silico perturbation evidence</w:t>
            </w:r>
            <w:ins w:id="14" w:author="Dream" w:date="2026-08-28T19:06:16Z">
              <w:r>
                <w:rPr>
                  <w:rFonts w:hint="eastAsia" w:eastAsia="宋体"/>
                  <w:b/>
                  <w:color w:val="000000"/>
                  <w:sz w:val="16"/>
                  <w:lang w:val="en-US" w:eastAsia="zh-CN"/>
                </w:rPr>
                <w:t xml:space="preserve"> </w:t>
              </w:r>
            </w:ins>
            <w:del w:id="15" w:author="Dream" w:date="2026-08-28T19:06:15Z">
              <w:r>
                <w:rPr>
                  <w:rFonts w:ascii="Times New Roman" w:hAnsi="Times New Roman" w:eastAsia="宋体"/>
                  <w:b/>
                  <w:color w:val="000000"/>
                  <w:sz w:val="16"/>
                </w:rPr>
                <w:delText xml:space="preserve"> </w:delText>
              </w:r>
            </w:del>
            <w:r>
              <w:rPr>
                <w:rFonts w:ascii="Times New Roman" w:hAnsi="Times New Roman" w:eastAsia="宋体"/>
                <w:b/>
                <w:color w:val="000000"/>
                <w:sz w:val="16"/>
              </w:rPr>
            </w:r>
          </w:p>
        </w:tc>
        <w:tc>
          <w:tcPr>
            <w:tcW w:w="1045" w:type="pct"/>
            <w:tcBorders>
              <w:top w:val="single" w:color="auto" w:sz="12" w:space="0"/>
              <w:left w:val="nil"/>
              <w:bottom w:val="nil"/>
              <w:right w:val="nil"/>
            </w:tcBorders>
            <w:noWrap w:val="0"/>
            <w:tcMar>
              <w:top w:w="-1" w:type="dxa"/>
              <w:left w:w="-1" w:type="dxa"/>
              <w:bottom w:w="-1" w:type="dxa"/>
              <w:right w:w="-1" w:type="dxa"/>
            </w:tcMar>
            <w:vAlign w:val="center"/>
          </w:tcPr>
          <w:p w14:paraId="06413B3A">
            <w:pPr>
              <w:snapToGrid w:val="0"/>
              <w:spacing w:after="0" w:line="240" w:lineRule="auto"/>
              <w:ind w:left="0" w:leftChars="0" w:right="0" w:rightChars="0" w:firstLine="0" w:firstLineChars="0"/>
              <w:jc w:val="center"/>
              <w:rPr>
                <w:rFonts w:ascii="Times New Roman" w:eastAsia="宋体"/>
                <w:b/>
                <w:sz w:val="16"/>
              </w:rPr>
            </w:pPr>
            <w:r>
              <w:rPr>
                <w:rFonts w:ascii="Times New Roman" w:hAnsi="Times New Roman" w:eastAsia="宋体"/>
                <w:b/>
                <w:color w:val="000000"/>
                <w:sz w:val="16"/>
              </w:rPr>
              <w:t>Robustness/supportive evidence</w:t>
            </w:r>
          </w:p>
        </w:tc>
        <w:tc>
          <w:tcPr>
            <w:tcW w:w="1036" w:type="pct"/>
            <w:tcBorders>
              <w:top w:val="single" w:color="auto" w:sz="12" w:space="0"/>
              <w:left w:val="nil"/>
              <w:bottom w:val="nil"/>
              <w:right w:val="nil"/>
            </w:tcBorders>
            <w:noWrap w:val="0"/>
            <w:tcMar>
              <w:top w:w="-1" w:type="dxa"/>
              <w:left w:w="-1" w:type="dxa"/>
              <w:bottom w:w="-1" w:type="dxa"/>
              <w:right w:w="-1" w:type="dxa"/>
            </w:tcMar>
            <w:vAlign w:val="center"/>
          </w:tcPr>
          <w:p w14:paraId="6636002C">
            <w:pPr>
              <w:snapToGrid w:val="0"/>
              <w:spacing w:after="0" w:line="240" w:lineRule="auto"/>
              <w:ind w:left="0" w:leftChars="0" w:right="0" w:rightChars="0" w:firstLine="0" w:firstLineChars="0"/>
              <w:jc w:val="center"/>
              <w:rPr>
                <w:rFonts w:ascii="Times New Roman" w:eastAsia="宋体"/>
                <w:b/>
                <w:sz w:val="16"/>
              </w:rPr>
            </w:pPr>
            <w:r>
              <w:rPr>
                <w:rFonts w:ascii="Times New Roman" w:hAnsi="Times New Roman" w:eastAsia="宋体"/>
                <w:b/>
                <w:color w:val="000000"/>
                <w:sz w:val="16"/>
              </w:rPr>
              <w:t>Program interpretation</w:t>
            </w:r>
          </w:p>
        </w:tc>
        <w:tc>
          <w:tcPr>
            <w:tcW w:w="633" w:type="pct"/>
            <w:tcBorders>
              <w:top w:val="single" w:color="auto" w:sz="12" w:space="0"/>
              <w:left w:val="nil"/>
              <w:bottom w:val="nil"/>
              <w:right w:val="nil"/>
            </w:tcBorders>
            <w:noWrap w:val="0"/>
            <w:tcMar>
              <w:top w:w="-1" w:type="dxa"/>
              <w:left w:w="-1" w:type="dxa"/>
              <w:bottom w:w="-1" w:type="dxa"/>
              <w:right w:w="-1" w:type="dxa"/>
            </w:tcMar>
            <w:vAlign w:val="center"/>
          </w:tcPr>
          <w:p w14:paraId="79595483">
            <w:pPr>
              <w:snapToGrid w:val="0"/>
              <w:spacing w:after="0" w:line="240" w:lineRule="auto"/>
              <w:ind w:left="0" w:leftChars="0" w:right="0" w:rightChars="0" w:firstLine="0" w:firstLineChars="0"/>
              <w:jc w:val="center"/>
              <w:rPr>
                <w:rFonts w:ascii="Times New Roman" w:eastAsia="宋体"/>
                <w:b/>
                <w:sz w:val="16"/>
              </w:rPr>
            </w:pPr>
            <w:r>
              <w:rPr>
                <w:rFonts w:ascii="Times New Roman" w:hAnsi="Times New Roman" w:eastAsia="宋体"/>
                <w:b/>
                <w:color w:val="000000"/>
                <w:sz w:val="16"/>
              </w:rPr>
              <w:t>Final priority</w:t>
            </w:r>
          </w:p>
        </w:tc>
      </w:tr>
      <w:tr w14:paraId="7D8C0868">
        <w:tblPrEx>
          <w:tblCellMar>
            <w:top w:w="0" w:type="dxa"/>
            <w:left w:w="108" w:type="dxa"/>
            <w:bottom w:w="0" w:type="dxa"/>
            <w:right w:w="108" w:type="dxa"/>
          </w:tblCellMar>
        </w:tblPrEx>
        <w:trPr>
          <w:trHeight w:val="0" w:hRule="atLeast"/>
          <w:jc w:val="center"/>
        </w:trPr>
        <w:tc>
          <w:tcPr>
            <w:tcW w:w="442" w:type="pct"/>
            <w:tcBorders>
              <w:top w:val="single" w:color="auto" w:sz="4" w:space="0"/>
              <w:left w:val="nil"/>
              <w:bottom w:val="nil"/>
              <w:right w:val="nil"/>
            </w:tcBorders>
            <w:noWrap w:val="0"/>
            <w:tcMar>
              <w:top w:w="-1" w:type="dxa"/>
              <w:left w:w="-1" w:type="dxa"/>
              <w:bottom w:w="-1" w:type="dxa"/>
              <w:right w:w="-1" w:type="dxa"/>
            </w:tcMar>
            <w:vAlign w:val="center"/>
          </w:tcPr>
          <w:p w14:paraId="2CF17326">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NFE2L2</w:t>
            </w:r>
          </w:p>
        </w:tc>
        <w:tc>
          <w:tcPr>
            <w:tcW w:w="506" w:type="pct"/>
            <w:tcBorders>
              <w:top w:val="single" w:color="auto" w:sz="4" w:space="0"/>
              <w:left w:val="nil"/>
              <w:bottom w:val="nil"/>
              <w:right w:val="nil"/>
            </w:tcBorders>
            <w:noWrap w:val="0"/>
            <w:tcMar>
              <w:top w:w="-1" w:type="dxa"/>
              <w:left w:w="-1" w:type="dxa"/>
              <w:bottom w:w="-1" w:type="dxa"/>
              <w:right w:w="-1" w:type="dxa"/>
            </w:tcMar>
            <w:vAlign w:val="center"/>
          </w:tcPr>
          <w:p w14:paraId="34E2DB87">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Lesion-associated</w:t>
            </w:r>
          </w:p>
        </w:tc>
        <w:tc>
          <w:tcPr>
            <w:tcW w:w="602" w:type="pct"/>
            <w:tcBorders>
              <w:top w:val="single" w:color="auto" w:sz="4" w:space="0"/>
              <w:left w:val="nil"/>
              <w:bottom w:val="nil"/>
              <w:right w:val="nil"/>
            </w:tcBorders>
            <w:noWrap w:val="0"/>
            <w:tcMar>
              <w:top w:w="-1" w:type="dxa"/>
              <w:left w:w="-1" w:type="dxa"/>
              <w:bottom w:w="-1" w:type="dxa"/>
              <w:right w:w="-1" w:type="dxa"/>
            </w:tcMar>
            <w:vAlign w:val="center"/>
          </w:tcPr>
          <w:p w14:paraId="28BA007D">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Lesion-side expression and regulon activity</w:t>
            </w:r>
          </w:p>
        </w:tc>
        <w:tc>
          <w:tcPr>
            <w:tcW w:w="732" w:type="pct"/>
            <w:tcBorders>
              <w:top w:val="single" w:color="auto" w:sz="4" w:space="0"/>
              <w:left w:val="nil"/>
              <w:bottom w:val="nil"/>
              <w:right w:val="nil"/>
            </w:tcBorders>
            <w:noWrap w:val="0"/>
            <w:tcMar>
              <w:top w:w="-1" w:type="dxa"/>
              <w:left w:w="-1" w:type="dxa"/>
              <w:bottom w:w="-1" w:type="dxa"/>
              <w:right w:w="-1" w:type="dxa"/>
            </w:tcMar>
            <w:vAlign w:val="center"/>
          </w:tcPr>
          <w:p w14:paraId="6DD0761F">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Highest mean shift; Approx. RI rank 2</w:t>
            </w:r>
          </w:p>
        </w:tc>
        <w:tc>
          <w:tcPr>
            <w:tcW w:w="1045" w:type="pct"/>
            <w:tcBorders>
              <w:top w:val="single" w:color="auto" w:sz="4" w:space="0"/>
              <w:left w:val="nil"/>
              <w:bottom w:val="nil"/>
              <w:right w:val="nil"/>
            </w:tcBorders>
            <w:noWrap w:val="0"/>
            <w:tcMar>
              <w:top w:w="-1" w:type="dxa"/>
              <w:left w:w="-1" w:type="dxa"/>
              <w:bottom w:w="-1" w:type="dxa"/>
              <w:right w:w="-1" w:type="dxa"/>
            </w:tcMar>
            <w:vAlign w:val="center"/>
          </w:tcPr>
          <w:p w14:paraId="4EE2B69F">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Stable internal direction; disease-side contextual support</w:t>
            </w:r>
          </w:p>
        </w:tc>
        <w:tc>
          <w:tcPr>
            <w:tcW w:w="1036" w:type="pct"/>
            <w:tcBorders>
              <w:top w:val="single" w:color="auto" w:sz="4" w:space="0"/>
              <w:left w:val="nil"/>
              <w:bottom w:val="nil"/>
              <w:right w:val="nil"/>
            </w:tcBorders>
            <w:noWrap w:val="0"/>
            <w:tcMar>
              <w:top w:w="-1" w:type="dxa"/>
              <w:left w:w="-1" w:type="dxa"/>
              <w:bottom w:w="-1" w:type="dxa"/>
              <w:right w:w="-1" w:type="dxa"/>
            </w:tcMar>
            <w:vAlign w:val="center"/>
          </w:tcPr>
          <w:p w14:paraId="2FA12770">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Stress response and transcriptional reprogramming</w:t>
            </w:r>
          </w:p>
        </w:tc>
        <w:tc>
          <w:tcPr>
            <w:tcW w:w="633" w:type="pct"/>
            <w:tcBorders>
              <w:top w:val="single" w:color="auto" w:sz="4" w:space="0"/>
              <w:left w:val="nil"/>
              <w:bottom w:val="nil"/>
              <w:right w:val="nil"/>
            </w:tcBorders>
            <w:noWrap w:val="0"/>
            <w:tcMar>
              <w:top w:w="-1" w:type="dxa"/>
              <w:left w:w="-1" w:type="dxa"/>
              <w:bottom w:w="-1" w:type="dxa"/>
              <w:right w:w="-1" w:type="dxa"/>
            </w:tcMar>
            <w:vAlign w:val="center"/>
          </w:tcPr>
          <w:p w14:paraId="77A23F6C">
            <w:pPr>
              <w:snapToGrid w:val="0"/>
              <w:spacing w:after="0" w:line="240" w:lineRule="auto"/>
              <w:ind w:left="0" w:leftChars="0" w:right="0" w:rightChars="0" w:firstLine="0" w:firstLineChars="0"/>
              <w:jc w:val="center"/>
              <w:rPr>
                <w:rFonts w:ascii="Times New Roman" w:hAnsi="Times New Roman" w:eastAsia="宋体"/>
                <w:b w:val="0"/>
                <w:color w:val="000000"/>
                <w:sz w:val="16"/>
              </w:rPr>
            </w:pPr>
            <w:r>
              <w:rPr>
                <w:rFonts w:ascii="Times New Roman" w:hAnsi="Times New Roman" w:eastAsia="宋体"/>
                <w:b w:val="0"/>
                <w:color w:val="000000"/>
                <w:sz w:val="16"/>
              </w:rPr>
              <w:t>Primary lesion-associated axis</w:t>
            </w:r>
          </w:p>
        </w:tc>
      </w:tr>
      <w:tr w14:paraId="2D867249">
        <w:tblPrEx>
          <w:tblCellMar>
            <w:top w:w="0" w:type="dxa"/>
            <w:left w:w="108" w:type="dxa"/>
            <w:bottom w:w="0" w:type="dxa"/>
            <w:right w:w="108" w:type="dxa"/>
          </w:tblCellMar>
        </w:tblPrEx>
        <w:trPr>
          <w:trHeight w:val="0" w:hRule="atLeast"/>
          <w:jc w:val="center"/>
        </w:trPr>
        <w:tc>
          <w:tcPr>
            <w:tcW w:w="442" w:type="pct"/>
            <w:tcBorders>
              <w:top w:val="nil"/>
              <w:left w:val="nil"/>
              <w:bottom w:val="nil"/>
              <w:right w:val="nil"/>
            </w:tcBorders>
            <w:noWrap w:val="0"/>
            <w:tcMar>
              <w:top w:w="-1" w:type="dxa"/>
              <w:left w:w="-1" w:type="dxa"/>
              <w:bottom w:w="-1" w:type="dxa"/>
              <w:right w:w="-1" w:type="dxa"/>
            </w:tcMar>
            <w:vAlign w:val="center"/>
          </w:tcPr>
          <w:p w14:paraId="2E80B39A">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THRB</w:t>
            </w:r>
          </w:p>
        </w:tc>
        <w:tc>
          <w:tcPr>
            <w:tcW w:w="506" w:type="pct"/>
            <w:tcBorders>
              <w:top w:val="nil"/>
              <w:left w:val="nil"/>
              <w:bottom w:val="nil"/>
              <w:right w:val="nil"/>
            </w:tcBorders>
            <w:noWrap w:val="0"/>
            <w:tcMar>
              <w:top w:w="-1" w:type="dxa"/>
              <w:left w:w="-1" w:type="dxa"/>
              <w:bottom w:w="-1" w:type="dxa"/>
              <w:right w:w="-1" w:type="dxa"/>
            </w:tcMar>
            <w:vAlign w:val="center"/>
          </w:tcPr>
          <w:p w14:paraId="2C417872">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Internal-control-associated</w:t>
            </w:r>
          </w:p>
        </w:tc>
        <w:tc>
          <w:tcPr>
            <w:tcW w:w="602" w:type="pct"/>
            <w:tcBorders>
              <w:top w:val="nil"/>
              <w:left w:val="nil"/>
              <w:bottom w:val="nil"/>
              <w:right w:val="nil"/>
            </w:tcBorders>
            <w:noWrap w:val="0"/>
            <w:tcMar>
              <w:top w:w="-1" w:type="dxa"/>
              <w:left w:w="-1" w:type="dxa"/>
              <w:bottom w:w="-1" w:type="dxa"/>
              <w:right w:w="-1" w:type="dxa"/>
            </w:tcMar>
            <w:vAlign w:val="center"/>
          </w:tcPr>
          <w:p w14:paraId="6139FBD3">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Internal-control-side regulon activity</w:t>
            </w:r>
          </w:p>
        </w:tc>
        <w:tc>
          <w:tcPr>
            <w:tcW w:w="732" w:type="pct"/>
            <w:tcBorders>
              <w:top w:val="nil"/>
              <w:left w:val="nil"/>
              <w:bottom w:val="nil"/>
              <w:right w:val="nil"/>
            </w:tcBorders>
            <w:noWrap w:val="0"/>
            <w:tcMar>
              <w:top w:w="-1" w:type="dxa"/>
              <w:left w:w="-1" w:type="dxa"/>
              <w:bottom w:w="-1" w:type="dxa"/>
              <w:right w:w="-1" w:type="dxa"/>
            </w:tcMar>
            <w:vAlign w:val="center"/>
          </w:tcPr>
          <w:p w14:paraId="1ADE4E24">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Highest Approx. RI; mean shift rank 2</w:t>
            </w:r>
          </w:p>
        </w:tc>
        <w:tc>
          <w:tcPr>
            <w:tcW w:w="1045" w:type="pct"/>
            <w:tcBorders>
              <w:top w:val="nil"/>
              <w:left w:val="nil"/>
              <w:bottom w:val="nil"/>
              <w:right w:val="nil"/>
            </w:tcBorders>
            <w:noWrap w:val="0"/>
            <w:tcMar>
              <w:top w:w="-1" w:type="dxa"/>
              <w:left w:w="-1" w:type="dxa"/>
              <w:bottom w:w="-1" w:type="dxa"/>
              <w:right w:w="-1" w:type="dxa"/>
            </w:tcMar>
            <w:vAlign w:val="center"/>
          </w:tcPr>
          <w:p w14:paraId="3872E3FB">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Stable internal direction; partial control-like supportive signal</w:t>
            </w:r>
          </w:p>
        </w:tc>
        <w:tc>
          <w:tcPr>
            <w:tcW w:w="1036" w:type="pct"/>
            <w:tcBorders>
              <w:top w:val="nil"/>
              <w:left w:val="nil"/>
              <w:bottom w:val="nil"/>
              <w:right w:val="nil"/>
            </w:tcBorders>
            <w:noWrap w:val="0"/>
            <w:tcMar>
              <w:top w:w="-1" w:type="dxa"/>
              <w:left w:w="-1" w:type="dxa"/>
              <w:bottom w:w="-1" w:type="dxa"/>
              <w:right w:w="-1" w:type="dxa"/>
            </w:tcMar>
            <w:vAlign w:val="center"/>
          </w:tcPr>
          <w:p w14:paraId="302E99B3">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Homeostatic, synaptic and calcium-related support</w:t>
            </w:r>
          </w:p>
        </w:tc>
        <w:tc>
          <w:tcPr>
            <w:tcW w:w="633" w:type="pct"/>
            <w:tcBorders>
              <w:top w:val="nil"/>
              <w:left w:val="nil"/>
              <w:bottom w:val="nil"/>
              <w:right w:val="nil"/>
            </w:tcBorders>
            <w:noWrap w:val="0"/>
            <w:tcMar>
              <w:top w:w="-1" w:type="dxa"/>
              <w:left w:w="-1" w:type="dxa"/>
              <w:bottom w:w="-1" w:type="dxa"/>
              <w:right w:w="-1" w:type="dxa"/>
            </w:tcMar>
            <w:vAlign w:val="center"/>
          </w:tcPr>
          <w:p w14:paraId="117E5C65">
            <w:pPr>
              <w:snapToGrid w:val="0"/>
              <w:spacing w:after="0" w:line="240" w:lineRule="auto"/>
              <w:ind w:left="0" w:leftChars="0" w:right="0" w:rightChars="0" w:firstLine="0" w:firstLineChars="0"/>
              <w:jc w:val="center"/>
              <w:rPr>
                <w:rFonts w:ascii="Times New Roman" w:hAnsi="Times New Roman" w:eastAsia="宋体"/>
                <w:b w:val="0"/>
                <w:color w:val="000000"/>
                <w:sz w:val="16"/>
              </w:rPr>
            </w:pPr>
            <w:r>
              <w:rPr>
                <w:rFonts w:ascii="Times New Roman" w:hAnsi="Times New Roman" w:eastAsia="宋体"/>
                <w:b w:val="0"/>
                <w:color w:val="000000"/>
                <w:sz w:val="16"/>
              </w:rPr>
              <w:t>Primary homeostatic-support program</w:t>
            </w:r>
          </w:p>
        </w:tc>
      </w:tr>
      <w:tr w14:paraId="78A957E1">
        <w:tblPrEx>
          <w:tblCellMar>
            <w:top w:w="0" w:type="dxa"/>
            <w:left w:w="108" w:type="dxa"/>
            <w:bottom w:w="0" w:type="dxa"/>
            <w:right w:w="108" w:type="dxa"/>
          </w:tblCellMar>
        </w:tblPrEx>
        <w:trPr>
          <w:trHeight w:val="0" w:hRule="atLeast"/>
          <w:jc w:val="center"/>
        </w:trPr>
        <w:tc>
          <w:tcPr>
            <w:tcW w:w="442" w:type="pct"/>
            <w:tcBorders>
              <w:top w:val="nil"/>
              <w:left w:val="nil"/>
              <w:bottom w:val="nil"/>
              <w:right w:val="nil"/>
            </w:tcBorders>
            <w:noWrap w:val="0"/>
            <w:tcMar>
              <w:top w:w="-1" w:type="dxa"/>
              <w:left w:w="-1" w:type="dxa"/>
              <w:bottom w:w="-1" w:type="dxa"/>
              <w:right w:w="-1" w:type="dxa"/>
            </w:tcMar>
            <w:vAlign w:val="center"/>
          </w:tcPr>
          <w:p w14:paraId="23D8B504">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BHLHE40</w:t>
            </w:r>
          </w:p>
        </w:tc>
        <w:tc>
          <w:tcPr>
            <w:tcW w:w="506" w:type="pct"/>
            <w:tcBorders>
              <w:top w:val="nil"/>
              <w:left w:val="nil"/>
              <w:bottom w:val="nil"/>
              <w:right w:val="nil"/>
            </w:tcBorders>
            <w:noWrap w:val="0"/>
            <w:tcMar>
              <w:top w:w="-1" w:type="dxa"/>
              <w:left w:w="-1" w:type="dxa"/>
              <w:bottom w:w="-1" w:type="dxa"/>
              <w:right w:w="-1" w:type="dxa"/>
            </w:tcMar>
            <w:vAlign w:val="center"/>
          </w:tcPr>
          <w:p w14:paraId="38862307">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Lesion-associated</w:t>
            </w:r>
          </w:p>
        </w:tc>
        <w:tc>
          <w:tcPr>
            <w:tcW w:w="602" w:type="pct"/>
            <w:tcBorders>
              <w:top w:val="nil"/>
              <w:left w:val="nil"/>
              <w:bottom w:val="nil"/>
              <w:right w:val="nil"/>
            </w:tcBorders>
            <w:noWrap w:val="0"/>
            <w:tcMar>
              <w:top w:w="-1" w:type="dxa"/>
              <w:left w:w="-1" w:type="dxa"/>
              <w:bottom w:w="-1" w:type="dxa"/>
              <w:right w:w="-1" w:type="dxa"/>
            </w:tcMar>
            <w:vAlign w:val="center"/>
          </w:tcPr>
          <w:p w14:paraId="686C63AD">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Lesion-side expression and regulon activity</w:t>
            </w:r>
          </w:p>
        </w:tc>
        <w:tc>
          <w:tcPr>
            <w:tcW w:w="732" w:type="pct"/>
            <w:tcBorders>
              <w:top w:val="nil"/>
              <w:left w:val="nil"/>
              <w:bottom w:val="nil"/>
              <w:right w:val="nil"/>
            </w:tcBorders>
            <w:noWrap w:val="0"/>
            <w:tcMar>
              <w:top w:w="-1" w:type="dxa"/>
              <w:left w:w="-1" w:type="dxa"/>
              <w:bottom w:w="-1" w:type="dxa"/>
              <w:right w:w="-1" w:type="dxa"/>
            </w:tcMar>
            <w:vAlign w:val="center"/>
          </w:tcPr>
          <w:p w14:paraId="15493C38">
            <w:pPr>
              <w:snapToGrid w:val="0"/>
              <w:spacing w:after="0" w:line="240" w:lineRule="auto"/>
              <w:ind w:left="0" w:leftChars="0" w:right="0" w:rightChars="0" w:firstLine="0" w:firstLineChars="0"/>
              <w:jc w:val="center"/>
              <w:rPr>
                <w:rFonts w:ascii="Times New Roman" w:eastAsia="宋体"/>
                <w:sz w:val="16"/>
              </w:rPr>
            </w:pPr>
            <w:r>
              <w:rPr>
                <w:rFonts w:hint="eastAsia" w:eastAsia="宋体"/>
                <w:b w:val="0"/>
                <w:color w:val="000000"/>
                <w:sz w:val="16"/>
                <w:lang w:val="en-US" w:eastAsia="zh-CN"/>
              </w:rPr>
              <w:t>I</w:t>
            </w:r>
            <w:r>
              <w:rPr>
                <w:rFonts w:ascii="Times New Roman" w:hAnsi="Times New Roman" w:eastAsia="宋体"/>
                <w:b w:val="0"/>
                <w:color w:val="000000"/>
                <w:sz w:val="16"/>
              </w:rPr>
              <w:t>ntermediate perturbation effect</w:t>
            </w:r>
          </w:p>
        </w:tc>
        <w:tc>
          <w:tcPr>
            <w:tcW w:w="1045" w:type="pct"/>
            <w:tcBorders>
              <w:top w:val="nil"/>
              <w:left w:val="nil"/>
              <w:bottom w:val="nil"/>
              <w:right w:val="nil"/>
            </w:tcBorders>
            <w:noWrap w:val="0"/>
            <w:tcMar>
              <w:top w:w="-1" w:type="dxa"/>
              <w:left w:w="-1" w:type="dxa"/>
              <w:bottom w:w="-1" w:type="dxa"/>
              <w:right w:w="-1" w:type="dxa"/>
            </w:tcMar>
            <w:vAlign w:val="center"/>
          </w:tcPr>
          <w:p w14:paraId="629D0976">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Stable internal evidence; weaker external support</w:t>
            </w:r>
          </w:p>
        </w:tc>
        <w:tc>
          <w:tcPr>
            <w:tcW w:w="1036" w:type="pct"/>
            <w:tcBorders>
              <w:top w:val="nil"/>
              <w:left w:val="nil"/>
              <w:bottom w:val="nil"/>
              <w:right w:val="nil"/>
            </w:tcBorders>
            <w:noWrap w:val="0"/>
            <w:tcMar>
              <w:top w:w="-1" w:type="dxa"/>
              <w:left w:w="-1" w:type="dxa"/>
              <w:bottom w:w="-1" w:type="dxa"/>
              <w:right w:w="-1" w:type="dxa"/>
            </w:tcMar>
            <w:vAlign w:val="center"/>
          </w:tcPr>
          <w:p w14:paraId="45295681">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Secondary stress/inflammatory response program</w:t>
            </w:r>
          </w:p>
        </w:tc>
        <w:tc>
          <w:tcPr>
            <w:tcW w:w="633" w:type="pct"/>
            <w:tcBorders>
              <w:top w:val="nil"/>
              <w:left w:val="nil"/>
              <w:bottom w:val="nil"/>
              <w:right w:val="nil"/>
            </w:tcBorders>
            <w:noWrap w:val="0"/>
            <w:tcMar>
              <w:top w:w="-1" w:type="dxa"/>
              <w:left w:w="-1" w:type="dxa"/>
              <w:bottom w:w="-1" w:type="dxa"/>
              <w:right w:w="-1" w:type="dxa"/>
            </w:tcMar>
            <w:vAlign w:val="center"/>
          </w:tcPr>
          <w:p w14:paraId="5061BE09">
            <w:pPr>
              <w:snapToGrid w:val="0"/>
              <w:spacing w:after="0" w:line="240" w:lineRule="auto"/>
              <w:ind w:left="0" w:leftChars="0" w:right="0" w:rightChars="0" w:firstLine="0" w:firstLineChars="0"/>
              <w:jc w:val="center"/>
              <w:rPr>
                <w:rFonts w:ascii="Times New Roman" w:hAnsi="Times New Roman" w:eastAsia="宋体"/>
                <w:b w:val="0"/>
                <w:color w:val="000000"/>
                <w:sz w:val="16"/>
              </w:rPr>
            </w:pPr>
            <w:r>
              <w:rPr>
                <w:rFonts w:ascii="Times New Roman" w:hAnsi="Times New Roman" w:eastAsia="宋体"/>
                <w:b w:val="0"/>
                <w:color w:val="000000"/>
                <w:sz w:val="16"/>
              </w:rPr>
              <w:t>Secondary lesion-associated factor</w:t>
            </w:r>
          </w:p>
        </w:tc>
      </w:tr>
      <w:tr w14:paraId="4E42DF94">
        <w:tblPrEx>
          <w:tblCellMar>
            <w:top w:w="0" w:type="dxa"/>
            <w:left w:w="108" w:type="dxa"/>
            <w:bottom w:w="0" w:type="dxa"/>
            <w:right w:w="108" w:type="dxa"/>
          </w:tblCellMar>
        </w:tblPrEx>
        <w:trPr>
          <w:trHeight w:val="0" w:hRule="atLeast"/>
          <w:jc w:val="center"/>
        </w:trPr>
        <w:tc>
          <w:tcPr>
            <w:tcW w:w="442" w:type="pct"/>
            <w:tcBorders>
              <w:top w:val="nil"/>
              <w:left w:val="nil"/>
              <w:bottom w:val="single" w:color="auto" w:sz="12" w:space="0"/>
              <w:right w:val="nil"/>
            </w:tcBorders>
            <w:noWrap w:val="0"/>
            <w:tcMar>
              <w:top w:w="-1" w:type="dxa"/>
              <w:left w:w="-1" w:type="dxa"/>
              <w:bottom w:w="-1" w:type="dxa"/>
              <w:right w:w="-1" w:type="dxa"/>
            </w:tcMar>
            <w:vAlign w:val="center"/>
          </w:tcPr>
          <w:p w14:paraId="20233A8B">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SOX2</w:t>
            </w:r>
          </w:p>
        </w:tc>
        <w:tc>
          <w:tcPr>
            <w:tcW w:w="506" w:type="pct"/>
            <w:tcBorders>
              <w:top w:val="nil"/>
              <w:left w:val="nil"/>
              <w:bottom w:val="single" w:color="auto" w:sz="12" w:space="0"/>
              <w:right w:val="nil"/>
            </w:tcBorders>
            <w:noWrap w:val="0"/>
            <w:tcMar>
              <w:top w:w="-1" w:type="dxa"/>
              <w:left w:w="-1" w:type="dxa"/>
              <w:bottom w:w="-1" w:type="dxa"/>
              <w:right w:w="-1" w:type="dxa"/>
            </w:tcMar>
            <w:vAlign w:val="center"/>
          </w:tcPr>
          <w:p w14:paraId="78A0BCCA">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Lesion-associated</w:t>
            </w:r>
          </w:p>
        </w:tc>
        <w:tc>
          <w:tcPr>
            <w:tcW w:w="602" w:type="pct"/>
            <w:tcBorders>
              <w:top w:val="nil"/>
              <w:left w:val="nil"/>
              <w:bottom w:val="single" w:color="auto" w:sz="12" w:space="0"/>
              <w:right w:val="nil"/>
            </w:tcBorders>
            <w:noWrap w:val="0"/>
            <w:tcMar>
              <w:top w:w="-1" w:type="dxa"/>
              <w:left w:w="-1" w:type="dxa"/>
              <w:bottom w:w="-1" w:type="dxa"/>
              <w:right w:w="-1" w:type="dxa"/>
            </w:tcMar>
            <w:vAlign w:val="center"/>
          </w:tcPr>
          <w:p w14:paraId="6651A9E0">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Lesion-side expression and regulon activity</w:t>
            </w:r>
          </w:p>
        </w:tc>
        <w:tc>
          <w:tcPr>
            <w:tcW w:w="732" w:type="pct"/>
            <w:tcBorders>
              <w:top w:val="nil"/>
              <w:left w:val="nil"/>
              <w:bottom w:val="single" w:color="auto" w:sz="12" w:space="0"/>
              <w:right w:val="nil"/>
            </w:tcBorders>
            <w:noWrap w:val="0"/>
            <w:tcMar>
              <w:top w:w="-1" w:type="dxa"/>
              <w:left w:w="-1" w:type="dxa"/>
              <w:bottom w:w="-1" w:type="dxa"/>
              <w:right w:w="-1" w:type="dxa"/>
            </w:tcMar>
            <w:vAlign w:val="center"/>
          </w:tcPr>
          <w:p w14:paraId="6ACA3A7B">
            <w:pPr>
              <w:snapToGrid w:val="0"/>
              <w:spacing w:after="0" w:line="240" w:lineRule="auto"/>
              <w:ind w:left="0" w:leftChars="0" w:right="0" w:rightChars="0" w:firstLine="0" w:firstLineChars="0"/>
              <w:jc w:val="center"/>
              <w:rPr>
                <w:rFonts w:ascii="Times New Roman" w:eastAsia="宋体"/>
                <w:sz w:val="16"/>
              </w:rPr>
            </w:pPr>
            <w:r>
              <w:rPr>
                <w:rFonts w:hint="eastAsia" w:eastAsia="宋体"/>
                <w:b w:val="0"/>
                <w:color w:val="000000"/>
                <w:sz w:val="16"/>
                <w:lang w:val="en-US" w:eastAsia="zh-CN"/>
              </w:rPr>
              <w:t>L</w:t>
            </w:r>
            <w:r>
              <w:rPr>
                <w:rFonts w:ascii="Times New Roman" w:hAnsi="Times New Roman" w:eastAsia="宋体"/>
                <w:b w:val="0"/>
                <w:color w:val="000000"/>
                <w:sz w:val="16"/>
              </w:rPr>
              <w:t>owest perturbation effect among the four candidates</w:t>
            </w:r>
          </w:p>
        </w:tc>
        <w:tc>
          <w:tcPr>
            <w:tcW w:w="1045" w:type="pct"/>
            <w:tcBorders>
              <w:top w:val="nil"/>
              <w:left w:val="nil"/>
              <w:bottom w:val="single" w:color="auto" w:sz="12" w:space="0"/>
              <w:right w:val="nil"/>
            </w:tcBorders>
            <w:noWrap w:val="0"/>
            <w:tcMar>
              <w:top w:w="-1" w:type="dxa"/>
              <w:left w:w="-1" w:type="dxa"/>
              <w:bottom w:w="-1" w:type="dxa"/>
              <w:right w:w="-1" w:type="dxa"/>
            </w:tcMar>
            <w:vAlign w:val="center"/>
          </w:tcPr>
          <w:p w14:paraId="1CC662F1">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Stable internal evidence; target-limited support</w:t>
            </w:r>
          </w:p>
        </w:tc>
        <w:tc>
          <w:tcPr>
            <w:tcW w:w="1036" w:type="pct"/>
            <w:tcBorders>
              <w:top w:val="nil"/>
              <w:left w:val="nil"/>
              <w:bottom w:val="single" w:color="auto" w:sz="12" w:space="0"/>
              <w:right w:val="nil"/>
            </w:tcBorders>
            <w:noWrap w:val="0"/>
            <w:tcMar>
              <w:top w:w="-1" w:type="dxa"/>
              <w:left w:w="-1" w:type="dxa"/>
              <w:bottom w:w="-1" w:type="dxa"/>
              <w:right w:w="-1" w:type="dxa"/>
            </w:tcMar>
            <w:vAlign w:val="center"/>
          </w:tcPr>
          <w:p w14:paraId="3DF10899">
            <w:pPr>
              <w:snapToGrid w:val="0"/>
              <w:spacing w:after="0" w:line="240" w:lineRule="auto"/>
              <w:ind w:left="0" w:leftChars="0" w:right="0" w:rightChars="0" w:firstLine="0" w:firstLineChars="0"/>
              <w:jc w:val="center"/>
              <w:rPr>
                <w:rFonts w:ascii="Times New Roman" w:eastAsia="宋体"/>
                <w:sz w:val="16"/>
              </w:rPr>
            </w:pPr>
            <w:r>
              <w:rPr>
                <w:rFonts w:ascii="Times New Roman" w:hAnsi="Times New Roman" w:eastAsia="宋体"/>
                <w:b w:val="0"/>
                <w:color w:val="000000"/>
                <w:sz w:val="16"/>
              </w:rPr>
              <w:t>Developmental/plasticity-related retained program</w:t>
            </w:r>
          </w:p>
        </w:tc>
        <w:tc>
          <w:tcPr>
            <w:tcW w:w="633" w:type="pct"/>
            <w:tcBorders>
              <w:top w:val="nil"/>
              <w:left w:val="nil"/>
              <w:bottom w:val="single" w:color="auto" w:sz="12" w:space="0"/>
              <w:right w:val="nil"/>
            </w:tcBorders>
            <w:noWrap w:val="0"/>
            <w:tcMar>
              <w:top w:w="-1" w:type="dxa"/>
              <w:left w:w="-1" w:type="dxa"/>
              <w:bottom w:w="-1" w:type="dxa"/>
              <w:right w:w="-1" w:type="dxa"/>
            </w:tcMar>
            <w:vAlign w:val="center"/>
          </w:tcPr>
          <w:p w14:paraId="6F0BF2D8">
            <w:pPr>
              <w:snapToGrid w:val="0"/>
              <w:spacing w:after="0" w:line="240" w:lineRule="auto"/>
              <w:ind w:left="0" w:leftChars="0" w:right="0" w:rightChars="0" w:firstLine="0" w:firstLineChars="0"/>
              <w:jc w:val="center"/>
              <w:rPr>
                <w:rFonts w:ascii="Times New Roman" w:hAnsi="Times New Roman" w:eastAsia="宋体"/>
                <w:b w:val="0"/>
                <w:color w:val="000000"/>
                <w:sz w:val="16"/>
              </w:rPr>
            </w:pPr>
            <w:r>
              <w:rPr>
                <w:rFonts w:ascii="Times New Roman" w:hAnsi="Times New Roman" w:eastAsia="宋体"/>
                <w:b w:val="0"/>
                <w:color w:val="000000"/>
                <w:sz w:val="16"/>
              </w:rPr>
              <w:t>Retained lower-priority factor</w:t>
            </w:r>
          </w:p>
        </w:tc>
      </w:tr>
    </w:tbl>
    <w:p w14:paraId="684B1DA5">
      <w:pPr>
        <w:pStyle w:val="4"/>
        <w:jc w:val="both"/>
      </w:pPr>
      <w:r>
        <w:t>CellOracle in silico perturbation simulation</w:t>
      </w:r>
    </w:p>
    <w:p w14:paraId="2A225AA0">
      <w:pPr>
        <w:jc w:val="both"/>
      </w:pPr>
      <w:r>
        <w:rPr>
          <w:rFonts w:ascii="Times New Roman" w:hAnsi="Times New Roman" w:eastAsia="宋体"/>
          <w:sz w:val="21"/>
          <w:rPrChange w:id="16" w:author="Dream" w:date="2026-07-26T01:03:38Z">
            <w:rPr>
              <w:rFonts w:ascii="Times New Roman" w:hAnsi="Times New Roman" w:eastAsia="宋体"/>
              <w:sz w:val="24"/>
            </w:rPr>
          </w:rPrChange>
        </w:rPr>
        <w:t>Regulon activity differences reflect static association directions and cannot reveal how cell states would change following an active perturbation of a candidate transcription factor within the regulatory network. To provide this dynamic information, we performed in silico perturbation simulations using CellOracle. CellOracle simulates, within the inferred gene regulatory network, how expression changes of downstream target genes propagate through the global expression space after altering the expression of a given transcription factor, and projects these global changes onto a low-dimensional cell state space, thereby predicting the direction and magnitude of cell-state displacement following perturbation. The analysis was conducted within the Docker image kenjikamimoto126/celloracle_ubuntu:0.18.0. Inputs included the matched astrocyte expression object, the candidate transcription factor list, cell metadata, low-dimensional embedding results, and the inferred regulatory network. Each candidate transcription factor was perturbed individually. The reported indices were computed as follows. Mean shift is the mean shift_length across all cells and summarizes overall perturbation magnitude. Net shift equals mean shift minus the mean randomized-control shift, so that it isolates the perturbation effect beyond random network structure. The Approx. Recovery Index (Approx. RI) is a study-defined composite, not a cosine similarity, that combines the net shift, the coherence of the average shift vector, the selectivity for the expected regulon-effect group, and a direction-agreement factor; higher values indicate a stronger combination of these components within this analysis. Because its components are multiplicatively combined, the score is non-negative and unbounded above rather than normalized to 0-1 (full formula in Additional file 7). Group-level shift indices (lesion-side and internal-control-side shift magnitudes) and a direction-agreement indicator (concordance between the expected regulon effect group and the higher-expression group) were also reported. Complete perturbation indices and randomized-control results are presented in Figure 3, Additional file 6, and Additional file 7.</w:t>
      </w:r>
    </w:p>
    <w:p w14:paraId="691FD469">
      <w:pPr>
        <w:pStyle w:val="4"/>
        <w:jc w:val="both"/>
      </w:pPr>
      <w:r>
        <w:t>Robustness and sensitivity analyses</w:t>
      </w:r>
    </w:p>
    <w:p w14:paraId="2C6A72A1">
      <w:pPr>
        <w:jc w:val="both"/>
      </w:pPr>
      <w:r>
        <w:t>Given that the discovery dataset comprised a limited cohort of four samples from two donors, the observed signals of the candidate transcription factors could potentially be driven by a single sample or by specific analytical parameters. We evaluated robustness from three complementary perspectives: leave-one-sample-out (LOSO) analysis, pseudobulk aggregation, and threshold sensitivity analysis. Because only two samples are available in each group, sample-level statistical tests have very limited power and should be interpreted as descriptive direction checks rather than as formal replication. Together, these three approaches constituted an internal consistency assessment, and the comprehensive results are provided in Figure 4, Additional file 8, and Additional file 9.</w:t>
      </w:r>
    </w:p>
    <w:p w14:paraId="25C5276E">
      <w:pPr>
        <w:pStyle w:val="4"/>
        <w:jc w:val="both"/>
      </w:pPr>
      <w:r>
        <w:t>Supportive external data analyses</w:t>
      </w:r>
    </w:p>
    <w:p w14:paraId="3A2ACD52">
      <w:pPr>
        <w:jc w:val="both"/>
      </w:pPr>
      <w:r>
        <w:t>The discovery dataset contained astrocytes from only two donors, and the results could therefore be limited by sample specificity. To evaluate whether the candidate transcription factors and their associated gene sets maintained consistent expression directions across a broader range of samples, we performed supportive analyses using GSE140393 and GSE190452. The complete results are shown in Additional file 9, Additional file 10, and Additional file 11.</w:t>
      </w:r>
    </w:p>
    <w:p w14:paraId="2A454ED7">
      <w:pPr>
        <w:pStyle w:val="4"/>
        <w:jc w:val="both"/>
      </w:pPr>
      <w:r>
        <w:t>Functional enrichment and convergence analysis</w:t>
      </w:r>
    </w:p>
    <w:p w14:paraId="3813788A">
      <w:pPr>
        <w:jc w:val="both"/>
      </w:pPr>
      <w:r>
        <w:t>To interpret the biological programs potentially associated with the candidate regulons, we performed analyses at two complementary levels: GO/KEGG functional enrichment analysis and program convergence analysis. Enrichment analyses were performed using the Enrichr web API [22,23], with multiple testing correction applied using the Benjamini–Hochberg method and the significance threshold set at FDR &lt; 0.05. The complete functional enrichment and program convergence results are presented in Figure 5, Additional file 12, and Additional file 13.</w:t>
      </w:r>
    </w:p>
    <w:p w14:paraId="692AD9BE">
      <w:pPr>
        <w:pStyle w:val="4"/>
        <w:jc w:val="both"/>
      </w:pPr>
      <w:r>
        <w:rPr>
          <w:rFonts w:ascii="Times New Roman" w:hAnsi="Times New Roman" w:eastAsia="宋体"/>
          <w:sz w:val="24"/>
        </w:rPr>
        <w:t>Drug-signature annotation</w:t>
      </w:r>
    </w:p>
    <w:p w14:paraId="2A851FB1">
      <w:pPr>
        <w:jc w:val="both"/>
      </w:pPr>
      <w:r>
        <w:rPr>
          <w:rFonts w:ascii="Times New Roman" w:hAnsi="Times New Roman" w:eastAsia="宋体"/>
          <w:sz w:val="21"/>
          <w:rPrChange w:id="17" w:author="Dream" w:date="2026-07-26T01:03:44Z">
            <w:rPr>
              <w:rFonts w:ascii="Times New Roman" w:hAnsi="Times New Roman" w:eastAsia="宋体"/>
              <w:sz w:val="24"/>
            </w:rPr>
          </w:rPrChange>
        </w:rPr>
        <w:t>To explore the connection between the candidate regulatory programs and known drug perturbation signatures, we performed drug-signature enrichment analysis using the DSigDB library via the Enrichr web API [24], combined with blood–brain barrier permeability annotations using SwissADME [25] and literature-based CNS penetration data. Five regulon target gene sets were tested: the NFE2L2 and THRB core-program gene sets, their NFE2L2 and THRB regulon target gene sets, and the BHLHE40 supplementary-program gene set. Compounds were prioritized based on enrichment significance (FDR), overlap gene count, support across these query gene sets, pathway relevance to FCD II (mTOR/PI3K/AKT axis), and clinical approval status. The complete annotation results are presented in Additional file 14 and Additional file 15.</w:t>
      </w:r>
    </w:p>
    <w:p w14:paraId="49AA0223">
      <w:pPr>
        <w:pStyle w:val="4"/>
        <w:jc w:val="both"/>
      </w:pPr>
      <w:r>
        <w:t>Statistical analysis</w:t>
      </w:r>
    </w:p>
    <w:p w14:paraId="6E656EB4">
      <w:pPr>
        <w:jc w:val="both"/>
      </w:pPr>
      <w:r>
        <w:t>The positive cell proportion, used to summarize the fraction of cells with clear regulon activation, was defined as the fraction of cells whose AUCell regulon activity score exceeded a regulon-positive threshold. For each regulon this threshold was set as the value separating the upper tail of that regulon's AUCell score distribution. Regulon activity was scored at the single-cell level, and cell-level differences between the lesion and internal-control groups were evaluated with a two-tailed Wilcoxon rank-sum test. Because cells within a sample are not statistically independent, we treat these cell-level tests as a descriptive screen for directionality rather than as evidence of independent biological replication. The true biological replicates are the four samples (two per group), and sample-level effects were therefore additionally summarized by pseudobulk aggregation of AUCell scores and gene expression across samples. Functional enrichment was tested with Fisher's exact test via the Enrichr web API. Multiple testing correction applied the Benjamini-Hochberg method with a uniform threshold of FDR &lt; 0.05. CellOracle random permutation controls generated an empirical reference distribution of perturbation patterns; detailed outputs are provided in Additional file 7 and the code repository. The main text presents only the core results directly related to the lesion-associated stress response program and the internal-control-associated homeostatic support program. Complete regulon statistics, CellOracle indices, sample-level robustness metrics, supportive data, and functional enrichment results are provided in the corresponding supplementary tables and the code repository.</w:t>
      </w:r>
    </w:p>
    <w:p w14:paraId="48ABB1E9">
      <w:pPr>
        <w:pStyle w:val="3"/>
        <w:jc w:val="both"/>
      </w:pPr>
      <w:r>
        <w:t>Results</w:t>
      </w:r>
    </w:p>
    <w:p w14:paraId="5C613EC9">
      <w:pPr>
        <w:pStyle w:val="4"/>
        <w:jc w:val="both"/>
      </w:pPr>
      <w:r>
        <w:t>Analytical object for lesion versus internal-control comparison</w:t>
      </w:r>
    </w:p>
    <w:p w14:paraId="70EEC219">
      <w:pPr>
        <w:jc w:val="both"/>
      </w:pPr>
      <w:r>
        <w:rPr>
          <w:rFonts w:ascii="Times New Roman" w:hAnsi="Times New Roman" w:eastAsia="宋体"/>
          <w:sz w:val="24"/>
        </w:rPr>
        <w:t>The final analytical object comprised 2,322 astrocytes (1,161 lesion-side; 1,161 internal-control-side) from paired lesion and internal-control samples, with 36,601 genes and 105 motif-supported regulons (Figure 1, Additional file 1). Initial inspection of regulon activity distributions revealed that lesion-side and internal-control-side astrocytes occupied distinct regions of the regulon activity space, providing the premise for subsequent differential analysis.</w:t>
      </w:r>
    </w:p>
    <w:p w14:paraId="33A1516D">
      <w:pPr>
        <w:pStyle w:val="4"/>
        <w:jc w:val="both"/>
      </w:pPr>
      <w:r>
        <w:t>Differential regulon activity between lesion-side and internal-control-side astrocytes</w:t>
      </w:r>
    </w:p>
    <w:p w14:paraId="75951961">
      <w:pPr>
        <w:jc w:val="both"/>
      </w:pPr>
      <w:r>
        <w:t>Among the 105 pySCENIC regulons, 76 showed cell-level differences meeting FDR &lt; 0.05 between the lesion and internal-control sides, of which 41 were lesion-side-associated and 35 were internal-control-side-associated (Figure 2, Additional file 2, Additional file 3). Because this screen treats individual cells as units, the high proportion of significant regulons partly reflects intra-sample cell counts rather than independent biological replication; per-sample pseudobulk effects are reported below and in the supplementary tables. Among the internal-control-side-associated regulons, THRB exhibited the largest cell-level ΔAUC (−0.245, FDR = 4.05 × 10⁻¹¹⁴) and, together with TCF4, SATB2, RARB, and others, formed an internal-control-side-associated regulon cluster. Lesion-side-associated regulons included NFE2L2, BHLHE40, SOX2, CEBPD, and JUNB; among these, NFE2L2 showed a cell-level lesion-side-associated direction (ΔAUC = 0.009, FDR = 1.64 × 10⁻¹⁹), although its absolute effect size was small; at the sample level the pseudobulk difference was +0.0096 (exact rank-sum p = 0.833 across two lesion and two internal-control samples), i.e. the same direction but a small magnitude (Figure 4, Additional file 9).</w:t>
      </w:r>
    </w:p>
    <w:p w14:paraId="4E86FB30">
      <w:pPr>
        <w:jc w:val="both"/>
      </w:pPr>
      <w:r>
        <w:t xml:space="preserve">This differential landscape revealed two regulatory states with opposite directions in FCD II astrocytes: one biased toward the lesion side, containing regulons related to stress response and transcriptional reprogramming; the other biased toward the internal-control side, containing regulons related to homeostasis, synaptic support, and calcium signaling. </w:t>
      </w:r>
      <w:r>
        <w:rPr>
          <w:rFonts w:hint="default"/>
        </w:rPr>
        <w:t>THRB and NFE2L2 represented the proposed candidate axes</w:t>
      </w:r>
      <w:r>
        <w:t xml:space="preserve"> for these two opposing directions.</w:t>
      </w:r>
    </w:p>
    <w:p w14:paraId="469C2830">
      <w:pPr>
        <w:pStyle w:val="4"/>
        <w:jc w:val="both"/>
      </w:pPr>
      <w:r>
        <w:t>Integrated prioritization of candidate transcription factors</w:t>
      </w:r>
    </w:p>
    <w:p w14:paraId="2B5A6E45">
      <w:pPr>
        <w:jc w:val="both"/>
      </w:pPr>
      <w:r>
        <w:t>Among all candidate transcription factors, NFE2L2 and THRB emerged as the two highest-priority axes, representing the lesion-side and internal-control-side directions, respectively (Additional file 4, Additional file 5). NFE2L2 showed concordant lesion-side bias across the evidence layers examined: elevated TF expression (log₂FC = 0.685), increased cell-level regulon activity (ΔAUC = 0.009, FDR = 1.64 × 10⁻¹⁹), and a converted cell proportion (the fraction of cells with AUCell activity above the regulon-positive threshold) of 0.363. Conversely, THRB displayed concordant internal-control-side bias: lower TF expression relative to the lesion side (log₂FC = −0.361), markedly higher cell-level regulon activity (ΔAUC = −0.245, FDR = 4.05 × 10⁻¹¹⁴), and a converted cell proportion of 0.642. These cell-level statistics should be read as descriptive of direction rather than as sample-level replication (see Methods). At the sample level, the pseudobulk difference for NFE2L2 was +0.0096 (lesion up; exact rank-sum p = 0.833 across the two lesion and two internal-control samples), while that for THRB was −0.2777 (internal-control up; exact rank-sum p = 0.167); the sample-level magnitude for THRB was therefore considerably larger than that for NFE2L2, although neither factor reached formal sample-level significance at this small cohort size (Figure 4, Additional file 9). We therefore treat both factors as prioritized candidate axes whose nominal sample-level evidence and p values would require a larger, independent cohort to be confirmed.</w:t>
      </w:r>
    </w:p>
    <w:p w14:paraId="2FDB5AAF">
      <w:pPr>
        <w:jc w:val="both"/>
      </w:pPr>
      <w:r>
        <w:t xml:space="preserve">BHLHE40 and SOX2 both exhibited lesion-side-associated directions. BHLHE40 showed a relatively large increase in expression (log₂FC = 1.136) and lesion-side-biased regulon activity (ΔAUC = 0.020, </w:t>
      </w:r>
      <w:r>
        <w:rPr>
          <w:rFonts w:hint="eastAsia"/>
          <w:lang w:eastAsia="zh-CN"/>
        </w:rPr>
        <w:t>FDR =</w:t>
      </w:r>
      <w:r>
        <w:t xml:space="preserve"> 1.28 × 10⁻³⁴). SOX2 also followed a lesion-side-associated direction (log₂FC = 0.669; ΔAUC = 0.096, </w:t>
      </w:r>
      <w:r>
        <w:rPr>
          <w:rFonts w:hint="eastAsia"/>
          <w:lang w:eastAsia="zh-CN"/>
        </w:rPr>
        <w:t>FDR =</w:t>
      </w:r>
      <w:r>
        <w:t xml:space="preserve"> 9.39 × 10⁻⁶⁶). The evidence structure for the major candidate transcription factors is summarized in Table 2.</w:t>
      </w:r>
    </w:p>
    <w:p w14:paraId="6753A02F">
      <w:pPr>
        <w:pStyle w:val="4"/>
        <w:jc w:val="both"/>
      </w:pPr>
      <w:r>
        <w:t>CellOracle in silico perturbation of candidate transcription factors</w:t>
      </w:r>
    </w:p>
    <w:p w14:paraId="39C6EA84">
      <w:pPr>
        <w:jc w:val="both"/>
      </w:pPr>
      <w:r>
        <w:t>CellOracle perturbation results revealed that NFE2L2 and THRB exhibited distinct computational perturbation characteristics (Figure 3, Additional file 6, Additional file 7). NFE2L2 produced the largest mean shift (0.699) and THRB the second largest (0.689), a difference too small to distinguish the two factors by perturbation magnitude alone. For each cell, the observed shift was compared with its paired randomized-control shift (obtained with a randomized transition-probability matrix); a paired-label permutation test (N = 10,000) showed that for all four candidate factors the observed perturbation shifts were significantly larger than their randomized controls (mean paired difference: NFE2L2 = 0.521, THRB = 0.487, BHLHE40 = 0.347, SOX2 = 0.296; permutation p &lt; 1e-4, z = 34.8 to 40.9; Cohen's d = 1.04 to 1.61; FDR &lt; 0.001, Additional file 6 panels G and H). This indicates that the simulated shifts were not attributable to random network structure. In addition, a group-label permutation test (N = 10,000) of the lesion-side versus internal-control-side mean perturbation vectors confirmed that the group-specific directionality was also significant for all four factors (permutation p &lt; 1e-4, z = 16.8 to 23.2; Additional file 6 panels G and H), supporting the interpretation that displacement into the internal-control-associated or lesion-associated program is directional rather than random. THRB yielded the highest Approx. Recovery Index (0.689). Because Approx. RI is a non-negative, unbounded composite rather than a normalized similarity, this value should be interpreted only relative to candidates scored with the same pipeline. Among the four candidates, THRB showed the strongest combination of net shift, internal-control-group selectivity, target-group coherence, and direction agreement. Thus, NFE2L2 produced the broadest global displacement, whereas THRB produced the highest group-matched composite perturbation score.</w:t>
      </w:r>
    </w:p>
    <w:p w14:paraId="04C04266">
      <w:pPr>
        <w:jc w:val="both"/>
      </w:pPr>
      <w:r>
        <w:t xml:space="preserve">BHLHE40 showed an intermediate perturbation effect (mean shift = 0.567, Approx. RI = 0.456), ranking below NFE2L2 and THRB but above SOX2. SOX2 exhibited </w:t>
      </w:r>
      <w:r>
        <w:rPr>
          <w:rFonts w:hint="eastAsia"/>
          <w:lang w:eastAsia="zh-CN"/>
        </w:rPr>
        <w:t>the lowest perturbation effect among the four nominated factors</w:t>
      </w:r>
      <w:r>
        <w:t xml:space="preserve"> (mean shift = 0.522, Approx. RI = 0.399). Random permutation controls did not recapitulate the specific perturbation patterns of NFE2L2 and THRB observed in the original regulatory network, suggesting that </w:t>
      </w:r>
      <w:r>
        <w:rPr>
          <w:rFonts w:hint="eastAsia"/>
          <w:lang w:eastAsia="zh-CN"/>
        </w:rPr>
        <w:t>these perturbation features depend on the specific regulatory connections of the nominated factors</w:t>
      </w:r>
      <w:r>
        <w:t xml:space="preserve"> rather than on random network structure.</w:t>
      </w:r>
    </w:p>
    <w:p w14:paraId="48D6BC10">
      <w:pPr>
        <w:pStyle w:val="4"/>
        <w:jc w:val="both"/>
      </w:pPr>
      <w:r>
        <w:t>Internal robustness and sensitivity analyses</w:t>
      </w:r>
    </w:p>
    <w:p w14:paraId="2C1725A2">
      <w:pPr>
        <w:jc w:val="both"/>
      </w:pPr>
      <w:r>
        <w:t>Sample-level robustness analyses showed that NFE2L2, THRB, BHLHE40, and SOX2 all maintained their original expression directions and regulon activity directions in the leave-one-sample-out (LOSO) analysis (LOSO expression rate = 1.0; LOSO regulon rate = 1.0) (Figure 4, Additional file 8, Additional file 9). In the pseudobulk aggregation analysis, NFE2L2, BHLHE40, and SOX2 continued to exhibit lesion-side-associated directions, with pseudobulk expression effects of 0.743, 1.170, and 0.702, respectively; THRB maintained its internal-control-side-associated direction, with a pseudobulk expression effect of −0.328.</w:t>
      </w:r>
    </w:p>
    <w:p w14:paraId="22D45592">
      <w:pPr>
        <w:jc w:val="both"/>
      </w:pPr>
      <w:r>
        <w:t>Threshold sensitivity analysis further demonstrated that NFE2L2, BHLHE40, and SOX2 were fully retained across different filtration thresholds (grid retention = 1.0). THRB showed a grid retention rate of 0.667, yet its median rank, best rank, and worst rank were all 1, indicating stable prioritization in the internal-control-side direction. Taken together, these three analyses confirmed that the expression directions and regulon activity directions of the four candidate transcription factors remained stable at the sample level, with no directional changes driven by a single sample.</w:t>
      </w:r>
    </w:p>
    <w:p w14:paraId="0151834B">
      <w:pPr>
        <w:pStyle w:val="4"/>
        <w:jc w:val="both"/>
      </w:pPr>
      <w:r>
        <w:t>Supportive external expression analyses</w:t>
      </w:r>
    </w:p>
    <w:p w14:paraId="7FE4C4C5">
      <w:pPr>
        <w:jc w:val="both"/>
      </w:pPr>
      <w:r>
        <w:t>GSE140393 and GSE190452 provided supportive expression evidence for the proposed transcription factors (Additional file 10, Additional file 11). In the FCD II lesion astrocyte object from GSE140393, NFE2L2 had the highest support score (support score = 1.000, support rank = 1), followed by THRB (support score = 0.800, support rank = 2); SOX2 and BHLHE40 had support scores of 0.350 and 0.231, respectively, both lower than those of NFE2L2 and THRB.</w:t>
      </w:r>
    </w:p>
    <w:p w14:paraId="608E4A4F">
      <w:pPr>
        <w:jc w:val="both"/>
      </w:pPr>
      <w:r>
        <w:t>In the temporal lobe epilepsy versus control context of GSE190452, NFE2L2 showed the highest support score in the TLE/control context (support score = 1.000, group log₂FC = 0.399, cluster expression support fraction = 0.821), consistent with its prioritization in the discovery dataset. THRB displayed an internal-control-associated direction, with a group log₂FC of −0.231, a cluster expression support fraction of 0.607, and a support score of 0.204. SOX2 also showed a lesion/disease-associated direction in this dataset (support score = 0.731, group log₂FC = 0.291), although its regulon target gene set was small; BHLHE40 received weaker cross-syndrome support (support score = 0.091). These analyses provide expression-level support but not independent regulon-level validation; they are broadly consistent with the proposed directions of NFE2L2 and THRB.</w:t>
      </w:r>
    </w:p>
    <w:p w14:paraId="4EDB8E7B">
      <w:pPr>
        <w:pStyle w:val="4"/>
        <w:jc w:val="both"/>
      </w:pPr>
      <w:r>
        <w:t>Functional enrichment and program convergence analysis</w:t>
      </w:r>
    </w:p>
    <w:p w14:paraId="71DDC6BC">
      <w:pPr>
        <w:jc w:val="both"/>
      </w:pPr>
      <w:r>
        <w:t>Functional enrichment and program convergence analyses revealed that NFE2L2, THRB, and BHLHE40 all showed a high proportion of overlap with differentially expressed genes, yet the three exhibited distinct program features (Figure 5, Additional file 12, Additional file 13). The NFE2L2 regulon comprised 458 target genes, of which 245 overlapped with differentially expressed genes, yielding an overlap percentage of 53.5%. Its enriched terms were concentrated in processes such as regulation of transcription by RNA polymerase II, positive regulation of DNA-templated transcription, MAPK signaling, intracellular signaling, and protein phosphorylation, consistent with a lesion-associated stress</w:t>
      </w:r>
      <w:r>
        <w:rPr>
          <w:rFonts w:hint="eastAsia"/>
          <w:lang w:val="en-US" w:eastAsia="zh-CN"/>
        </w:rPr>
        <w:t xml:space="preserve"> </w:t>
      </w:r>
      <w:r>
        <w:t>response and transcriptional reprogramming signature.</w:t>
      </w:r>
    </w:p>
    <w:p w14:paraId="7377B017">
      <w:pPr>
        <w:jc w:val="both"/>
      </w:pPr>
      <w:r>
        <w:t>The THRB regulon had a relatively small target gene set, containing only 17 target genes; of these, 13 overlapped with differentially expressed genes (76.5%). Unlike the large stress-associated NFE2L2 regulon, THRB was characterized as a small and focused internal-control-associated program. Its enriched terms included calcium ion-regulated exocytosis of neurotransmitter, positive regulation of dendrite extension, modulation of chemical synaptic transmission, calcium ion-regulated exocytosis, and synaptic vesicle cycle, collectively pointing to synaptic support and calcium signaling regulation. Because this enrichment is computed from a small gene set, these terms should be treated as exploratory context rather than as exhaustive functional characterization.</w:t>
      </w:r>
    </w:p>
    <w:p w14:paraId="7EE2E06C">
      <w:pPr>
        <w:jc w:val="both"/>
      </w:pPr>
      <w:r>
        <w:t>The BHLHE40 regulon contained 221 target genes, of which 143 overlapped with differentially expressed genes (overlap percentage = 64.7%), and was enriched in terms such as transcriptional regulation, vascular smooth muscle contraction, actin cytoskeleton regulation, and pluripotency-related signaling, supporting its positioning as a secondary lesion-associated candidate. The SOX2 regulon contained only 10 target genes; although all 10 overlapped with differentially expressed genes, its target gene set size was notably small, and SOX2 was therefore retained as a target-limited, lower-priority candidate.</w:t>
      </w:r>
    </w:p>
    <w:p w14:paraId="45F8C277">
      <w:pPr>
        <w:pStyle w:val="4"/>
        <w:jc w:val="both"/>
      </w:pPr>
      <w:r>
        <w:rPr>
          <w:rFonts w:ascii="Times New Roman" w:hAnsi="Times New Roman" w:eastAsia="宋体"/>
          <w:sz w:val="24"/>
        </w:rPr>
        <w:t>Exploratory drug-signature enrichment connects the NFE2L2 program to mTOR pathway inhibitors</w:t>
      </w:r>
    </w:p>
    <w:p w14:paraId="34DBD57D">
      <w:pPr>
        <w:jc w:val="both"/>
      </w:pPr>
      <w:r>
        <w:rPr>
          <w:rFonts w:ascii="Times New Roman" w:hAnsi="Times New Roman" w:eastAsia="宋体"/>
          <w:sz w:val="21"/>
          <w:rPrChange w:id="18" w:author="Dream" w:date="2026-07-26T01:03:55Z">
            <w:rPr>
              <w:rFonts w:ascii="Times New Roman" w:hAnsi="Times New Roman" w:eastAsia="宋体"/>
              <w:sz w:val="24"/>
            </w:rPr>
          </w:rPrChange>
        </w:rPr>
        <w:t>DSigDB drug-signature enrichment analysis of the candidate regulon target gene sets was used as an exploratory, hypothesis-generating module rather than as a validated therapy screen (Additional file 14, Additional file 15). Within the NFE2L2 regulon target gene set, the pan-PI3K inhibitor GDC-0941 (pictilisib) showed the strongest enrichment (FDR = 0.0009, 28 overlap genes, supported across all five query gene sets), overlapping the NFE2L2 program with the PI3K-mTOR axis (overlap genes including RICTOR, MYC, MAP2K1, and NR3C1). Metformin, an AMPK activator that indirectly modulates mTORC1 activity, was also enriched (FDR = 0.0018, 9 overlap genes), and the mTOR inhibitor rapamycin (sirolimus) reached the enrichment threshold (FDR = 0.0236, 13 overlap genes). By contrast, the rapalogs temsirolimus (FDR = 0.070) and everolimus (FDR = 0.117) did not reach the FDR &lt; 0.05 threshold and are reported only as nominal enrichment trends. Because these enrichments derive from gene-set perturbation signatures and in silico pharmacokinetic prediction rather than functional assays or clinical efficacy data, they should be interpreted strictly as hypothesis generation and not as validated leads or treatment recommendations.</w:t>
      </w:r>
    </w:p>
    <w:p w14:paraId="4BDAAD95">
      <w:pPr>
        <w:jc w:val="both"/>
      </w:pPr>
      <w:ins w:id="19" w:author="Dream" w:date="2026-07-30T00:48:06Z">
        <w:r>
          <w:rPr>
            <w:rFonts w:hint="eastAsia" w:ascii="Times New Roman" w:hAnsi="Times New Roman" w:eastAsia="宋体"/>
            <w:sz w:val="21"/>
          </w:rPr>
          <w:t>Additional enrichment signals included the antiepileptic drugs carbamazepine (FDR &lt; 0.001, 31 overlap genes), phenytoin (FDR = 0.020), and ethosuximide (FDR = 0.006), and the FDA-approved oncology agents tamoxifen (FDR &lt; 0.001, 48 overlap genes), vorinostat (FDR &lt; 0.001, 31 overlap genes), and dasatinib (FDR = 0.0007). These compounds provide additional pharmacological perturbation context for the proposed regulons; however, with the exception of carbamazepine and phenytoin as empirical first-line antiseizure medications, none have established clinical evidence in FCD II.</w:t>
        </w:r>
      </w:ins>
      <w:del w:id="20" w:author="Dream" w:date="2026-07-30T00:48:06Z">
        <w:r>
          <w:rPr>
            <w:rFonts w:ascii="Times New Roman" w:hAnsi="Times New Roman" w:eastAsia="宋体"/>
            <w:sz w:val="21"/>
            <w:rPrChange w:id="21" w:author="Dream" w:date="2026-07-26T01:03:55Z">
              <w:rPr>
                <w:rFonts w:ascii="Times New Roman" w:hAnsi="Times New Roman" w:eastAsia="宋体"/>
                <w:sz w:val="24"/>
              </w:rPr>
            </w:rPrChange>
          </w:rPr>
          <w:delText>Supportive clinical leads included the antiepileptic drugs carbamazepine (FDR &lt; 0.001, 31 overlap genes), phenytoin (FDR = 0.020), and ethosuximide (FDR = 0.006), and the FDA-approved oncology agents tamoxifen (FDR &lt; 0.001, 48 overlap genes), vorinostat (FDR &lt; 0.001, 31 overlap genes), and dasatinib (FDR = 0.0007), providing additional pharmacological perturbation context for the proposed regulons.</w:delText>
        </w:r>
      </w:del>
      <w:r>
        <w:rPr>
          <w:rFonts w:ascii="Times New Roman" w:hAnsi="Times New Roman" w:eastAsia="宋体"/>
          <w:sz w:val="21"/>
          <w:rPrChange w:id="22" w:author="Dream" w:date="2026-07-26T01:03:55Z">
            <w:rPr>
              <w:rFonts w:ascii="Times New Roman" w:hAnsi="Times New Roman" w:eastAsia="宋体"/>
              <w:sz w:val="24"/>
            </w:rPr>
          </w:rPrChange>
        </w:rPr>
        <w:t>Blood-brain barrier penetration annotations (SwissADME estimates, not measured values) classified carbamazepine, phenytoin, and ethosuximide as high-BBB-penetration compounds; GDC-0941, metformin, tamoxifen, vorinostat, and dasatinib as moderate-BBB-penetration compounds; and rapamycin, temsirolimus, everolimus, and imatinib as low-BBB-penetration compounds whose CNS delivery would require optimization. Taken together, these exploratory results provide only a program-level association between the NFE2L2 regulatory axis and the mTOR pathway; any therapeutic implication therefore remains speculative and outside the scope of the present computational analysis (see Discussion).</w:t>
      </w:r>
    </w:p>
    <w:p w14:paraId="498209E7">
      <w:pPr>
        <w:pStyle w:val="3"/>
        <w:jc w:val="both"/>
      </w:pPr>
      <w:r>
        <w:t>Discussion</w:t>
      </w:r>
    </w:p>
    <w:p w14:paraId="2BBDC5DF">
      <w:pPr>
        <w:pStyle w:val="4"/>
        <w:jc w:val="both"/>
      </w:pPr>
      <w:r>
        <w:t>Principal findings</w:t>
      </w:r>
    </w:p>
    <w:p w14:paraId="7D5CD3C3">
      <w:pPr>
        <w:jc w:val="both"/>
      </w:pPr>
      <w:r>
        <w:t>By integrating regulon activity, transcription factor expression, CellOracle in silico perturbation, sample-level robustness, supportive external analyses, and functional convergence analysis, this study identified an asymmetric NFE2L2-THRB regulatory architecture in FCD II astrocytes (Table 2). This architecture distinguishes a lesion-side stress-response and transcriptional reprogramming axis from a compact homeostatic, synaptic, and calcium signaling support program on the internal-control side, while acknowledging that at the sample level the two candidate axes differ markedly in effect magnitude. The primary contribution is therefore a hypothesis-generating, computational prioritization of candidate regulatory programs rather than a demonstration of causal mechanism. Beyond FCD II, this dual-axis framework, in which one glial program is lesion-adaptive while another preserves homeostatic support, is relevant to other epilepsy and mTOR-related brain disorders and illustrates a transferable workflow for regulon-level, perturbation-aware analysis of public single-cell data.</w:t>
      </w:r>
      <w:del w:id="23" w:author="李秀翠 Sucy  Lee" w:date="2026-07-21T06:59:22Z">
        <w:r>
          <w:rPr/>
          <w:delText>; BHLHE40 and SOX2 were positioned at the levels of a secondary lesion-associated factor and a target-limited, lower-priority factor, respectively</w:delText>
        </w:r>
      </w:del>
    </w:p>
    <w:p w14:paraId="1778B419">
      <w:pPr>
        <w:jc w:val="both"/>
      </w:pPr>
      <w:r>
        <w:t>The term "asymmetric" used here does not imply that the two axes are completely equivalent in evidence strength or biological role; rather, it denotes their distinct evidence structures and functional orientations. NFE2L2 possesses a large regulon target gene set, the highest CellOracle mean shift, and consistent lesion-side directionality, thereby fitting the profile of a broad stress-adaptation and transcriptional reprogramming program on the lesion side. THRB possesses a considerably smaller regulon target gene set but achieves the highest Approx. Recovery Index, reflecting the strongest group-matched composite perturbation score among the candidates; together with its consistent internal-control-side directionality, this supports a relatively preserved homeostatic, synaptic, and calcium signaling program. This asymmetric structure suggests that FCD II astrocytes may simultaneously harbor a lesion-associated stress response and a relatively preserved tissue-support state, rather than conforming to a simple "increased reactivity" or "functional decline" dichotomy.</w:t>
      </w:r>
    </w:p>
    <w:p w14:paraId="04AA428E">
      <w:pPr>
        <w:pStyle w:val="4"/>
        <w:jc w:val="both"/>
      </w:pPr>
      <w:r>
        <w:t>NFE2L2 as a lesion-associated stress-adaptation axis</w:t>
      </w:r>
    </w:p>
    <w:p w14:paraId="546D3EC7">
      <w:pPr>
        <w:keepNext w:val="0"/>
        <w:keepLines w:val="0"/>
        <w:widowControl/>
        <w:suppressLineNumbers w:val="0"/>
        <w:spacing w:before="105" w:beforeAutospacing="0" w:after="105" w:afterAutospacing="0"/>
        <w:jc w:val="both"/>
      </w:pPr>
      <w:r>
        <w:t>NFE2L2 emerged as the highest-priority lesion-side candidate axis among the transcription factors examined. Its priority does not rely on a single differential metric but rather on consistent computational results across multiple layers: NFE2L2 regulon activity and transcription factor expression were both biased toward the lesion side, it produced the largest mean shift in CellOracle analysis, and functional convergence analysis revealed a large target gene set with extensive overlap with differentially expressed genes (Figure 3, Figure 5). Together, these results support positioning NFE2L2 as a high-priority candidate axis for stress adaptation and transcriptional reprogramming in FCD II lesion-side astrocytes, subject to experimental validation.</w:t>
      </w:r>
    </w:p>
    <w:p w14:paraId="240CCA43">
      <w:pPr>
        <w:jc w:val="both"/>
      </w:pPr>
      <w:r>
        <w:t>The NFE2L2/NRF2 pathway is a crucial regulatory system through which cells respond to oxidative stress, metabolic stress, and inflammation-associated damage. Epileptic seizures and chronic epileptic tissue can be accompanied by oxidative stress, mitochondrial stress, inflammatory responses, and alterations in antioxidant defense programs; previous studies have also reported that Nrf2 and its downstream genes participate in post-seizure stress responses and oxidative stress regulation [26–28]. Against this background, the elevated NFE2L2 regulon activity observed in our study is better interpreted as an adaptive response of lesion-side astrocytes to abnormal excitability, local inflammation, and metabolic stress. Its high priority stems primarily from the multilayer evidence convergence among regulon activity, expression direction, in silico perturbation, and functional enrichment, rather than from a single ΔAUC effect size. Notably, KEGG pathway enrichment of the NFE2L2 regulon target gene set showed significant enrichment for the mTOR signaling pathway (FDR = 0.013), with overlap genes including RICTOR (a core component of the mTORC2 complex) and MIOS (a component of the GATOR2 complex upstream of mTORC1), providing a regulatory link between the NFE2L2-driven stress-adaptation program and the core pathological pathway of FCD II. This pathway-level convergence further connects the NFE2L2 axis to mTOR inhibitors under clinical investigation for FCD II and related mTORopathies [38,39].</w:t>
      </w:r>
      <w:del w:id="24" w:author="Dream" w:date="2026-07-30T01:17:30Z">
        <w:r>
          <w:rPr/>
          <w:delText xml:space="preserve"> </w:delText>
        </w:r>
      </w:del>
      <w:del w:id="25" w:author="Dream" w:date="2026-07-30T01:17:29Z">
        <w:r>
          <w:rPr/>
          <w:delText>(see below and Discussion)</w:delText>
        </w:r>
      </w:del>
      <w:r/>
    </w:p>
    <w:p w14:paraId="3FFB6326">
      <w:pPr>
        <w:jc w:val="both"/>
      </w:pPr>
      <w:r>
        <w:rPr>
          <w:rFonts w:ascii="Times New Roman" w:hAnsi="Times New Roman" w:eastAsia="宋体"/>
          <w:sz w:val="21"/>
          <w:rPrChange w:id="26" w:author="Dream" w:date="2026-07-30T01:15:58Z">
            <w:rPr>
              <w:rFonts w:ascii="Times New Roman" w:hAnsi="Times New Roman" w:eastAsia="宋体"/>
              <w:sz w:val="24"/>
            </w:rPr>
          </w:rPrChange>
        </w:rPr>
        <w:t xml:space="preserve">From the perspective of the FCD II lesion microenvironment, NFE2L2-associated programs may represent a protective or compensatory response of astrocytes to the locally aberrant tissue state. This axis should not be viewed narrowly as a single pathological driver, nor is it equivalent to a direct therapeutic target; a more appropriate interpretation is that it marks a stress-adaptation state activated on the lesion side. Future spatial transcriptomic and lesion tissue validation studies are needed to determine whether NFE2L2-associated programs are concentrated in the lesion core, the lesion border, or regions with strong glial reactivity. </w:t>
      </w:r>
      <w:del w:id="27" w:author="Dream" w:date="2026-07-30T01:15:51Z">
        <w:r>
          <w:rPr>
            <w:rFonts w:ascii="Times New Roman" w:hAnsi="Times New Roman" w:eastAsia="宋体"/>
            <w:sz w:val="21"/>
            <w:rPrChange w:id="28" w:author="Dream" w:date="2026-07-30T01:15:58Z">
              <w:rPr>
                <w:rFonts w:ascii="Times New Roman" w:hAnsi="Times New Roman" w:eastAsia="宋体"/>
                <w:sz w:val="24"/>
              </w:rPr>
            </w:rPrChange>
          </w:rPr>
          <w:delText>Notably, KEGG pathway enrichment of the NFE2L2 regulon target gene set showed significant enrichment for the mTOR signaling pathway (FDR = 0.013), with overlap genes including RICTOR (a core component of the mTORC2 complex) and MIOS (a component of the GATOR2 complex upstream of mTORC1), providing a regulatory link between the NFE2L2-driven stress-adaptation program and the core pathological pathway of FCD II. This pathway-level convergence further connects the NFE2L2 axis to mTOR inhibitors under clinical investigation for FCD II and related mTORopathies (see below and Discussion).</w:delText>
        </w:r>
      </w:del>
    </w:p>
    <w:p w14:paraId="6E264B1D">
      <w:pPr>
        <w:pStyle w:val="4"/>
        <w:jc w:val="both"/>
      </w:pPr>
      <w:r>
        <w:t>THRB as a compact internal-control-associated program</w:t>
      </w:r>
    </w:p>
    <w:p w14:paraId="2B616DC9">
      <w:pPr>
        <w:jc w:val="both"/>
      </w:pPr>
      <w:r>
        <w:t>THRB constituted a program with a direction distinct from that of NFE2L2. Differential regulon analysis showed that THRB activity was biased toward the internal-control side, and CellOracle analysis revealed that it achieved the highest Approx. Recovery Index, indicating the strongest group-matched composite perturbation score among the four candidates (Figure 3). Functional convergence analysis further demonstrated that, although the THRB regulon contained only 17 target genes, 13 of them overlapped with differentially expressed genes, and the enriched terms involved functions such as synaptic processes, dendrite extension, calcium-regulated neurotransmitter release, and synaptic vesicle exocytosis (Figure 5). Thus, THRB appears to represent a small and focused internal-control-side-associated program rather than a master regulatory axis of a broad lesional stress response.</w:t>
      </w:r>
    </w:p>
    <w:p w14:paraId="35102190">
      <w:pPr>
        <w:jc w:val="both"/>
      </w:pPr>
      <w:r>
        <w:t>Thyroid hormones and their nuclear receptors are involved in brain development, neuronal maturation, synapse formation, glial cell function, and post-injury repair processes [29–31]. This biological context provides a plausible explanation for the link between THRB and neural tissue homeostasis. Although direct literature evidence on THRB in FCD II astrocytes remains limited, the synaptic and calcium signaling enrichment direction of the THRB regulon in this study suggests that this program may reflect a partially retained capacity of astrocytes for synaptic microenvironment support in the context of an epileptic focus. Because the internal-control side was derived from donors with the same disease, the THRB bias does not equate to a marker of normal tissue; rather, it more likely represents a homeostatic support state that is relatively maintained in the FCD II setting. From a translational perspective, the synaptic and calcium signaling enrichment of the THRB regulon provides a program-level connection to antiepileptic drugs targeting calcium channels and synaptic transmission, complementing the mTOR-axis connection identified on the NFE2L2 side and supporting the dual-axis regulatory framework as a source of pharmacological perturbation context.</w:t>
      </w:r>
    </w:p>
    <w:p w14:paraId="7F112676">
      <w:pPr>
        <w:jc w:val="both"/>
      </w:pPr>
      <w:r>
        <w:rPr>
          <w:rFonts w:ascii="Times New Roman" w:hAnsi="Times New Roman" w:eastAsia="宋体"/>
          <w:sz w:val="21"/>
          <w:rPrChange w:id="29" w:author="Dream" w:date="2026-07-30T00:50:58Z">
            <w:rPr>
              <w:rFonts w:ascii="Times New Roman" w:hAnsi="Times New Roman" w:eastAsia="宋体"/>
              <w:sz w:val="24"/>
            </w:rPr>
          </w:rPrChange>
        </w:rPr>
        <w:t>This interpretation has important implications for understanding FCD II astrocytes. Lesion-side tissue is more commonly interpreted as an abnormal, stressed, or reactive state, whereas internal-control-side-associated programs can provide a different type of information: which regulatory programs may be relatively preserved in the same disease context and participate in maintaining local synaptic function, calcium signaling, and tissue homeostasis. THRB is therefore not a symmetrical "opposite" of NFE2L2, but a program with a smaller target gene set, a more focused direction, and a functional orientation more biased toward homeostatic support. Future studies should prioritize validating the spatial distribution of THRB-associated signals in the lesion core, perilesional areas, and internal-control regions, and evaluating whether they correlate with astrocytic support functions for the synaptic and ionic microenvironment.</w:t>
      </w:r>
      <w:del w:id="30" w:author="Dream" w:date="2026-07-30T01:18:04Z">
        <w:r>
          <w:rPr>
            <w:rFonts w:ascii="Times New Roman" w:hAnsi="Times New Roman" w:eastAsia="宋体"/>
            <w:sz w:val="21"/>
            <w:rPrChange w:id="31" w:author="Dream" w:date="2026-07-30T00:50:58Z">
              <w:rPr>
                <w:rFonts w:ascii="Times New Roman" w:hAnsi="Times New Roman" w:eastAsia="宋体"/>
                <w:sz w:val="24"/>
              </w:rPr>
            </w:rPrChange>
          </w:rPr>
          <w:delText xml:space="preserve"> </w:delText>
        </w:r>
      </w:del>
      <w:del w:id="32" w:author="Dream" w:date="2026-07-30T01:18:04Z">
        <w:r>
          <w:rPr>
            <w:rFonts w:ascii="Times New Roman" w:hAnsi="Times New Roman" w:eastAsia="宋体"/>
            <w:sz w:val="21"/>
            <w:rPrChange w:id="33" w:author="Dream" w:date="2026-07-30T00:50:58Z">
              <w:rPr>
                <w:rFonts w:ascii="Times New Roman" w:hAnsi="Times New Roman" w:eastAsia="宋体"/>
                <w:sz w:val="24"/>
              </w:rPr>
            </w:rPrChange>
          </w:rPr>
          <w:delText>From a translational perspective, the synaptic and calcium signaling enrichment of the THRB regulon provides a program-level connection to antiepileptic drugs targeting calcium channels and synaptic transmission, complementing the mTOR-axis connection identified on the NFE2L2 side and supporting the dual-axis regulatory framework as a source of pharmacological perturbation context.</w:delText>
        </w:r>
      </w:del>
    </w:p>
    <w:p w14:paraId="162BE068">
      <w:pPr>
        <w:pStyle w:val="4"/>
        <w:jc w:val="both"/>
      </w:pPr>
      <w:r>
        <w:t>Secondary proposed regulators: BHLHE40 and SOX2</w:t>
      </w:r>
    </w:p>
    <w:p w14:paraId="263227BB">
      <w:pPr>
        <w:jc w:val="both"/>
      </w:pPr>
      <w:r>
        <w:t>BHLHE40 was retained as a secondary lesion-associated factor. In the differential regulon analysis and transcription factor prioritization, BHLHE40 displayed a lesion-side-associated direction and exhibited an intermediate CellOracle perturbation effect (mean shift = 0.567, Approx. RI = 0.456). Previous studies have shown that BHLHE40 participates in immune responses, inflammation-related transcriptional regulation, hypoxic stress, and cell-state transitions [32,33]. In combination with our findings, BHLHE40 may represent part of the lesion-side stress and inflammation-associated transcriptional program; however, its overall perturbation priority and external support strength were weaker than those of NFE2L2, making it more appropriately positioned as an auxiliary lesion-associated factor.</w:t>
      </w:r>
    </w:p>
    <w:p w14:paraId="04A37956">
      <w:pPr>
        <w:jc w:val="both"/>
      </w:pPr>
      <w:r>
        <w:t>SOX2 was retained in this study as a target-limited factor. SOX2 is an important transcription factor in neural development, glial-associated state maintenance, and cell fate regulation [34–36]. In our study, SOX2 exhibited a lesion-side direction and overlapped with differentially expressed genes; however, its regulon target gene set was relatively small (10 genes), and its CellOracle perturbation priority (mean shift = 0.522, Approx. RI = 0.399) was the lowest among the four candidates. Thus, the results for SOX2 do not negate its importance in astrocyte biology but rather indicate that, within the current FCD II astrocyte object, it is not the primary regulatory axis.</w:t>
      </w:r>
    </w:p>
    <w:p w14:paraId="1FF5FD1A">
      <w:pPr>
        <w:pStyle w:val="4"/>
        <w:jc w:val="both"/>
      </w:pPr>
      <w:r>
        <w:t>Methodological considerations</w:t>
      </w:r>
    </w:p>
    <w:p w14:paraId="5908C5A8">
      <w:pPr>
        <w:jc w:val="both"/>
      </w:pPr>
      <w:r>
        <w:t>The methodological value of this study lies in advancing the analysis of FCD II astrocytes from single-gene differential expression to an integrated level encompassing TF–regulon activity, in silico perturbation, sample-level robustness, and functional program convergence. SCENIC/pySCENIC enables the inference of transcription factor–regulon activity from single-cell expression matrices [14,15], while CellOracle can simulate cell-state changes following transcription factor perturbation based on the inferred network [16]. By combining these two approaches, it is possible to establish a prioritization framework for proposed regulatory programs using publicly available single-cell data and to move beyond the question of "whether a factor's expression changes" toward "whether its downstream regulatory program displays directionality and perturbation impact."</w:t>
      </w:r>
    </w:p>
    <w:p w14:paraId="185AD3E8">
      <w:pPr>
        <w:jc w:val="both"/>
        <w:rPr>
          <w:ins w:id="34" w:author="Dream" w:date="2026-07-25T14:01:04Z"/>
        </w:rPr>
      </w:pPr>
      <w:ins w:id="35" w:author="Dream" w:date="2026-07-25T14:01:06Z">
        <w:r>
          <w:rPr>
            <w:rFonts w:ascii="Times New Roman" w:hAnsi="Times New Roman" w:eastAsia="黑体" w:cstheme="minorBidi"/>
            <w:i w:val="0"/>
            <w:iCs w:val="0"/>
            <w:caps w:val="0"/>
            <w:color w:val="auto"/>
            <w:spacing w:val="0"/>
            <w:sz w:val="21"/>
            <w:szCs w:val="21"/>
            <w:shd w:val="clear" w:fill="auto"/>
            <w:rPrChange w:id="36" w:author="Dream" w:date="2026-07-25T14:01:10Z">
              <w:rPr>
                <w:rFonts w:ascii="Cambria" w:hAnsi="Cambria" w:eastAsia="Cambria" w:cs="Cambria"/>
                <w:i w:val="0"/>
                <w:iCs w:val="0"/>
                <w:caps w:val="0"/>
                <w:color w:val="1F2937"/>
                <w:spacing w:val="0"/>
                <w:sz w:val="16"/>
                <w:szCs w:val="16"/>
                <w:shd w:val="clear" w:fill="F3F4F6"/>
              </w:rPr>
            </w:rPrChange>
          </w:rPr>
          <w:t>The Approx. RI (Approximate Recovery Index) is a study-defined composite score that summarizes CellOracle in silico perturbation direction and group-matched state-rewiring potency. It integrates four components derived from CellOracle state-shift outputs: (i) mean net shift, reflecting perturbation magnitude beyond randomized control; (ii) group selectivity, reflecting preferential perturbation of the expected target group over the opposite group; (iii) coherence of the average shift vector, reflecting directionality versus diffuseness; and (iv) a direction-agreement factor, reflecting concordance between the expected regulon effect group and the higher-expression group. The composite formula is: Approx. RI = mean_net_shift_overall × (1 + group_selectivity) × (1 + coherence_target_group) × direction_agreement_factor, where direction_agreement_factor equals 1.0 when the expected regulon effect group matches the expected higher-expression group, and 0.75 otherwise. Because the factors are multiplied after additive offsets, Approx. RI is non-negative and unbounded above. It is intended only for within-pipeline candidate comparison; it is not a normalized probability, percentage recovery, or cosine similarity, and absolute values should not be compared across datasets without applying the same preprocessing and scoring scheme. THRB achieved the highest value for this index, indicating the strongest combination of the four score components among the candidates evaluated. It should be noted that both CellOracle outputs and the Approx. RI are computational perturbation results and cannot substitute for experimental perturbation or spatial localization evidence. The value of this index lies in helping to distinguish factors that "induce a large overall state displacement" from those whose "perturbation direction is more aligned with the internal-control-side state," rather than providing direct proof of cell-state recovery or clinical functional improvement.</w:t>
        </w:r>
      </w:ins>
      <w:del w:id="37" w:author="Dream" w:date="2026-07-30T00:50:39Z">
        <w:r>
          <w:rPr>
            <w:rFonts w:ascii="Times New Roman" w:hAnsi="Times New Roman" w:eastAsia="宋体"/>
            <w:sz w:val="24"/>
          </w:rPr>
          <w:delText>The Approx. RI (Approximate Recovery Index) is a study-defined composite score that summarizes CellOracle in silico perturbation direction and group-matched state-rewiring potency. It integrates four components derived from CellOracle state-shift outputs: (i) mean net shift, reflecting perturbation magnitude beyond randomized control; (ii) group selectivity, reflecting preferential perturbation of the expected target group over the opposite group; (iii) coherence of the average shift vector, reflecting directionality versus diffuseness; and (iv) a direction-agreement factor, reflecting concordance between the expected regulon effect group and the higher-expression group. The composite formula is:
Approx. RI = mean_net_shift_overall × (1 + group_selectivity) × (1 + coherence_target_group) × direction_agreement_factor
where direction_agreement_factor equals 1.0 when the expected regulon effect group matches the expected higher-expression group, and 0.75 otherwise. It should be noted that both CellOracle outputs and the Approx. RI are computational perturbation results and cannot substitute for experimental perturbation or spatial localization evidence. The value of this index lies in helping to distinguish factors that induce a large overall state displacement from those whose perturbation direction is more consistent with the internal-control-side state, rather than providing direct proof of cell-state recovery or clinical functional improvement.</w:delText>
        </w:r>
      </w:del>
    </w:p>
    <w:p w14:paraId="30403B7A">
      <w:pPr>
        <w:jc w:val="both"/>
        <w:rPr>
          <w:del w:id="38" w:author="Dream" w:date="2026-07-25T13:52:57Z"/>
        </w:rPr>
      </w:pPr>
      <w:del w:id="39" w:author="Dream" w:date="2026-07-25T13:52:57Z">
        <w:r>
          <w:rPr/>
          <w:delText>The Approx. RI is the metric used in this study to measure the alignment between the perturbation direction and the internal-control reference direction. THRB achieved the highest value for this index, suggesting that its perturbation direction is more closely aligned with an internal-control-associated state. It should be noted that both CellOracle outputs and the Approx. RI are computational perturbation results and cannot substitute for experimental perturbation or spatial localization evidence. The value of this index lies in helping to distinguish factors that "induce a large overall state displacement" from those whose "perturbation direction is more aligned with the internal-control-side state," rather than providing direct proof of cell-state recovery or clinical functional improvement.</w:delText>
        </w:r>
      </w:del>
    </w:p>
    <w:p w14:paraId="1DFBD525">
      <w:pPr>
        <w:pStyle w:val="4"/>
        <w:jc w:val="both"/>
        <w:rPr>
          <w:rFonts w:ascii="Times New Roman" w:hAnsi="Times New Roman" w:eastAsia="黑体" w:cstheme="minorBidi"/>
          <w:b w:val="0"/>
          <w:bCs w:val="0"/>
          <w:color w:val="auto"/>
          <w:sz w:val="21"/>
          <w:szCs w:val="21"/>
          <w:lang w:val="en-US" w:eastAsia="en-US" w:bidi="ar-SA"/>
        </w:rPr>
      </w:pPr>
      <w:r>
        <w:t>Supportive evidence and exploratory analyses</w:t>
      </w:r>
    </w:p>
    <w:p w14:paraId="4BC3A3F3">
      <w:pPr>
        <w:jc w:val="both"/>
      </w:pPr>
      <w:r>
        <w:rPr>
          <w:rFonts w:ascii="Times New Roman" w:hAnsi="Times New Roman" w:eastAsia="黑体" w:cstheme="minorBidi"/>
          <w:b w:val="0"/>
          <w:bCs w:val="0"/>
          <w:color w:val="auto"/>
          <w:sz w:val="21"/>
          <w:szCs w:val="21"/>
          <w:lang w:val="en-US" w:eastAsia="en-US" w:bidi="ar-SA"/>
        </w:rPr>
        <w:t xml:space="preserve">GSE140393 </w:t>
      </w:r>
      <w:r>
        <w:rPr>
          <w:lang w:val="en-US" w:eastAsia="en-US"/>
        </w:rPr>
        <w:t xml:space="preserve">and </w:t>
      </w:r>
      <w:r>
        <w:rPr>
          <w:rFonts w:ascii="Times New Roman" w:hAnsi="Times New Roman" w:eastAsia="黑体" w:cstheme="minorBidi"/>
          <w:b w:val="0"/>
          <w:bCs w:val="0"/>
          <w:color w:val="auto"/>
          <w:sz w:val="21"/>
          <w:szCs w:val="21"/>
          <w:lang w:val="en-US" w:eastAsia="en-US" w:bidi="ar-SA"/>
        </w:rPr>
        <w:t>GSE190452 provided external expression- and gene-set-level support for the proposed tran</w:t>
      </w:r>
      <w:r>
        <w:t>scription factors and their associated gene sets. GSE140393 corresponds to an FCD II lesion astrocyte expression context, while GSE190452 corresponds to a temporal lobe epilepsy versus control disease context. The two datasets are not fully aligned with the discovery dataset in terms of disease type, sample structure, and data layer; they were therefore primarily used to supplement the expression and gene set information of the proposed programs in related disease backgrounds, rather than serving as a formal regulon-level replication. The description of vascular and microenvironment abnormalities in FCDIIb lesions by Fang et al. also provides a same-disease context for the local lesional microenvironment remodeling examined in this study [37]; however, that study did not provide the conditions for a direct regulon-level replication in astrocytes.</w:t>
      </w:r>
    </w:p>
    <w:p w14:paraId="52DCE942">
      <w:pPr>
        <w:jc w:val="both"/>
        <w:rPr>
          <w:ins w:id="40" w:author="Dream" w:date="2026-07-25T14:07:14Z"/>
        </w:rPr>
      </w:pPr>
      <w:r>
        <w:rPr>
          <w:rFonts w:ascii="Times New Roman" w:hAnsi="Times New Roman" w:eastAsia="宋体"/>
          <w:sz w:val="21"/>
          <w:rPrChange w:id="41" w:author="Dream" w:date="2026-07-29T23:21:55Z">
            <w:rPr>
              <w:rFonts w:ascii="Times New Roman" w:hAnsi="Times New Roman" w:eastAsia="宋体"/>
              <w:sz w:val="24"/>
            </w:rPr>
          </w:rPrChange>
        </w:rPr>
        <w:t>The drug-signature enrichment connects the proposed regulatory programs to pharmacological perturbation signatures, and this module is organized based on the overlap between proposed gene sets and DSigDB drug perturbation signatures, combined with SwissADME pharmacokinetic and blood–brain barrier permeability annotations [22–25]. Within this exploratory, hypothesis-generating framework, rapamycin (sirolimus) stands out as the candidate with the most direct translational potential: it was the only compound reaching the enrichment threshold (FDR = 0.0236) that belongs to the rapalog class already in clinical evaluation for treatment-resistant epilepsy in related mTORopathies [38]. Nevertheless, the clinical evidence for rapamycin specifically in FCD II remains limited to small case series with modest sample sizes, and it is therefore not possible to draw firm conclusions from these data alone. By contrast, the strongest computational hit, the pan-PI3K inhibitor GDC-0941 (pictilisib; FDR = 0.0009), reflects an enrichment signal with no clinical feasibility data in FCD II and is unlikely to be directly actionable in this setting. Taken together, the present drug module is strictly hypothesis-generating: it nominates rapamycin as the most plausible candidate for future investigation, but its therapeutic relevance awaits confirmation in larger, well-powered prospective clinical trials.</w:t>
      </w:r>
      <w:ins w:id="42" w:author="Dream" w:date="2026-07-30T00:50:12Z">
        <w:r>
          <w:rPr>
            <w:rFonts w:hint="eastAsia" w:ascii="Times New Roman" w:hAnsi="Times New Roman" w:eastAsia="宋体"/>
            <w:sz w:val="21"/>
          </w:rPr>
          <w:t/>
        </w:r>
      </w:ins>
      <w:del w:id="43" w:author="Dream" w:date="2026-07-30T00:50:12Z">
        <w:r>
          <w:rPr>
            <w:rFonts w:ascii="Times New Roman" w:hAnsi="Times New Roman" w:eastAsia="宋体"/>
            <w:sz w:val="21"/>
            <w:rPrChange w:id="44" w:author="Dream" w:date="2026-07-29T23:21:55Z">
              <w:rPr>
                <w:rFonts w:ascii="Times New Roman" w:hAnsi="Times New Roman" w:eastAsia="宋体"/>
                <w:sz w:val="24"/>
              </w:rPr>
            </w:rPrChange>
          </w:rPr>
          <w:delText>identifies translational leads with direct relevance to FCD II clinical management</w:delText>
        </w:r>
      </w:del>
    </w:p>
    <w:p w14:paraId="41BFFCC0">
      <w:pPr>
        <w:jc w:val="both"/>
        <w:rPr>
          <w:ins w:id="47" w:author="Dream" w:date="2026-07-25T14:08:21Z"/>
          <w:rFonts w:ascii="Times New Roman" w:hAnsi="Times New Roman" w:eastAsia="黑体" w:cstheme="minorBidi"/>
          <w:i w:val="0"/>
          <w:iCs w:val="0"/>
          <w:caps w:val="0"/>
          <w:color w:val="auto"/>
          <w:spacing w:val="0"/>
          <w:sz w:val="21"/>
          <w:szCs w:val="21"/>
          <w:shd w:val="clear" w:fill="auto"/>
          <w:rPrChange w:id="48" w:author="Dream" w:date="2026-07-26T01:06:24Z">
            <w:rPr>
              <w:ins w:id="49" w:author="Dream" w:date="2026-07-25T14:08:21Z"/>
              <w:rFonts w:ascii="Cambria" w:hAnsi="Cambria" w:eastAsia="Cambria" w:cs="Cambria"/>
              <w:i w:val="0"/>
              <w:iCs w:val="0"/>
              <w:caps w:val="0"/>
              <w:color w:val="1F2937"/>
              <w:spacing w:val="0"/>
              <w:sz w:val="16"/>
              <w:szCs w:val="16"/>
              <w:shd w:val="clear" w:fill="F3F4F6"/>
            </w:rPr>
          </w:rPrChange>
        </w:rPr>
      </w:pPr>
      <w:ins w:id="50" w:author="Dream" w:date="2026-07-25T14:08:19Z">
        <w:r>
          <w:rPr>
            <w:rFonts w:ascii="Times New Roman" w:hAnsi="Times New Roman" w:eastAsia="黑体" w:cstheme="minorBidi"/>
            <w:i w:val="0"/>
            <w:iCs w:val="0"/>
            <w:caps w:val="0"/>
            <w:color w:val="auto"/>
            <w:spacing w:val="0"/>
            <w:sz w:val="21"/>
            <w:szCs w:val="21"/>
            <w:shd w:val="clear" w:fill="auto"/>
            <w:rPrChange w:id="51" w:author="Dream" w:date="2026-07-25T14:08:30Z">
              <w:rPr>
                <w:rFonts w:ascii="Cambria" w:hAnsi="Cambria" w:eastAsia="Cambria" w:cs="Cambria"/>
                <w:i w:val="0"/>
                <w:iCs w:val="0"/>
                <w:caps w:val="0"/>
                <w:color w:val="1F2937"/>
                <w:spacing w:val="0"/>
                <w:sz w:val="16"/>
                <w:szCs w:val="16"/>
                <w:shd w:val="clear" w:fill="F3F4F6"/>
              </w:rPr>
            </w:rPrChange>
          </w:rPr>
          <w:t xml:space="preserve">A notable translational observation is the convergence between the NFE2L2-associated lesion program and the mTOR signaling pathway. FCD II is molecularly defined by somatic or germline mutations in MTOR and related genes that lead to mTOR pathway hyperactivation [4,5], and </w:t>
        </w:r>
      </w:ins>
      <w:ins w:id="52" w:author="Dream" w:date="2026-07-29T23:31:04Z">
        <w:r>
          <w:rPr>
            <w:rFonts w:hint="eastAsia" w:ascii="Times New Roman" w:hAnsi="Times New Roman" w:eastAsia="黑体" w:cstheme="minorBidi"/>
            <w:i w:val="0"/>
            <w:iCs w:val="0"/>
            <w:caps w:val="0"/>
            <w:color w:val="auto"/>
            <w:spacing w:val="0"/>
            <w:sz w:val="21"/>
            <w:szCs w:val="21"/>
            <w:shd w:val="clear" w:fill="auto"/>
          </w:rPr>
          <w:t>mTOR inhibitors such as everolimus and sirolimus are an emerging pharmacological strategy explored for drug-resistant FCD II and related mTORopathies, with everolimus approved for TSC-associated seizures [38] and a recent phase II trial in FCD II showing subpopulation response in MTOR-variant patients [40].</w:t>
        </w:r>
      </w:ins>
      <w:ins w:id="53" w:author="Dream" w:date="2026-07-25T14:08:19Z">
        <w:r>
          <w:rPr>
            <w:rFonts w:ascii="Times New Roman" w:hAnsi="Times New Roman" w:eastAsia="黑体" w:cstheme="minorBidi"/>
            <w:i w:val="0"/>
            <w:iCs w:val="0"/>
            <w:caps w:val="0"/>
            <w:color w:val="auto"/>
            <w:spacing w:val="0"/>
            <w:sz w:val="21"/>
            <w:szCs w:val="21"/>
            <w:shd w:val="clear" w:fill="auto"/>
            <w:rPrChange w:id="54" w:author="Dream" w:date="2026-07-25T14:08:30Z">
              <w:rPr>
                <w:rFonts w:ascii="Cambria" w:hAnsi="Cambria" w:eastAsia="Cambria" w:cs="Cambria"/>
                <w:i w:val="0"/>
                <w:iCs w:val="0"/>
                <w:caps w:val="0"/>
                <w:color w:val="1F2937"/>
                <w:spacing w:val="0"/>
                <w:sz w:val="16"/>
                <w:szCs w:val="16"/>
                <w:shd w:val="clear" w:fill="F3F4F6"/>
              </w:rPr>
            </w:rPrChange>
          </w:rPr>
          <w:t xml:space="preserve"> KEGG pathway enrichment of the NFE2L2 regulon target gene set showed significant enrichment for the mTOR signaling pathway (FDR = 0.013), with overlap genes including RICTOR, a core component of the mTORC2 complex, and MIOS, a component of the GATOR2 complex upstream of mTORC1, alongside GRB2, MAP2K1, PRKCA, and LPIN2. These results indicate that the NFE2L2-driven stress-adaptation program in lesion-side astrocytes is connected to mTOR pathway components, providing a regulatory link between the lesion-side transcriptional program and the core </w:t>
        </w:r>
      </w:ins>
      <w:ins w:id="55" w:author="Dream" w:date="2026-07-25T14:08:19Z">
        <w:r>
          <w:rPr>
            <w:rFonts w:ascii="Times New Roman" w:hAnsi="Times New Roman" w:eastAsia="黑体" w:cstheme="minorBidi"/>
            <w:i w:val="0"/>
            <w:iCs w:val="0"/>
            <w:caps w:val="0"/>
            <w:color w:val="auto"/>
            <w:spacing w:val="0"/>
            <w:sz w:val="21"/>
            <w:szCs w:val="21"/>
            <w:shd w:val="clear" w:fill="auto"/>
            <w:rPrChange w:id="56" w:author="Dream" w:date="2026-07-26T01:06:24Z">
              <w:rPr>
                <w:rFonts w:ascii="Cambria" w:hAnsi="Cambria" w:eastAsia="Cambria" w:cs="Cambria"/>
                <w:i w:val="0"/>
                <w:iCs w:val="0"/>
                <w:caps w:val="0"/>
                <w:color w:val="1F2937"/>
                <w:spacing w:val="0"/>
                <w:sz w:val="16"/>
                <w:szCs w:val="16"/>
                <w:shd w:val="clear" w:fill="F3F4F6"/>
              </w:rPr>
            </w:rPrChange>
          </w:rPr>
          <w:t>pathological pathway of FCD II.</w:t>
        </w:r>
      </w:ins>
      <w:del w:id="57" w:author="Dream" w:date="2026-07-29T23:21:37Z">
        <w:r>
          <w:rPr>
            <w:rFonts w:ascii="Times New Roman" w:hAnsi="Times New Roman" w:eastAsia="黑体"/>
            <w:color w:val="auto"/>
            <w:sz w:val="21"/>
            <w:shd w:val="clear" w:fill="auto"/>
            <w:rPrChange w:id="58" w:author="Dream" w:date="2026-07-26T01:06:24Z">
              <w:rPr>
                <w:rFonts w:ascii="Times New Roman" w:hAnsi="Times New Roman" w:eastAsia="宋体"/>
                <w:sz w:val="24"/>
              </w:rPr>
            </w:rPrChange>
          </w:rPr>
          <w:delText>A notable translational observation is the convergence between the NFE2L2-associated lesion program and the mTOR signaling pathway. FCD II is molecularly defined by somatic or germline mutations in MTOR and related genes that lead to mTOR pathway hyperactivation [4,5], and mTOR inhibitors such as everolimus and sirolimus are the most actively explored pharmacological strategy for drug-resistant FCD II and related mTORopathies [38]. KEGG pathway enrichment of the NFE2L2 regulon target gene set showed significant enrichment for the mTOR signaling pathway (FDR = 0.013), with overlap genes including RICTOR, a core component of the mTORC2 complex, and MIOS, a component of the GATOR2 complex upstream of mTORC1, alongside GRB2, MAP2K1, PRKCA, and LPIN2. These results indicate that the NFE2L2-driven stress-adaptation program in lesion-side astrocytes is connected to mTOR pathway components, providing a regulatory link between the lesion-side transcriptional program and the core pathological pathway of FCD II.</w:delText>
        </w:r>
      </w:del>
    </w:p>
    <w:p w14:paraId="1763AB31">
      <w:pPr>
        <w:jc w:val="both"/>
        <w:rPr>
          <w:rFonts w:ascii="Times New Roman" w:hAnsi="Times New Roman" w:eastAsia="黑体" w:cstheme="minorBidi"/>
          <w:i w:val="0"/>
          <w:iCs w:val="0"/>
          <w:caps w:val="0"/>
          <w:color w:val="auto"/>
          <w:spacing w:val="0"/>
          <w:sz w:val="21"/>
          <w:szCs w:val="21"/>
          <w:shd w:val="clear" w:fill="auto"/>
          <w:rPrChange w:id="59" w:author="Dream" w:date="2026-07-26T01:06:35Z">
            <w:rPr>
              <w:rFonts w:ascii="Cambria" w:hAnsi="Cambria" w:eastAsia="Cambria" w:cs="Cambria"/>
              <w:i w:val="0"/>
              <w:iCs w:val="0"/>
              <w:caps w:val="0"/>
              <w:color w:val="1F2937"/>
              <w:spacing w:val="0"/>
              <w:sz w:val="16"/>
              <w:szCs w:val="16"/>
              <w:shd w:val="clear" w:fill="F3F4F6"/>
            </w:rPr>
          </w:rPrChange>
        </w:rPr>
      </w:pPr>
      <w:ins w:id="60" w:author="Dream" w:date="2026-07-25T14:08:27Z">
        <w:r>
          <w:rPr>
            <w:rFonts w:ascii="Times New Roman" w:hAnsi="Times New Roman" w:eastAsia="黑体" w:cstheme="minorBidi"/>
            <w:i w:val="0"/>
            <w:iCs w:val="0"/>
            <w:caps w:val="0"/>
            <w:color w:val="auto"/>
            <w:spacing w:val="0"/>
            <w:sz w:val="21"/>
            <w:szCs w:val="21"/>
            <w:shd w:val="clear" w:fill="auto"/>
            <w:rPrChange w:id="61" w:author="Dream" w:date="2026-07-25T14:08:30Z">
              <w:rPr>
                <w:rFonts w:ascii="Cambria" w:hAnsi="Cambria" w:eastAsia="Cambria" w:cs="Cambria"/>
                <w:i w:val="0"/>
                <w:iCs w:val="0"/>
                <w:caps w:val="0"/>
                <w:color w:val="1F2937"/>
                <w:spacing w:val="0"/>
                <w:sz w:val="16"/>
                <w:szCs w:val="16"/>
                <w:shd w:val="clear" w:fill="F3F4F6"/>
              </w:rPr>
            </w:rPrChange>
          </w:rPr>
          <w:t xml:space="preserve">Consistent with this pathway-level convergence, drug-signature enrichment analysis identified the mTOR inhibitor rapamycin (sirolimus) as significantly enriched within the NFE2L2 regulon target gene set (FDR = 0.024), with overlap genes including RICTOR, MAP2K1, PRKCA, MYC, NFKB1, and STAT3; everolimus and temsirolimus showed a consistent trend. Reciprocal crosstalk between Nrf2/NFE2L2 and mTOR signaling has been documented in other systems, where mTORC1 activity regulates Nrf2-dependent transcriptional programs while Nrf2 modulates autophagic and metabolic outputs of the mTOR axis [39]. </w:t>
        </w:r>
      </w:ins>
      <w:ins w:id="62" w:author="Dream" w:date="2026-07-29T23:36:26Z">
        <w:r>
          <w:rPr>
            <w:rFonts w:hint="eastAsia" w:ascii="Times New Roman" w:hAnsi="Times New Roman" w:eastAsia="黑体" w:cstheme="minorBidi"/>
            <w:i w:val="0"/>
            <w:iCs w:val="0"/>
            <w:caps w:val="0"/>
            <w:color w:val="auto"/>
            <w:spacing w:val="0"/>
            <w:sz w:val="21"/>
            <w:szCs w:val="21"/>
            <w:shd w:val="clear" w:fill="auto"/>
          </w:rPr>
          <w:t>Together, these results connect the NFE2L2 lesion axis to the mTOR pathway and to mTOR inhibitors under clinical investigation for FCD II and related mTORopathies [38,40], supporting the NFE2L2 program as a candidate biological context for interpreting pharmacological responses to mTOR-targeted therapy.</w:t>
        </w:r>
      </w:ins>
      <w:ins w:id="63" w:author="Dream" w:date="2026-07-25T14:08:27Z">
        <w:r>
          <w:rPr>
            <w:rFonts w:ascii="Times New Roman" w:hAnsi="Times New Roman" w:eastAsia="黑体" w:cstheme="minorBidi"/>
            <w:i w:val="0"/>
            <w:iCs w:val="0"/>
            <w:caps w:val="0"/>
            <w:color w:val="auto"/>
            <w:spacing w:val="0"/>
            <w:sz w:val="21"/>
            <w:szCs w:val="21"/>
            <w:shd w:val="clear" w:fill="auto"/>
            <w:rPrChange w:id="64" w:author="Dream" w:date="2026-07-25T14:08:30Z">
              <w:rPr>
                <w:rFonts w:ascii="Cambria" w:hAnsi="Cambria" w:eastAsia="Cambria" w:cs="Cambria"/>
                <w:i w:val="0"/>
                <w:iCs w:val="0"/>
                <w:caps w:val="0"/>
                <w:color w:val="1F2937"/>
                <w:spacing w:val="0"/>
                <w:sz w:val="16"/>
                <w:szCs w:val="16"/>
                <w:shd w:val="clear" w:fill="F3F4F6"/>
              </w:rPr>
            </w:rPrChange>
          </w:rPr>
          <w:t xml:space="preserve"/>
        </w:r>
      </w:ins>
      <w:ins w:id="65" w:author="Dream" w:date="2026-07-25T14:08:27Z">
        <w:r>
          <w:rPr>
            <w:rFonts w:ascii="Times New Roman" w:hAnsi="Times New Roman" w:eastAsia="黑体" w:cstheme="minorBidi"/>
            <w:i w:val="0"/>
            <w:iCs w:val="0"/>
            <w:caps w:val="0"/>
            <w:color w:val="auto"/>
            <w:spacing w:val="0"/>
            <w:sz w:val="21"/>
            <w:szCs w:val="21"/>
            <w:shd w:val="clear" w:fill="auto"/>
            <w:rPrChange w:id="66" w:author="Dream" w:date="2026-07-26T01:06:35Z">
              <w:rPr>
                <w:rFonts w:ascii="Cambria" w:hAnsi="Cambria" w:eastAsia="Cambria" w:cs="Cambria"/>
                <w:i w:val="0"/>
                <w:iCs w:val="0"/>
                <w:caps w:val="0"/>
                <w:color w:val="1F2937"/>
                <w:spacing w:val="0"/>
                <w:sz w:val="16"/>
                <w:szCs w:val="16"/>
                <w:shd w:val="clear" w:fill="F3F4F6"/>
              </w:rPr>
            </w:rPrChange>
          </w:rPr>
          <w:t/>
        </w:r>
      </w:ins>
      <w:del w:id="67" w:author="Dream" w:date="2026-07-29T23:31:45Z">
        <w:r>
          <w:rPr>
            <w:rFonts w:ascii="Times New Roman" w:hAnsi="Times New Roman" w:eastAsia="宋体"/>
            <w:sz w:val="21"/>
            <w:rPrChange w:id="68" w:author="Dream" w:date="2026-07-26T01:06:35Z">
              <w:rPr>
                <w:rFonts w:ascii="Times New Roman" w:hAnsi="Times New Roman" w:eastAsia="宋体"/>
                <w:sz w:val="24"/>
              </w:rPr>
            </w:rPrChange>
          </w:rPr>
          <w:delText>Consistent with this pathway-level convergence, drug-signature enrichment analysis identified a coherent set of mTOR/PI3K/AKT pathway compounds within the NFE2L2 regulon target gene set. The pan-PI3K inhibitor GDC-0941 (pictilisib) showed the strongest enrichment (FDR = 0.0009, 28 overlap genes), the AMPK activator metformin reached FDR = 0.0018, and the mTOR inhibitor rapamycin (sirolimus) reached FDR = 0.024 with overlap genes including RICTOR, MAP2K1, PRKCA, MYC, and NFKB1; the rapalogs temsirolimus and everolimus showed consistent enrichment trends. Reciprocal crosstalk between Nrf2/NFE2L2 and mTOR signaling has been documented in other systems, where mTORC1 activity regulates Nrf2-dependent transcriptional programs while Nrf2 modulates autophagic and metabolic outputs of the mTOR axis [39]. Together, these results connect the NFE2L2 lesion axis to the mTOR pathway and to mTOR inhibitors under clinical investigation for FCD II and related mTORopathies [38], supporting the NFE2L2 program as a candidate biological context for interpreting pharmacological responses to mTOR-targeted therapy.</w:delText>
        </w:r>
      </w:del>
    </w:p>
    <w:p w14:paraId="797FCD53">
      <w:pPr>
        <w:pStyle w:val="4"/>
        <w:jc w:val="both"/>
      </w:pPr>
      <w:r>
        <w:t>Limitations and future directions</w:t>
      </w:r>
    </w:p>
    <w:p w14:paraId="445C8B76">
      <w:pPr>
        <w:jc w:val="both"/>
      </w:pPr>
      <w:r>
        <w:t>This study has three main limitations. First, the discovery object comprised only four biological samples from two donors, and the currently available external data do not yet provide conditions for same-disease, same-level astrocyte regulon replication; therefore, the sample-level robustness and supportive external analyses cannot substitute for large-scale independent replication. Second, this study performed regulon activity and in silico perturbation analyses using pySCENIC and CellOracle, and has not yet incorporated SCENIC+ enhancer-driven GRN, spatial transcriptomics, or experimental perturbation systems; consequently, the proposed regulatory axes still require validation at the tissue-spatial and functional levels. Third, the regulon target gene sets of THRB and SOX2 are relatively small, and the drug-signature module is based solely on gene-set perturbation signatures and pharmacokinetic predictions; interpretations of these findings should therefore avoid over-extrapolation.</w:t>
      </w:r>
    </w:p>
    <w:p w14:paraId="5C58D332">
      <w:pPr>
        <w:jc w:val="both"/>
      </w:pPr>
      <w:r>
        <w:t>Future studies should prioritize replicating this asymmetric NFE2L2–THRB architecture in larger, independent single-cell or single-nucleus datasets of FCD II astrocytes and integrate spatial transcriptomics or in situ detection to define the spatial distribution of these programs in the lesion core, perilesional zones, and internal-control tissues. Further cell-based models, lesional tissue validation, and transcription factor perturbation experiments will help determine whether the NFE2L2-associated stress-adaptation program and the THRB-associated homeostatic-support program genuinely contribute to the maintenance of the FCD II epileptic focus microenvironment.</w:t>
      </w:r>
    </w:p>
    <w:p w14:paraId="23A5BA26">
      <w:pPr>
        <w:pStyle w:val="3"/>
        <w:jc w:val="both"/>
      </w:pPr>
      <w:r>
        <w:t>Conclusions</w:t>
      </w:r>
    </w:p>
    <w:p w14:paraId="47F26188">
      <w:pPr>
        <w:jc w:val="both"/>
      </w:pPr>
      <w:r>
        <w:t>Based on publicly available single-cell data, this study prioritized two candidate regulatory programs with opposing directional biases in FCD II astrocytes. A lesion-associated stress-response and transcriptional-reprogramming program was represented by NFE2L2, whereas an internal-control-associated homeostatic, synaptic, and calcium-signaling support program was represented by THRB.</w:t>
      </w:r>
    </w:p>
    <w:p w14:paraId="2C188946">
      <w:pPr>
        <w:jc w:val="both"/>
      </w:pPr>
      <w:r>
        <w:rPr>
          <w:rFonts w:ascii="Times New Roman" w:hAnsi="Times New Roman" w:eastAsia="宋体"/>
          <w:sz w:val="21"/>
          <w:rPrChange w:id="69" w:author="Dream" w:date="2026-07-26T01:06:48Z">
            <w:rPr>
              <w:rFonts w:ascii="Times New Roman" w:hAnsi="Times New Roman" w:eastAsia="宋体"/>
              <w:sz w:val="24"/>
            </w:rPr>
          </w:rPrChange>
        </w:rPr>
        <w:t>These findings suggest that astrocytes within the FCD II epileptic focus may simultaneously harbor lesion-adaptive responses and a relatively preserved homeostatic support state. Future studies should validate the spatial distribution and functional roles of the NFE2L2- and THRB-associated programs in independent same-disease datasets, spatial localization analyses, and experimental perturbation models. Finally, drug-signature enrichment connected the NFE2L2 program to mTOR/PI3K pathway inhibitors with exploratory clinical evaluation in related mTORopathies. This gene-set association is strictly hypothesis-generating, and its therapeutic relevance requires functional confirmation.</w:t>
      </w:r>
    </w:p>
    <w:p w14:paraId="07F7E028">
      <w:pPr>
        <w:pStyle w:val="3"/>
        <w:jc w:val="both"/>
      </w:pPr>
      <w:r>
        <w:t>Declarations</w:t>
      </w:r>
    </w:p>
    <w:p w14:paraId="6EF5793B">
      <w:pPr>
        <w:pStyle w:val="4"/>
        <w:jc w:val="both"/>
      </w:pPr>
      <w:r>
        <w:t>Ethics approval and consent to participate</w:t>
      </w:r>
    </w:p>
    <w:p w14:paraId="7076580C">
      <w:pPr>
        <w:jc w:val="both"/>
      </w:pPr>
      <w:r>
        <w:t>This study is a secondary analysis based entirely on publicly available, de-identified single-cell and single-nucleus transcriptomic data from previously published studies. The original studies have reported the corresponding ethical approval and informed consent procedures. No new participant recruitment, tissue sample collection, or collection of identifiable personal information was conducted in this study; therefore, no additional ethical approval was required.</w:t>
      </w:r>
    </w:p>
    <w:p w14:paraId="2F6CD114">
      <w:pPr>
        <w:pStyle w:val="4"/>
        <w:jc w:val="both"/>
      </w:pPr>
      <w:r>
        <w:t>Consent for publication</w:t>
      </w:r>
    </w:p>
    <w:p w14:paraId="40963ED7">
      <w:pPr>
        <w:jc w:val="both"/>
      </w:pPr>
      <w:r>
        <w:t>Not applicable. This study contains no individually identifiable data, images, videos, or clinical case information.</w:t>
      </w:r>
    </w:p>
    <w:p w14:paraId="11F635E4">
      <w:pPr>
        <w:pStyle w:val="4"/>
        <w:jc w:val="both"/>
      </w:pPr>
      <w:r>
        <w:t>Availability of data and materials</w:t>
      </w:r>
    </w:p>
    <w:p w14:paraId="084BA9C6">
      <w:pPr>
        <w:jc w:val="both"/>
      </w:pPr>
      <w:r>
        <w:t>Dataset roles and excluded resources are audited in Additional file 16. This study used publicly available datasets from the Gene Expression Omnibus, including GSE268807, GSE140393, and GSE190452. Fang 2025 / HRA010445 was used solely as published background evidence; the controlled-access raw matrices from that source were not included in the analysis. Processed summary tables, figure-generation input files, and materials for reproducing the results of this study are available in the accompanying GitHub repository: https://github.com/vermouth-SVG/fcdii-astrocyte-regulon-perturbation (submission release v0.3.0-submission; AUTHOR_INPUT_NEEDED: add a persistent Zenodo DOI if used). Large raw single-cell matrices, large intermediate objects, cisTarget ranking databases, motif annotation files, and other third-party resources are not redistributed in this repository and should be obtained in accordance with the access terms and licensing requirements of the original data repositories or database providers.</w:t>
      </w:r>
    </w:p>
    <w:p w14:paraId="67F24718">
      <w:pPr>
        <w:pStyle w:val="4"/>
        <w:jc w:val="both"/>
      </w:pPr>
      <w:r>
        <w:t>Code availability</w:t>
      </w:r>
    </w:p>
    <w:p w14:paraId="1CF4A246">
      <w:pPr>
        <w:jc w:val="both"/>
      </w:pPr>
      <w:r>
        <w:t>The analysis code supporting this study is available in the GitHub repository https://github.com/vermouth-SVG/fcdii-astrocyte-regulon-perturbation (submission release v0.3.0-submission; MIT License). The repository contains analysis scripts, configuration files, processed outputs, formal permutation-test outputs, figure-generation scripts, and reproduction instructions. The manuscript-level Python workflow is platform independent; full upstream reruns additionally require Docker, the documented public datasets, and external cisTarget resources. Recovered requirements are recorded in requirements.lock.txt. The MIT-licensed code has no restriction on non-academic use, whereas third-party data and resources remain governed by their source licenses.</w:t>
      </w:r>
    </w:p>
    <w:p w14:paraId="6625ADD1">
      <w:pPr>
        <w:pStyle w:val="4"/>
        <w:jc w:val="both"/>
      </w:pPr>
      <w:r>
        <w:t>Competing interests</w:t>
      </w:r>
    </w:p>
    <w:p w14:paraId="44F64197">
      <w:pPr>
        <w:jc w:val="both"/>
      </w:pPr>
      <w:r>
        <w:t>The authors declare that they have no competing interests.</w:t>
      </w:r>
    </w:p>
    <w:p w14:paraId="093BE32E">
      <w:pPr>
        <w:pStyle w:val="4"/>
        <w:jc w:val="both"/>
      </w:pPr>
      <w:r>
        <w:t>Funding</w:t>
      </w:r>
    </w:p>
    <w:p w14:paraId="64B063E7">
      <w:pPr>
        <w:jc w:val="both"/>
        <w:rPr>
          <w:del w:id="70" w:author="Dream" w:date="2026-07-26T01:06:58Z"/>
        </w:rPr>
      </w:pPr>
      <w:del w:id="71" w:author="Dream" w:date="2026-07-26T01:06:58Z">
        <w:r>
          <w:rPr>
            <w:rFonts w:ascii="Times New Roman" w:hAnsi="Times New Roman" w:eastAsia="宋体"/>
            <w:sz w:val="24"/>
          </w:rPr>
          <w:delText>This work was supported by [基金名称] (Grant No. [编号]) awarded to [姓名], and [基金名称] (Grant No. [编号]) awarded to [姓名]. The funders had no role in study design, data collection and analysis, decision to publish, or preparation of the manuscript.</w:delText>
        </w:r>
      </w:del>
    </w:p>
    <w:p w14:paraId="2578D488">
      <w:pPr>
        <w:pStyle w:val="4"/>
        <w:jc w:val="both"/>
        <w:rPr>
          <w:ins w:id="72" w:author="Dream" w:date="2026-07-26T01:06:58Z"/>
          <w:rFonts w:hint="default" w:eastAsia="黑体"/>
          <w:b w:val="0"/>
          <w:bCs w:val="0"/>
          <w:lang w:val="en-US" w:eastAsia="zh-CN"/>
          <w:rPrChange w:id="73" w:author="Dream" w:date="2026-07-26T01:07:10Z">
            <w:rPr>
              <w:ins w:id="74" w:author="Dream" w:date="2026-07-26T01:06:58Z"/>
              <w:rFonts w:hint="default" w:eastAsia="黑体"/>
              <w:lang w:val="en-US" w:eastAsia="zh-CN"/>
            </w:rPr>
          </w:rPrChange>
        </w:rPr>
      </w:pPr>
      <w:ins w:id="75" w:author="Dream" w:date="2026-07-26T01:07:02Z">
        <w:r>
          <w:rPr>
            <w:rFonts w:hint="eastAsia"/>
            <w:b w:val="0"/>
            <w:bCs w:val="0"/>
            <w:lang w:val="en-US" w:eastAsia="zh-CN"/>
            <w:rPrChange w:id="76" w:author="Dream" w:date="2026-07-26T01:07:10Z">
              <w:rPr>
                <w:rFonts w:hint="eastAsia"/>
                <w:lang w:val="en-US" w:eastAsia="zh-CN"/>
              </w:rPr>
            </w:rPrChange>
          </w:rPr>
          <w:t>[AUTHOR_INPUT_NEEDED: Provide the funder name and grant number, or state that this research received no specific grant from any funding agency.]</w:t>
        </w:r>
      </w:ins>
      <w:ins w:id="77" w:author="Dream" w:date="2026-07-26T01:07:05Z">
        <w:r>
          <w:rPr>
            <w:rFonts w:hint="eastAsia"/>
            <w:b w:val="0"/>
            <w:bCs w:val="0"/>
            <w:lang w:val="en-US" w:eastAsia="zh-CN"/>
            <w:rPrChange w:id="78" w:author="Dream" w:date="2026-07-26T01:07:10Z">
              <w:rPr>
                <w:rFonts w:hint="eastAsia"/>
                <w:lang w:val="en-US" w:eastAsia="zh-CN"/>
              </w:rPr>
            </w:rPrChange>
          </w:rPr>
          <w:t/>
        </w:r>
      </w:ins>
      <w:ins w:id="79" w:author="Dream" w:date="2026-07-26T01:07:02Z">
        <w:r>
          <w:rPr>
            <w:rFonts w:hint="eastAsia"/>
            <w:b w:val="0"/>
            <w:bCs w:val="0"/>
            <w:lang w:val="en-US" w:eastAsia="zh-CN"/>
            <w:rPrChange w:id="80" w:author="Dream" w:date="2026-07-26T01:07:10Z">
              <w:rPr>
                <w:rFonts w:hint="eastAsia"/>
                <w:lang w:val="en-US" w:eastAsia="zh-CN"/>
              </w:rPr>
            </w:rPrChange>
          </w:rPr>
          <w:t/>
        </w:r>
      </w:ins>
    </w:p>
    <w:p w14:paraId="251A9AFD">
      <w:pPr>
        <w:pStyle w:val="4"/>
        <w:jc w:val="both"/>
      </w:pPr>
      <w:r>
        <w:t>Authors' contributions</w:t>
      </w:r>
    </w:p>
    <w:p w14:paraId="4D4333DB">
      <w:pPr>
        <w:pStyle w:val="4"/>
        <w:jc w:val="both"/>
        <w:rPr>
          <w:ins w:id="81" w:author="Dream" w:date="2026-07-26T01:07:18Z"/>
          <w:rFonts w:hint="default" w:eastAsia="黑体"/>
          <w:b w:val="0"/>
          <w:bCs w:val="0"/>
          <w:lang w:val="en-US" w:eastAsia="zh-CN"/>
        </w:rPr>
      </w:pPr>
      <w:ins w:id="82" w:author="Dream" w:date="2026-07-26T01:07:18Z">
        <w:r>
          <w:rPr>
            <w:rFonts w:hint="eastAsia"/>
            <w:b w:val="0"/>
            <w:bCs w:val="0"/>
            <w:lang w:val="en-US" w:eastAsia="zh-CN"/>
          </w:rPr>
          <w:t>[AUTHOR_INPUT_NEEDED: Provide a CRediT contribution statement for every author and confirm that all authors approved the final manuscript.]</w:t>
        </w:r>
      </w:ins>
    </w:p>
    <w:p w14:paraId="54498FDA">
      <w:pPr>
        <w:jc w:val="both"/>
        <w:rPr>
          <w:del w:id="83" w:author="Dream" w:date="2026-07-26T01:07:18Z"/>
          <w:b/>
          <w:bCs/>
          <w:rPrChange w:id="84" w:author="Dream" w:date="2026-07-26T01:07:13Z">
            <w:rPr>
              <w:del w:id="85" w:author="Dream" w:date="2026-07-26T01:07:18Z"/>
            </w:rPr>
          </w:rPrChange>
        </w:rPr>
      </w:pPr>
      <w:del w:id="86" w:author="Dream" w:date="2026-07-26T01:07:18Z">
        <w:r>
          <w:rPr>
            <w:rFonts w:ascii="Times New Roman" w:hAnsi="Times New Roman" w:eastAsia="宋体"/>
            <w:b/>
            <w:bCs/>
            <w:sz w:val="24"/>
            <w:rPrChange w:id="87" w:author="Dream" w:date="2026-07-26T01:07:13Z">
              <w:rPr>
                <w:rFonts w:ascii="Times New Roman" w:hAnsi="Times New Roman" w:eastAsia="宋体"/>
                <w:sz w:val="24"/>
              </w:rPr>
            </w:rPrChange>
          </w:rPr>
          <w:delText>[作者A首字母缩写] conceived and designed the study, performed data analysis and interpretation, and drafted the manuscript. [作者B首字母缩写] contributed to data interpretation and critical revision of the manuscript. [作者C首字母缩写] supervised the project, provided resources, and critically revised the manuscript. All authors read and approved the final manuscript.</w:delText>
        </w:r>
      </w:del>
    </w:p>
    <w:p w14:paraId="0CBC7794">
      <w:pPr>
        <w:pStyle w:val="4"/>
        <w:jc w:val="both"/>
      </w:pPr>
      <w:r>
        <w:t>Acknowledgements</w:t>
      </w:r>
    </w:p>
    <w:p w14:paraId="3FB748FD">
      <w:pPr>
        <w:jc w:val="both"/>
      </w:pPr>
      <w:r>
        <w:t>Not applicable.</w:t>
      </w:r>
    </w:p>
    <w:p w14:paraId="74AE9734">
      <w:pPr>
        <w:pStyle w:val="4"/>
        <w:jc w:val="both"/>
      </w:pPr>
      <w:r>
        <w:t>Authors' information</w:t>
      </w:r>
    </w:p>
    <w:p w14:paraId="45EF190E">
      <w:pPr>
        <w:jc w:val="both"/>
      </w:pPr>
      <w:r>
        <w:t>Not applicable.</w:t>
      </w:r>
    </w:p>
    <w:p w14:paraId="3CCFC585">
      <w:pPr>
        <w:pStyle w:val="4"/>
        <w:jc w:val="both"/>
      </w:pPr>
      <w:r>
        <w:t>Use of artificial intelligence tools</w:t>
      </w:r>
    </w:p>
    <w:p w14:paraId="67759116">
      <w:pPr>
        <w:jc w:val="both"/>
      </w:pPr>
      <w:r>
        <w:t>During the preparation of this manuscript, the authors used artificial intelligence tools to assist with language polishing, grammar correction, and formatting. After using these tools, the authors reviewed and edited the content as needed and t</w:t>
      </w:r>
      <w:r>
        <w:rPr>
          <w:rFonts w:hint="eastAsia"/>
          <w:lang w:val="en-US" w:eastAsia="zh-CN"/>
        </w:rPr>
        <w:t>ook</w:t>
      </w:r>
      <w:r>
        <w:t xml:space="preserve"> full responsibility for all content in the manuscript.</w:t>
      </w:r>
    </w:p>
    <w:p w14:paraId="672E2056">
      <w:pPr>
        <w:pStyle w:val="3"/>
      </w:pPr>
      <w:r>
        <w:t>Additional files</w:t>
      </w:r>
    </w:p>
    <w:p w14:paraId="69E7F0F2">
      <w:r>
        <w:t>Additional file 1. Figure S1. Discovery object provenance and AUCell-matched input overview. (PDF)</w:t>
      </w:r>
    </w:p>
    <w:p w14:paraId="4C3BB1F1">
      <w:r>
        <w:t>Additional file 2. Figure S2. Full differential regulon landscape in the GSE268807 astrocyte pilot. (PDF)</w:t>
      </w:r>
    </w:p>
    <w:p w14:paraId="617911E2">
      <w:r>
        <w:t>Additional file 3. Table ST04. This table provides all-regulon differential statistics. Mean AUC difference is lesion minus internal-control; directions are sign-based and FDR reports statistical support. (XLSX)</w:t>
      </w:r>
    </w:p>
    <w:p w14:paraId="06104AEA">
      <w:r>
        <w:t>Additional file 4. Table ST02. This table lists TFs nominated from expression and regulon differential analyses, including primary, secondary, retained, supportive, and contextual TFs. (XLSX)</w:t>
      </w:r>
    </w:p>
    <w:p w14:paraId="1E993EAD">
      <w:r>
        <w:t>Additional file 5. Table ST03. This table provides numeric metrics underlying the integrated prioritization summarized in Main Table 2. Final priority is an interpretive category, not wet-lab evidence. (XLSX)</w:t>
      </w:r>
    </w:p>
    <w:p w14:paraId="6513AC9E">
      <w:r>
        <w:t>Additional file 6. Figure S3. Complete CellOracle in silico perturbation metrics and randomized-control assessment. Panels A-F report per-candidate perturbation metrics, mean shift / Approx. Recovery Index summaries, and simulated versus randomized vector fields. Panels G and H report the formal permutation tests (N = 10,000) supporting these results: G, paired observed-vs-randomized effect (mean paired difference) with observed values marked; H, group-specific directionality of the lesion-side versus internal-control-side mean perturbation vectors. For each candidate factor, permutation p &lt; 1e-4 with z-scores given in the figure. (PDF)</w:t>
      </w:r>
    </w:p>
    <w:p w14:paraId="7E3DAB45">
      <w:r>
        <w:t>Additional file 7. Table ST05. This table provides CellOracle simulated perturbation metrics, including mean shift and Approx. Recovery Index (Approx. RI). These metrics do not represent experimental perturbation evidence. (XLSX)</w:t>
      </w:r>
    </w:p>
    <w:p w14:paraId="5835005A">
      <w:r>
        <w:t>Additional file 8. Figure S4. Complete sample-level robustness and sensitivity analyses, including pseudobulk aggregation and leave-one-sample-out directions. (PDF)</w:t>
      </w:r>
    </w:p>
    <w:p w14:paraId="31C326A4">
      <w:r>
        <w:t>Additional file 9. Table ST06. This table summarizes leave-one-sample-out consistency, pseudobulk support, and threshold sensitivity metrics. These analyses evaluate sample-level robustness and do not substitute for donor-level replication. (XLSX)</w:t>
      </w:r>
    </w:p>
    <w:p w14:paraId="4A5288A3">
      <w:r>
        <w:t>Additional file 10. Figure S5. Supportive/contextual evidence from GSE140393 and GSE190452. (A) GSE140393 single-group expression-support heatmap across 5 samples for the four candidate TFs; (B) ranked single-group support score (NFE2L2: disease-side; THRB: partial internal-control-like; SOX2: partial / retained; BHLHE40: attenuated); (C) GSE190452 cross-syndrome expression vs. target-set support scatter (THRB, BHLHE40, SOX2, NFE2L2); (D) GSE190452 cluster-level directionally-signed expression-support heatmap across 32 clusters. Conservative interpretation: NFE2L2 shows consistent disease-side support; THRB shows partial internal-control-like support; SOX2 and BHLHE40 show only partial / attenuated support. All findings are supportive/contextual and do not constitute independent regulon-level replication. (PDF)</w:t>
      </w:r>
    </w:p>
    <w:p w14:paraId="6673A06F">
      <w:r>
        <w:t>Additional file 11. Table ST07. This table summarizes GSE140393 single-group supportive analysis and GSE190452 cross-syndrome supportive analysis. These analyses are supportive only and do not constitute formal validation or independent regulon-level replication. (XLSX)</w:t>
      </w:r>
    </w:p>
    <w:p w14:paraId="39357E97">
      <w:r>
        <w:t>Additional file 12. Figure S6. Full functional enrichment landscape and program convergence. (PDF)</w:t>
      </w:r>
    </w:p>
    <w:p w14:paraId="2F71A4C4">
      <w:r>
        <w:t>Additional file 13. Table ST08. This table summarizes GO/KEGG enrichment breadth and regulon-DEG program convergence for candidate TFs. Term counts are not used as integrated TF priority. (XLSX)</w:t>
      </w:r>
    </w:p>
    <w:p w14:paraId="40601990">
      <w:r>
        <w:t>Additional file 14. Figure S7. Exploratory drug-signature enrichment and BBB-layered prioritization. (A) BBB-layered exploratory clue matrix for the four candidate TFs (mechanism-direction / supportive / peripheral-program-modulating); (B) ranked exploratory after-BBB drug-signature clues (e.g. valproic acid, lobeline, (-)-epigallocatechin gallate, S-(+)-Rolipram, papaverine, quercetin); (C) pre-BBB vs. after-BBB exploratory score shift; (D) mechanism-theme distribution across the three exploratory layers. Conservative interpretation: mechanism-direction clues (enrichment-derived, BBB-retained, hypothesis-generating only) and supportive clues (secondary/supportive signal; requires manual review) and peripheral/program-modulating clues (program-linked but not prioritized for CNS-directed interpretation) are reported separately; no compound is interpreted as a validated therapy or treatment recommendation. BBB = blood-brain barrier. (PDF)</w:t>
      </w:r>
    </w:p>
    <w:p w14:paraId="1CE17975">
      <w:r>
        <w:t>Additional file 15. Table ST09. Drug-signature enrichment analysis was performed using DSigDB via the Enrichr web API based on NFE2L2, THRB, and BHLHE40 regulon target gene sets. Compounds were prioritized by enrichment significance (FDR), overlap gene count, support across query sets, pathway relevance to FCD II (mTOR/PI3K/AKT axis), clinical approval status, and FCD-specific clinical efficacy evidence where available. BBB = blood-brain barrier. See Supplementary Figure S7 and Methods for details. (XLSX)</w:t>
      </w:r>
    </w:p>
    <w:p w14:paraId="12A06D9B">
      <w:r>
        <w:t>Additional file 16. Table ST01. This table records included datasets and excluded or archived legacy resources. Dataset roles are descriptive and should not be interpreted as validation status. (XLSX)</w:t>
      </w:r>
    </w:p>
    <w:p w14:paraId="3FADEA25">
      <w:pPr>
        <w:pStyle w:val="3"/>
        <w:jc w:val="both"/>
      </w:pPr>
      <w:r>
        <w:t>References</w:t>
      </w:r>
    </w:p>
    <w:p w14:paraId="45A26EAA">
      <w:pPr>
        <w:spacing w:line="240" w:lineRule="auto"/>
        <w:jc w:val="both"/>
      </w:pPr>
      <w:r>
        <w:rPr>
          <w:b w:val="0"/>
          <w:i w:val="0"/>
        </w:rPr>
        <w:t>1. Najm I, Lal D, Alonso Vanegas M, Cendes F, Lopes-Cendes I, Palmini A, et al. The ILAE consensus classification of focal cortical dysplasia: an update proposed by an ad hoc task force of the ILAE Diagnostic Methods Commission. Epilepsia. 2022;63(8):1899-1919. doi:10.1111/epi.17301.</w:t>
      </w:r>
    </w:p>
    <w:p w14:paraId="617FF2BD">
      <w:pPr>
        <w:spacing w:line="240" w:lineRule="auto"/>
        <w:jc w:val="both"/>
      </w:pPr>
      <w:r>
        <w:rPr>
          <w:b w:val="0"/>
          <w:i w:val="0"/>
        </w:rPr>
        <w:t>2. Blümcke I, Thom M, Aronica E, Armstrong DD, Vinters HV, Palmini A, et al. The clinicopathologic spectrum of focal cortical dysplasias: a consensus classification proposed by an ad hoc Task Force of the ILAE Diagnostic Methods Commission. Epilepsia. 2011;52(1):158-174. doi:10.1111/j.1528-1167.2010.02777.x.</w:t>
      </w:r>
    </w:p>
    <w:p w14:paraId="5B4471DF">
      <w:pPr>
        <w:spacing w:line="240" w:lineRule="auto"/>
        <w:jc w:val="both"/>
      </w:pPr>
      <w:r>
        <w:rPr>
          <w:b w:val="0"/>
          <w:i w:val="0"/>
        </w:rPr>
        <w:t>3. Crino PB. Focal cortical dysplasia. Semin Neurol. 2015;35(3):201-208. doi:10.1055/s-0035-1552617.</w:t>
      </w:r>
    </w:p>
    <w:p w14:paraId="1E44D034">
      <w:pPr>
        <w:spacing w:line="240" w:lineRule="auto"/>
        <w:jc w:val="both"/>
      </w:pPr>
      <w:r>
        <w:rPr>
          <w:b w:val="0"/>
          <w:i w:val="0"/>
        </w:rPr>
        <w:t>4. Lim JS, Kim WI, Kang HC, Kim SH, Park AH, Park EK, et al. Brain somatic mutations in MTOR cause focal cortical dysplasia type II leading to intractable epilepsy. Nat Med. 2015;21(4):395-400. doi:10.1038/nm.3824.</w:t>
      </w:r>
    </w:p>
    <w:p w14:paraId="072004CF">
      <w:pPr>
        <w:spacing w:line="240" w:lineRule="auto"/>
        <w:jc w:val="both"/>
      </w:pPr>
      <w:r>
        <w:rPr>
          <w:b w:val="0"/>
          <w:i w:val="0"/>
        </w:rPr>
        <w:t>5. Møller RS, Weckhuysen S, Chipaux M, Marsan E, Taly V, Bebin EM, et al. Germline and somatic mutations in the MTOR gene in focal cortical dysplasia and epilepsy. Neurol Genet. 2016;2(6):e118. doi:10.1212/NXG.0000000000000118.</w:t>
      </w:r>
    </w:p>
    <w:p w14:paraId="634AB5BB">
      <w:pPr>
        <w:spacing w:line="240" w:lineRule="auto"/>
        <w:jc w:val="both"/>
      </w:pPr>
      <w:r>
        <w:rPr>
          <w:b w:val="0"/>
          <w:i w:val="0"/>
        </w:rPr>
        <w:t>6. Galvão IC, Lemoine M, Messias LA, Araújo PAORA, Geraldis JC, Yasuda CL, et al. Multimodal single-cell profiling reveals neuronal vulnerability and pathological cell states in focal cortical dysplasia. iScience. 2024;27(12):111337. doi:10.1016/j.isci.2024.111337.</w:t>
      </w:r>
    </w:p>
    <w:p w14:paraId="1BC79E55">
      <w:pPr>
        <w:spacing w:line="240" w:lineRule="auto"/>
        <w:jc w:val="both"/>
      </w:pPr>
      <w:r>
        <w:rPr>
          <w:b w:val="0"/>
          <w:i w:val="0"/>
        </w:rPr>
        <w:t>7. Galvão IC, Kandratavicius L, Messias LA, Athié MCP, Assis-Mendonça GR, Alvim MKM, et al. Identifying cellular markers of focal cortical dysplasia type II with cell-type deconvolution and single-cell signatures. Sci Rep. 2023;13(1):13321. doi:10.1038/s41598-023-40240-3.</w:t>
      </w:r>
    </w:p>
    <w:p w14:paraId="3180BAF4">
      <w:pPr>
        <w:spacing w:line="240" w:lineRule="auto"/>
        <w:jc w:val="both"/>
      </w:pPr>
      <w:r>
        <w:rPr>
          <w:b w:val="0"/>
          <w:i w:val="0"/>
        </w:rPr>
        <w:t>8. Wang Y, Wang Y, Guo L, Shen C, Fu Y, Wei P, et al. Spatial transcriptomics in focal cortical dysplasia type IIb. Acta Neuropathol Commun. 2024;12(1):185. doi:10.1186/s40478-024-01897-7.</w:t>
      </w:r>
    </w:p>
    <w:p w14:paraId="54E4B1BC">
      <w:pPr>
        <w:spacing w:line="240" w:lineRule="auto"/>
        <w:jc w:val="both"/>
      </w:pPr>
      <w:r>
        <w:rPr>
          <w:b w:val="0"/>
          <w:i w:val="0"/>
        </w:rPr>
        <w:t>9. Vermeulen I, Rodriguez-Alvarez N, François L, Viot D, Poosti F, Aronica E, et al. Spatial omics reveals molecular changes in focal cortical dysplasia type II. Neurobiol Dis. 2024;195:106491. doi:10.1016/j.nbd.2024.106491.</w:t>
      </w:r>
    </w:p>
    <w:p w14:paraId="1CDEBE8F">
      <w:pPr>
        <w:spacing w:line="240" w:lineRule="auto"/>
        <w:jc w:val="both"/>
      </w:pPr>
      <w:r>
        <w:rPr>
          <w:b w:val="0"/>
          <w:i w:val="0"/>
        </w:rPr>
        <w:t>10. Seifert G, Carmignoto G, Steinhäuser C. Astrocyte dysfunction in epilepsy. Brain Res Rev. 2010;63(1-2):212-221. doi:10.1016/j.brainresrev.2009.10.004.</w:t>
      </w:r>
    </w:p>
    <w:p w14:paraId="2CABF69C">
      <w:pPr>
        <w:spacing w:line="240" w:lineRule="auto"/>
        <w:jc w:val="both"/>
      </w:pPr>
      <w:r>
        <w:rPr>
          <w:b w:val="0"/>
          <w:i w:val="0"/>
        </w:rPr>
        <w:t>11. Coulter DA, Eid T. Astrocytic regulation of glutamate homeostasis in epilepsy. Glia. 2012;60(8):1215-1226. doi:10.1002/glia.22341.</w:t>
      </w:r>
    </w:p>
    <w:p w14:paraId="7A32E3BF">
      <w:pPr>
        <w:spacing w:line="240" w:lineRule="auto"/>
        <w:jc w:val="both"/>
      </w:pPr>
      <w:r>
        <w:rPr>
          <w:b w:val="0"/>
          <w:i w:val="0"/>
        </w:rPr>
        <w:t>12. Boison D, Steinhäuser C. Epilepsy and astrocyte energy metabolism. Glia. 2018;66(6):1235-1243. doi:10.1002/glia.23247.</w:t>
      </w:r>
    </w:p>
    <w:p w14:paraId="3D2D1F76">
      <w:pPr>
        <w:spacing w:line="240" w:lineRule="auto"/>
        <w:jc w:val="both"/>
      </w:pPr>
      <w:r>
        <w:rPr>
          <w:b w:val="0"/>
          <w:i w:val="0"/>
        </w:rPr>
        <w:t>13. Carmignoto G, Haydon PG. Astrocyte calcium signaling and epilepsy. Glia. 2012;60(8):1227-1233. doi:10.1002/glia.22318.</w:t>
      </w:r>
    </w:p>
    <w:p w14:paraId="4780364D">
      <w:pPr>
        <w:spacing w:line="240" w:lineRule="auto"/>
        <w:jc w:val="both"/>
      </w:pPr>
      <w:r>
        <w:rPr>
          <w:b w:val="0"/>
          <w:i w:val="0"/>
        </w:rPr>
        <w:t>14. Aibar S, González-Blas CB, Moerman T, Huynh-Thu VA, Imrichova H, Hulselmans G, et al. SCENIC: single-cell regulatory network inference and clustering. Nat Methods. 2017;14(11):1083-1086. doi:10.1038/nmeth.4463.</w:t>
      </w:r>
    </w:p>
    <w:p w14:paraId="069985D0">
      <w:pPr>
        <w:spacing w:line="240" w:lineRule="auto"/>
        <w:jc w:val="both"/>
      </w:pPr>
      <w:r>
        <w:rPr>
          <w:b w:val="0"/>
          <w:i w:val="0"/>
        </w:rPr>
        <w:t>15. Van de Sande B, Flerin C, Davie K, De Waegeneer M, Hulselmans G, Aibar S, et al. A scalable SCENIC workflow for single-cell gene regulatory network analysis. Nat Protoc. 2020;15(7):2247-2276. doi:10.1038/s41596-020-0336-2.</w:t>
      </w:r>
    </w:p>
    <w:p w14:paraId="0669B091">
      <w:pPr>
        <w:spacing w:line="240" w:lineRule="auto"/>
        <w:jc w:val="both"/>
      </w:pPr>
      <w:r>
        <w:rPr>
          <w:b w:val="0"/>
          <w:i w:val="0"/>
        </w:rPr>
        <w:t>16. Kamimoto K, Stringa B, Hoffmann CM, Jindal K, Solnica-Krezel L, Morris SA. Dissecting cell identity via network inference and in silico gene perturbation. Nature. 2023;614(7949):742-751. doi:10.1038/s41586-022-05688-9.</w:t>
      </w:r>
    </w:p>
    <w:p w14:paraId="0F75C5BC">
      <w:pPr>
        <w:spacing w:line="240" w:lineRule="auto"/>
        <w:jc w:val="both"/>
      </w:pPr>
      <w:r>
        <w:rPr>
          <w:b w:val="0"/>
          <w:i w:val="0"/>
        </w:rPr>
        <w:t>17. Gene Expression Omnibus. GSE268807. https://www.ncbi.nlm.nih.gov/geo/query/acc.cgi?acc=GSE268807. Accessed 14 May 2026.</w:t>
      </w:r>
    </w:p>
    <w:p w14:paraId="56342CF3">
      <w:pPr>
        <w:spacing w:line="240" w:lineRule="auto"/>
        <w:jc w:val="both"/>
      </w:pPr>
      <w:r>
        <w:rPr>
          <w:b w:val="0"/>
          <w:i w:val="0"/>
        </w:rPr>
        <w:t>18. Gene Expression Omnibus. GSE140393. https://www.ncbi.nlm.nih.gov/geo/query/acc.cgi?acc=GSE140393. Accessed 14 May 2026.</w:t>
      </w:r>
    </w:p>
    <w:p w14:paraId="70E2DCBB">
      <w:pPr>
        <w:spacing w:line="240" w:lineRule="auto"/>
        <w:jc w:val="both"/>
      </w:pPr>
      <w:r>
        <w:rPr>
          <w:b w:val="0"/>
          <w:i w:val="0"/>
        </w:rPr>
        <w:t>19. Pai B, Tome-Garcia J, Cheng WS, Ozguler Y, Andrews N, Alvarez-Carbonell D, et al. High-resolution transcriptomics informs glial pathology in human temporal lobe epilepsy. Acta Neuropathol Commun. 2022;10(1):149. doi:10.1186/s40478-022-01453-1.</w:t>
      </w:r>
    </w:p>
    <w:p w14:paraId="59620AFE">
      <w:pPr>
        <w:spacing w:line="240" w:lineRule="auto"/>
        <w:jc w:val="both"/>
      </w:pPr>
      <w:r>
        <w:rPr>
          <w:b w:val="0"/>
          <w:i w:val="0"/>
        </w:rPr>
        <w:t>20. Gene Expression Omnibus. GSE190452. https://www.ncbi.nlm.nih.gov/geo/query/acc.cgi?acc=GSE190452. Accessed 14 May 2026.</w:t>
      </w:r>
    </w:p>
    <w:p w14:paraId="75B7B22C">
      <w:pPr>
        <w:spacing w:line="240" w:lineRule="auto"/>
        <w:jc w:val="both"/>
      </w:pPr>
      <w:r>
        <w:rPr>
          <w:b w:val="0"/>
          <w:i w:val="0"/>
        </w:rPr>
        <w:t>21. Moerman T, Aibar Santos S, González-Blas CB, Simm J, Moreau Y, Aerts J, et al. GRNBoost2 and Arboreto: efficient and scalable inference of gene regulatory networks. Bioinformatics. 2019;35(12):2159-2161. doi:10.1093/bioinformatics/bty916.</w:t>
      </w:r>
    </w:p>
    <w:p w14:paraId="1F3C2A78">
      <w:pPr>
        <w:spacing w:line="240" w:lineRule="auto"/>
        <w:jc w:val="both"/>
      </w:pPr>
      <w:r>
        <w:rPr>
          <w:b w:val="0"/>
          <w:i w:val="0"/>
        </w:rPr>
        <w:t>22. Chen EY, Tan CM, Kou Y, Duan Q, Wang Z, Meirelles GV, et al. Enrichr: interactive and collaborative HTML5 gene list enrichment analysis tool. BMC Bioinformatics. 2013;14:128. doi:10.1186/1471-2105-14-128.</w:t>
      </w:r>
    </w:p>
    <w:p w14:paraId="6E7310E0">
      <w:pPr>
        <w:spacing w:line="240" w:lineRule="auto"/>
        <w:jc w:val="both"/>
      </w:pPr>
      <w:r>
        <w:rPr>
          <w:b w:val="0"/>
          <w:i w:val="0"/>
        </w:rPr>
        <w:t>23. Kuleshov MV, Jones MR, Rouillard AD, Fernandez NF, Duan Q, Wang Z, et al. Enrichr: a comprehensive gene set enrichment analysis web server 2016 update. Nucleic Acids Res. 2016;44(W1):W90-W97. doi:10.1093/nar/gkw377.</w:t>
      </w:r>
    </w:p>
    <w:p w14:paraId="781C0A91">
      <w:pPr>
        <w:spacing w:line="240" w:lineRule="auto"/>
        <w:jc w:val="both"/>
      </w:pPr>
      <w:r>
        <w:rPr>
          <w:b w:val="0"/>
          <w:i w:val="0"/>
        </w:rPr>
        <w:t>24. Yoo M, Shin J, Kim J, Ryall KA, Lee K, Lee S, et al. DSigDB: drug signatures database for gene set analysis. Bioinformatics. 2015;31(18):3069-3071. doi:10.1093/bioinformatics/btv313.</w:t>
      </w:r>
    </w:p>
    <w:p w14:paraId="4D433B3C">
      <w:pPr>
        <w:spacing w:line="240" w:lineRule="auto"/>
        <w:jc w:val="both"/>
      </w:pPr>
      <w:r>
        <w:rPr>
          <w:b w:val="0"/>
          <w:i w:val="0"/>
        </w:rPr>
        <w:t>25. Daina A, Michielin O, Zoete V. SwissADME: a free web tool to evaluate pharmacokinetics, drug-likeness and medicinal chemistry friendliness of small molecules. Sci Rep. 2017;7:42717. doi:10.1038/srep42717.</w:t>
      </w:r>
    </w:p>
    <w:p w14:paraId="24AB2C7C">
      <w:pPr>
        <w:spacing w:line="240" w:lineRule="auto"/>
        <w:jc w:val="both"/>
      </w:pPr>
      <w:r>
        <w:rPr>
          <w:b w:val="0"/>
          <w:i w:val="0"/>
        </w:rPr>
        <w:t>26. Sandouka S, Saadi A, Olowe R, Singh PK, Shekh-Ahmad T. Nrf2 is expressed more extensively in neurons than in astrocytes following an acute epileptic seizure in rats. J Neurochem. 2023;165(4):550-562. doi:10.1111/jnc.15786.</w:t>
      </w:r>
    </w:p>
    <w:p w14:paraId="70B55620">
      <w:pPr>
        <w:spacing w:line="240" w:lineRule="auto"/>
        <w:jc w:val="both"/>
      </w:pPr>
      <w:r>
        <w:rPr>
          <w:b w:val="0"/>
          <w:i w:val="0"/>
        </w:rPr>
        <w:t>27. Liddell JR. Are astrocytes the predominant cell type for activation of Nrf2 in aging and neurodegeneration? Antioxidants (Basel). 2017;6(3):65. doi:10.3390/antiox6030065.</w:t>
      </w:r>
    </w:p>
    <w:p w14:paraId="7B36153E">
      <w:pPr>
        <w:spacing w:line="240" w:lineRule="auto"/>
        <w:jc w:val="both"/>
      </w:pPr>
      <w:r>
        <w:rPr>
          <w:b w:val="0"/>
          <w:i w:val="0"/>
        </w:rPr>
        <w:t>28. Ngo V, Duennwald ML. Nrf2 and oxidative stress: a general overview of mechanisms and implications in human disease. Antioxidants (Basel). 2022;11(12):2345. doi:10.3390/antiox11122345.</w:t>
      </w:r>
    </w:p>
    <w:p w14:paraId="458E39AB">
      <w:pPr>
        <w:spacing w:line="240" w:lineRule="auto"/>
        <w:jc w:val="both"/>
      </w:pPr>
      <w:r>
        <w:rPr>
          <w:b w:val="0"/>
          <w:i w:val="0"/>
        </w:rPr>
        <w:t>29. Bernal J. Thyroid hormones in brain development and function. In: Feingold KR, Anawalt B, Blackman MR, et al., editors. Endotext [Internet]. South Dartmouth (MA): MDText.com, Inc.; 2000.</w:t>
      </w:r>
    </w:p>
    <w:p w14:paraId="690D945F">
      <w:pPr>
        <w:spacing w:line="240" w:lineRule="auto"/>
        <w:jc w:val="both"/>
      </w:pPr>
      <w:r>
        <w:rPr>
          <w:b w:val="0"/>
          <w:i w:val="0"/>
        </w:rPr>
        <w:t>30. Dezonne RS, Stipursky J, Araujo APB, Nones J, Pavão MSG, Porcionatto M, et al. Thyroid hormone treated astrocytes induce maturation of cerebral cortical neurons through modulation of proteoglycan levels. Front Cell Neurosci. 2013;7:125. doi:10.3389/fncel.2013.00125.</w:t>
      </w:r>
    </w:p>
    <w:p w14:paraId="637CAADC">
      <w:pPr>
        <w:spacing w:line="240" w:lineRule="auto"/>
        <w:jc w:val="both"/>
      </w:pPr>
      <w:r>
        <w:rPr>
          <w:b w:val="0"/>
          <w:i w:val="0"/>
        </w:rPr>
        <w:t>31. Talhada D, Santos CRA, Gonçalves I, Ruscher K. Thyroid hormones in the brain and their impact in recovery mechanisms after stroke. Front Neurol. 2019;10:1103. doi:10.3389/fneur.2019.01103.</w:t>
      </w:r>
    </w:p>
    <w:p w14:paraId="72C9EFD6">
      <w:pPr>
        <w:spacing w:line="240" w:lineRule="auto"/>
        <w:jc w:val="both"/>
      </w:pPr>
      <w:r>
        <w:rPr>
          <w:b w:val="0"/>
          <w:i w:val="0"/>
        </w:rPr>
        <w:t>32. Cook ME, Jarjour NN, Lin CC, Edelson BT. Transcription factor Bhlhe40 in immunity and autoimmunity. Trends Immunol. 2020;41(11):1023-1036. doi:10.1016/j.it.2020.09.002.</w:t>
      </w:r>
    </w:p>
    <w:p w14:paraId="61B9E2A9">
      <w:pPr>
        <w:spacing w:line="240" w:lineRule="auto"/>
        <w:jc w:val="both"/>
      </w:pPr>
      <w:r>
        <w:rPr>
          <w:b w:val="0"/>
          <w:i w:val="0"/>
        </w:rPr>
        <w:t>33. Yu F, Sharma S, Jankovic D, Gurram RK, Su P, Hu G, et al. The transcription factor Bhlhe40 is a switch of inflammatory versus antiinflammatory Th1 cell fate determination. J Exp Med. 2018;215(7):1813-1821. doi:10.1084/jem.20170155.</w:t>
      </w:r>
    </w:p>
    <w:p w14:paraId="158228C4">
      <w:pPr>
        <w:spacing w:line="240" w:lineRule="auto"/>
        <w:jc w:val="both"/>
      </w:pPr>
      <w:r>
        <w:rPr>
          <w:b w:val="0"/>
          <w:i w:val="0"/>
        </w:rPr>
        <w:t>34. Mercurio S, Serra L, Pagin M, Nicolis SK. Deconstructing Sox2 function in brain development and disease. Cells. 2022;11(10):1604. doi:10.3390/cells11101604.</w:t>
      </w:r>
    </w:p>
    <w:p w14:paraId="4F2BF862">
      <w:pPr>
        <w:spacing w:line="240" w:lineRule="auto"/>
        <w:jc w:val="both"/>
      </w:pPr>
      <w:r>
        <w:rPr>
          <w:b w:val="0"/>
          <w:i w:val="0"/>
        </w:rPr>
        <w:t>35. Chen C, Zhong X, Smith DK, Tai W, Yang J, Zou Y, et al. Astrocyte-specific deletion of Sox2 promotes functional recovery after traumatic brain injury. Cereb Cortex. 2019;29(1):54-69. doi:10.1093/cercor/bhx303.</w:t>
      </w:r>
    </w:p>
    <w:p w14:paraId="72C4F19C">
      <w:pPr>
        <w:spacing w:line="240" w:lineRule="auto"/>
        <w:jc w:val="both"/>
      </w:pPr>
      <w:r>
        <w:rPr>
          <w:b w:val="0"/>
          <w:i w:val="0"/>
        </w:rPr>
        <w:t>36. Niu W, Zang T, Zou Y, Fang S, Smith DK, Bachoo R, et al. In vivo reprogramming of astrocytes to neuroblasts in the adult brain. Nat Cell Biol. 2013;15(10):1164-1175. doi:10.1038/ncb2843.</w:t>
      </w:r>
    </w:p>
    <w:p w14:paraId="3896801C">
      <w:pPr>
        <w:spacing w:line="240" w:lineRule="auto"/>
        <w:jc w:val="both"/>
        <w:rPr>
          <w:ins w:id="88" w:author="Dream" w:date="2026-07-25T14:09:28Z"/>
          <w:b w:val="0"/>
          <w:i w:val="0"/>
        </w:rPr>
      </w:pPr>
      <w:r>
        <w:rPr>
          <w:b w:val="0"/>
          <w:i w:val="0"/>
        </w:rPr>
        <w:t>37. Fang C, Zhang X, Yang L, Sun L, Lu Y, Liu Y, et al. Transcriptomic and morphologic vascular aberrations underlying FCDIIb etiology. Nat Commun. 2025;16(1):3320. doi:10.1038/s41467-025-58535-6.</w:t>
      </w:r>
    </w:p>
    <w:p w14:paraId="39CA9637">
      <w:pPr>
        <w:spacing w:line="240" w:lineRule="auto"/>
        <w:jc w:val="both"/>
        <w:rPr>
          <w:ins w:id="89" w:author="Dream" w:date="2026-07-25T14:09:28Z"/>
          <w:b w:val="0"/>
          <w:i w:val="0"/>
        </w:rPr>
      </w:pPr>
      <w:r>
        <w:rPr>
          <w:b w:val="0"/>
          <w:i w:val="0"/>
        </w:rPr>
        <w:t>38. French JA, Lawson JA, Yapici Z, Ikeda H, Polster T, Nabbout R, et al. Adjunctive everolimus therapy for treatment-resistant focal-onset seizures associated with tuberous sclerosis (EXIST-3): a phase 3, randomised, double-blind, placebo-controlled study. Lancet. 2016;388(10056):2153-2163. doi:10.1016/S0140-6736(16)31419-2.</w:t>
      </w:r>
    </w:p>
    <w:p w14:paraId="6B4DDA71">
      <w:pPr>
        <w:spacing w:line="240" w:lineRule="auto"/>
        <w:jc w:val="both"/>
        <w:rPr>
          <w:ins w:id="90" w:author="Dream" w:date="2026-07-25T14:09:28Z"/>
          <w:b w:val="0"/>
          <w:i w:val="0"/>
        </w:rPr>
      </w:pPr>
      <w:r>
        <w:rPr>
          <w:b w:val="0"/>
          <w:i w:val="0"/>
        </w:rPr>
        <w:t>39. Gureev AP, Popov VN, Starkov AA. Crosstalk between the mTOR and Nrf2/ARE signaling pathways as a target in the improvement of long-term potentiation. Exp Neurol. 2020;328:113285. doi:10.1016/j.expneurol.2020.113285.</w:t>
      </w:r>
    </w:p>
    <w:p w14:paraId="51DE724F">
      <w:pPr>
        <w:spacing w:line="240" w:lineRule="auto"/>
        <w:jc w:val="both"/>
        <w:rPr>
          <w:rFonts w:hint="default" w:ascii="Times New Roman" w:hAnsi="Times New Roman" w:eastAsia="黑体" w:cstheme="minorBidi"/>
          <w:i w:val="0"/>
          <w:iCs w:val="0"/>
          <w:caps w:val="0"/>
          <w:color w:val="auto"/>
          <w:spacing w:val="0"/>
          <w:sz w:val="21"/>
          <w:szCs w:val="21"/>
          <w:shd w:val="clear" w:fill="auto"/>
          <w:lang w:val="en-US" w:eastAsia="zh-CN"/>
        </w:rPr>
      </w:pPr>
      <w:ins w:id="107" w:author="Dream" w:date="2026-07-29T23:30:26Z">
        <w:r>
          <w:rPr>
            <w:rFonts w:hint="default" w:ascii="Times New Roman" w:hAnsi="Times New Roman" w:eastAsia="黑体" w:cstheme="minorBidi"/>
            <w:i w:val="0"/>
            <w:iCs w:val="0"/>
            <w:caps w:val="0"/>
            <w:color w:val="auto"/>
            <w:spacing w:val="0"/>
            <w:sz w:val="21"/>
            <w:szCs w:val="21"/>
            <w:shd w:val="clear" w:fill="auto"/>
            <w:lang w:val="en-US" w:eastAsia="zh-CN"/>
          </w:rPr>
          <w:t>40. Kim SH, Kang HC, Roh YH, Hahn J, Min KL, Lee SJ, et al. Efficacy and safety of everolimus for patients with focal cortical dysplasia type 2. Epilepsia Open. 2025;10(1):243-257. doi:10.1002/epi4.13104.</w:t>
        </w:r>
      </w:ins>
    </w:p>
    <w:p w14:paraId="385B6DD1">
      <w:pPr>
        <w:pStyle w:val="3"/>
        <w:jc w:val="both"/>
      </w:pPr>
      <w:r>
        <w:t>Figure Legends</w:t>
      </w:r>
    </w:p>
    <w:p w14:paraId="61AA8FC8">
      <w:pPr>
        <w:spacing w:line="240" w:lineRule="auto"/>
        <w:jc w:val="both"/>
        <w:rPr>
          <w:b w:val="0"/>
          <w:i w:val="0"/>
        </w:rPr>
      </w:pPr>
      <w:bookmarkStart w:id="0" w:name="_GoBack"/>
      <w:r>
        <w:rPr>
          <w:b w:val="0"/>
          <w:bCs w:val="0"/>
          <w:i w:val="0"/>
          <w:rPrChange w:id="108" w:author="Dream" w:date="2026-08-28T20:54:48Z">
            <w:rPr>
              <w:b/>
              <w:bCs/>
              <w:i w:val="0"/>
            </w:rPr>
          </w:rPrChange>
        </w:rPr>
        <w:t>Figure 1. Study design and analytical framework.</w:t>
      </w:r>
      <w:r>
        <w:rPr>
          <w:b w:val="0"/>
          <w:i w:val="0"/>
        </w:rPr>
        <w:t xml:space="preserve"> This figure illustrates the overall study design. The left panel represents the GSE268807 astrocyte discovery object. The middle panel outlines the workflow, including regulon inference, differential analysis, candidate transcription factor prioritization, CellOracle in silico perturbation, and robustness/functional interpretation. The right panel presents the resulting </w:t>
      </w:r>
      <w:r>
        <w:rPr>
          <w:rFonts w:hint="eastAsia"/>
          <w:b w:val="0"/>
          <w:i w:val="0"/>
          <w:lang w:val="en-US" w:eastAsia="zh-CN"/>
        </w:rPr>
        <w:t>proposed</w:t>
      </w:r>
      <w:r>
        <w:rPr>
          <w:b w:val="0"/>
          <w:i w:val="0"/>
        </w:rPr>
        <w:t xml:space="preserve"> regulatory program tiers.</w:t>
      </w:r>
    </w:p>
    <w:p w14:paraId="43471BC3">
      <w:pPr>
        <w:jc w:val="both"/>
        <w:rPr>
          <w:del w:id="109" w:author="Dream" w:date="2026-08-28T19:03:06Z"/>
          <w:b w:val="0"/>
          <w:i w:val="0"/>
        </w:rPr>
      </w:pPr>
      <w:del w:id="110" w:author="Dream" w:date="2026-08-28T19:03:06Z">
        <w:r>
          <w:rPr>
            <w:rFonts w:hint="eastAsia" w:eastAsia="宋体"/>
            <w:lang w:eastAsia="zh-CN"/>
          </w:rPr>
          <w:drawing>
            <wp:inline distT="0" distB="0" distL="114300" distR="114300">
              <wp:extent cx="6396990" cy="2190115"/>
              <wp:effectExtent l="0" t="0" r="3810" b="4445"/>
              <wp:docPr id="10" name="图片 10" descr="Figure_1_study_design_comp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Figure_1_study_design_compact"/>
                      <pic:cNvPicPr>
                        <a:picLocks noChangeAspect="1"/>
                      </pic:cNvPicPr>
                    </pic:nvPicPr>
                    <pic:blipFill>
                      <a:blip r:embed="rId8"/>
                      <a:stretch>
                        <a:fillRect/>
                      </a:stretch>
                    </pic:blipFill>
                    <pic:spPr>
                      <a:xfrm>
                        <a:off x="0" y="0"/>
                        <a:ext cx="6396990" cy="2190115"/>
                      </a:xfrm>
                      <a:prstGeom prst="rect">
                        <a:avLst/>
                      </a:prstGeom>
                    </pic:spPr>
                  </pic:pic>
                </a:graphicData>
              </a:graphic>
            </wp:inline>
          </w:drawing>
        </w:r>
      </w:del>
    </w:p>
    <w:p w14:paraId="57AA6DCA">
      <w:pPr>
        <w:spacing w:line="240" w:lineRule="auto"/>
        <w:jc w:val="both"/>
        <w:rPr>
          <w:b w:val="0"/>
          <w:i w:val="0"/>
        </w:rPr>
      </w:pPr>
      <w:r>
        <w:t>Figure 2. Differential regulon landscape in FCD II astrocytes. (A) Sample-level regulon activity heatmap showing row-wise z-scores of regulon AUC across the two lesion (L) and two internal-control (C) samples; internal-control-associated and lesion-associated regulons exhibit opposite directions. (B) All-regulon differential landscape plotting mean AUC difference (lesion minus internal-control) against -log10(FDR), with NFE2L2 and THRB representing the two major proposed directions. (C) Donor-paired axis evidence showing per-donor sample-level mean regulon AUC for NFE2L2 and THRB. (D) Transcription factor prioritization scorecard integrating axis direction, regulon delta AUC/FDR, and transcription factor expression log2FC.</w:t>
      </w:r>
    </w:p>
    <w:p w14:paraId="2FA3211E">
      <w:pPr>
        <w:jc w:val="both"/>
        <w:rPr>
          <w:del w:id="112" w:author="Dream" w:date="2026-08-28T19:03:08Z"/>
          <w:b w:val="0"/>
          <w:i w:val="0"/>
        </w:rPr>
      </w:pPr>
      <w:del w:id="113" w:author="Dream" w:date="2026-08-28T19:03:08Z">
        <w:r>
          <w:rPr>
            <w:rFonts w:hint="eastAsia" w:eastAsia="宋体"/>
            <w:lang w:eastAsia="zh-CN"/>
          </w:rPr>
          <w:drawing>
            <wp:inline distT="0" distB="0" distL="114300" distR="114300">
              <wp:extent cx="6396355" cy="4058285"/>
              <wp:effectExtent l="0" t="0" r="4445" b="10795"/>
              <wp:docPr id="9" name="图片 9" descr="Figure_2_regulon_landscape_comp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Figure_2_regulon_landscape_compact"/>
                      <pic:cNvPicPr>
                        <a:picLocks noChangeAspect="1"/>
                      </pic:cNvPicPr>
                    </pic:nvPicPr>
                    <pic:blipFill>
                      <a:blip r:embed="rId9"/>
                      <a:stretch>
                        <a:fillRect/>
                      </a:stretch>
                    </pic:blipFill>
                    <pic:spPr>
                      <a:xfrm>
                        <a:off x="0" y="0"/>
                        <a:ext cx="6396355" cy="4058285"/>
                      </a:xfrm>
                      <a:prstGeom prst="rect">
                        <a:avLst/>
                      </a:prstGeom>
                    </pic:spPr>
                  </pic:pic>
                </a:graphicData>
              </a:graphic>
            </wp:inline>
          </w:drawing>
        </w:r>
      </w:del>
    </w:p>
    <w:p w14:paraId="20958572">
      <w:pPr>
        <w:spacing w:line="240" w:lineRule="auto"/>
        <w:jc w:val="both"/>
        <w:rPr>
          <w:b w:val="0"/>
          <w:i w:val="0"/>
        </w:rPr>
      </w:pPr>
      <w:r>
        <w:t>Figure 3. CellOracle in silico perturbation analysis of candidate transcription factors. (A) Perturbation priority map plotting mean shift length against Approx. Recovery Index (bubble size indicates mean net shift); NFE2L2 exhibits the highest mean shift, whereas THRB exhibits the highest Approx. Recovery Index. (B) Quantitative perturbation profile reporting overall, approximate, net, lesion, and internal-control shifts for each candidate factor. (C, D) Cell-state displacement vector fields following in silico perturbation of NFE2L2 (C) and THRB (D). Random permutation controls were used to assess whether these perturbation patterns depend on the specific regulatory connections of the candidate factors.</w:t>
      </w:r>
    </w:p>
    <w:p w14:paraId="4A5AFA42">
      <w:pPr>
        <w:jc w:val="both"/>
        <w:rPr>
          <w:del w:id="115" w:author="Dream" w:date="2026-08-28T19:03:10Z"/>
          <w:b w:val="0"/>
          <w:i w:val="0"/>
        </w:rPr>
      </w:pPr>
      <w:del w:id="116" w:author="Dream" w:date="2026-08-28T19:03:10Z">
        <w:r>
          <w:rPr>
            <w:rFonts w:hint="eastAsia" w:eastAsia="宋体"/>
            <w:lang w:eastAsia="zh-CN"/>
          </w:rPr>
          <w:drawing>
            <wp:inline distT="0" distB="0" distL="114300" distR="114300">
              <wp:extent cx="6409055" cy="3701415"/>
              <wp:effectExtent l="0" t="0" r="6985" b="1905"/>
              <wp:docPr id="6" name="图片 6" descr="Figure_3_celloracle_perturbation_comp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ure_3_celloracle_perturbation_compact"/>
                      <pic:cNvPicPr>
                        <a:picLocks noChangeAspect="1"/>
                      </pic:cNvPicPr>
                    </pic:nvPicPr>
                    <pic:blipFill>
                      <a:blip r:embed="rId10"/>
                      <a:stretch>
                        <a:fillRect/>
                      </a:stretch>
                    </pic:blipFill>
                    <pic:spPr>
                      <a:xfrm>
                        <a:off x="0" y="0"/>
                        <a:ext cx="6409055" cy="3701415"/>
                      </a:xfrm>
                      <a:prstGeom prst="rect">
                        <a:avLst/>
                      </a:prstGeom>
                    </pic:spPr>
                  </pic:pic>
                </a:graphicData>
              </a:graphic>
            </wp:inline>
          </w:drawing>
        </w:r>
      </w:del>
    </w:p>
    <w:p w14:paraId="2F13E396">
      <w:pPr>
        <w:spacing w:line="240" w:lineRule="auto"/>
        <w:jc w:val="both"/>
        <w:rPr>
          <w:b w:val="0"/>
          <w:i w:val="0"/>
        </w:rPr>
      </w:pPr>
      <w:r>
        <w:t>Figure 4. Robustness and supportive evidence for prioritized candidates. (A) Internal robustness scorecard summarizing leave-one-sample-out expression and regulon consistency, retention, and rank stability. (B) Leave-one-sample-out axis-direction stability heatmap of row-scaled signed effects for NFE2L2 and THRB expression log2FC and regulon delta AUC across the full object and each left-out sample. (C) GSE140393 single-group expression-support scores for the four candidate factors. (D) GSE190452 cross-syndrome support summary reporting group log2FC, cluster support, direction consistency, and support class. Pseudobulk aggregation preserved the lesion-side direction for NFE2L2 (sample-level ΔAUC = +0.0096, exact rank-sum p = 0.833) and the internal-control-side direction for THRB (sample-level ΔAUC = −0.2777, exact rank-sum p = 0.167, the larger of the two sample-level magnitudes), across the two lesion and two internal-control samples. Neither candidate reached formal sample-level significance at this small cohort size, so both are treated as prioritized candidate axes rather than established regulators; their tiers remain directionally stable across these sample-level and supportive analyses.</w:t>
      </w:r>
    </w:p>
    <w:p w14:paraId="47A06FAE">
      <w:pPr>
        <w:jc w:val="both"/>
        <w:rPr>
          <w:del w:id="118" w:author="Dream" w:date="2026-08-28T19:03:12Z"/>
          <w:b w:val="0"/>
          <w:i w:val="0"/>
        </w:rPr>
      </w:pPr>
      <w:del w:id="119" w:author="Dream" w:date="2026-08-28T19:03:12Z">
        <w:r>
          <w:rPr>
            <w:rFonts w:hint="eastAsia" w:eastAsia="宋体"/>
            <w:lang w:eastAsia="zh-CN"/>
          </w:rPr>
          <w:drawing>
            <wp:inline distT="0" distB="0" distL="114300" distR="114300">
              <wp:extent cx="6388735" cy="3634740"/>
              <wp:effectExtent l="0" t="0" r="12065" b="7620"/>
              <wp:docPr id="7" name="图片 7" descr="Figure_4_robustness_support_comp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Figure_4_robustness_support_compact"/>
                      <pic:cNvPicPr>
                        <a:picLocks noChangeAspect="1"/>
                      </pic:cNvPicPr>
                    </pic:nvPicPr>
                    <pic:blipFill>
                      <a:blip r:embed="rId11"/>
                      <a:stretch>
                        <a:fillRect/>
                      </a:stretch>
                    </pic:blipFill>
                    <pic:spPr>
                      <a:xfrm>
                        <a:off x="0" y="0"/>
                        <a:ext cx="6388735" cy="3634740"/>
                      </a:xfrm>
                      <a:prstGeom prst="rect">
                        <a:avLst/>
                      </a:prstGeom>
                    </pic:spPr>
                  </pic:pic>
                </a:graphicData>
              </a:graphic>
            </wp:inline>
          </w:drawing>
        </w:r>
      </w:del>
    </w:p>
    <w:p w14:paraId="7663E693">
      <w:pPr>
        <w:spacing w:line="240" w:lineRule="auto"/>
        <w:jc w:val="both"/>
        <w:rPr>
          <w:del w:id="121" w:author="Dream" w:date="2026-08-28T19:03:15Z"/>
          <w:b w:val="0"/>
          <w:i w:val="0"/>
        </w:rPr>
      </w:pPr>
      <w:r>
        <w:rPr>
          <w:b w:val="0"/>
          <w:bCs w:val="0"/>
          <w:i w:val="0"/>
          <w:rPrChange w:id="122" w:author="Dream" w:date="2026-08-28T20:54:48Z">
            <w:rPr>
              <w:b/>
              <w:bCs/>
              <w:i w:val="0"/>
            </w:rPr>
          </w:rPrChange>
        </w:rPr>
        <w:t>Figure 5. Functional convergence and program-level working model. (A) Selected functional enrichment of the proposed regulons: NFE2L2-associated terms (top) point toward a lesion-associated stress response and transcriptional reprogramming, whereas THRB-associated terms (bottom) point toward internal-control-side homeostatic, synaptic, and calcium signaling support. (B) Program convergence scorecard reporting regulon target gene counts, overlap between target genes and differentially expressed genes, overlap ratio, and functional interpretation class for NFE2L2, THRB, BHLHE40, and SOX2. (C) Schematic of the final program-level working model summarizing the proposed asymmetric NFE2L2-THRB regulatory architecture.</w:t>
      </w:r>
    </w:p>
    <w:p w14:paraId="525C19AD">
      <w:pPr>
        <w:spacing w:line="240" w:lineRule="auto"/>
        <w:jc w:val="both"/>
        <w:rPr>
          <w:b w:val="0"/>
          <w:i w:val="0"/>
        </w:rPr>
        <w:pPrChange w:id="123" w:author="Dream" w:date="2026-08-28T19:03:16Z">
          <w:pPr>
            <w:jc w:val="both"/>
          </w:pPr>
        </w:pPrChange>
      </w:pPr>
      <w:del w:id="124" w:author="Dream" w:date="2026-08-28T19:03:13Z">
        <w:r>
          <w:rPr>
            <w:rFonts w:hint="eastAsia" w:eastAsia="宋体"/>
            <w:lang w:eastAsia="zh-CN"/>
          </w:rPr>
          <w:drawing>
            <wp:inline distT="0" distB="0" distL="114300" distR="114300">
              <wp:extent cx="6398895" cy="2629535"/>
              <wp:effectExtent l="0" t="0" r="1905" b="6985"/>
              <wp:docPr id="8" name="图片 8" descr="Figure_5_program_model_comp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igure_5_program_model_compact"/>
                      <pic:cNvPicPr>
                        <a:picLocks noChangeAspect="1"/>
                      </pic:cNvPicPr>
                    </pic:nvPicPr>
                    <pic:blipFill>
                      <a:blip r:embed="rId12"/>
                      <a:stretch>
                        <a:fillRect/>
                      </a:stretch>
                    </pic:blipFill>
                    <pic:spPr>
                      <a:xfrm>
                        <a:off x="0" y="0"/>
                        <a:ext cx="6398895" cy="2629535"/>
                      </a:xfrm>
                      <a:prstGeom prst="rect">
                        <a:avLst/>
                      </a:prstGeom>
                    </pic:spPr>
                  </pic:pic>
                </a:graphicData>
              </a:graphic>
            </wp:inline>
          </w:drawing>
        </w:r>
      </w:del>
    </w:p>
    <w:bookmarkEnd w:id="0"/>
    <w:sectPr>
      <w:pgSz w:w="12240" w:h="15840"/>
      <w:pgMar w:top="1151" w:right="1083" w:bottom="1151" w:left="1083" w:header="720" w:footer="720" w:gutter="0"/>
      <w:lnNumType w:countBy="1" w:restart="continuous"/>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李秀翠 Sucy  Lee" w:date="2026-07-21T07:01:42Z" w:initials="">
    <w:p w14:paraId="6C6B74CC">
      <w:pPr>
        <w:pStyle w:val="17"/>
        <w:rPr>
          <w:rFonts w:hint="default" w:eastAsia="黑体"/>
          <w:lang w:val="en-US" w:eastAsia="zh-CN"/>
        </w:rPr>
      </w:pPr>
      <w:r>
        <w:t xml:space="preserve">NFE2L2 </w:t>
      </w:r>
      <w:r>
        <w:rPr>
          <w:rFonts w:hint="eastAsia"/>
          <w:lang w:eastAsia="zh-CN"/>
        </w:rPr>
        <w:t>、</w:t>
      </w:r>
      <w:r>
        <w:t>THRB</w:t>
      </w:r>
      <w:r>
        <w:rPr>
          <w:rFonts w:hint="eastAsia"/>
          <w:lang w:val="en-US" w:eastAsia="zh-CN"/>
        </w:rPr>
        <w:t>联系到可能的信号通路、为药物治疗提供依据</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6C6B74CC"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李秀翠 Sucy  Lee">
    <w15:presenceInfo w15:providerId="WPS Office" w15:userId="2485187163"/>
  </w15:person>
  <w15:person w15:author="Dream">
    <w15:presenceInfo w15:providerId="WPS Office" w15:userId="18481222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bordersDoNotSurroundHeader w:val="0"/>
  <w:bordersDoNotSurroundFooter w:val="0"/>
  <w:revisionView w:markup="0"/>
  <w:trackRevisions w:val="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BD2744"/>
    <w:rsid w:val="00CB0664"/>
    <w:rsid w:val="00FC693F"/>
    <w:rsid w:val="015765C6"/>
    <w:rsid w:val="017C0D58"/>
    <w:rsid w:val="06623F53"/>
    <w:rsid w:val="07AF5807"/>
    <w:rsid w:val="09542912"/>
    <w:rsid w:val="0AF80536"/>
    <w:rsid w:val="115C16E6"/>
    <w:rsid w:val="115E3B7F"/>
    <w:rsid w:val="1294703C"/>
    <w:rsid w:val="159B770B"/>
    <w:rsid w:val="16FC64CC"/>
    <w:rsid w:val="1759717B"/>
    <w:rsid w:val="180D5185"/>
    <w:rsid w:val="1B143206"/>
    <w:rsid w:val="20B155E8"/>
    <w:rsid w:val="22A9294D"/>
    <w:rsid w:val="24746F35"/>
    <w:rsid w:val="25A55C52"/>
    <w:rsid w:val="2E55425D"/>
    <w:rsid w:val="33D466A2"/>
    <w:rsid w:val="363B219A"/>
    <w:rsid w:val="388751AF"/>
    <w:rsid w:val="39212935"/>
    <w:rsid w:val="3B295232"/>
    <w:rsid w:val="3E1D6A8B"/>
    <w:rsid w:val="3EE06C4F"/>
    <w:rsid w:val="564F4455"/>
    <w:rsid w:val="5A731374"/>
    <w:rsid w:val="702F54E6"/>
    <w:rsid w:val="71F901F8"/>
    <w:rsid w:val="75F84EF5"/>
    <w:rsid w:val="786D0420"/>
    <w:rsid w:val="78A82AE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60" w:lineRule="auto"/>
    </w:pPr>
    <w:rPr>
      <w:rFonts w:ascii="Times New Roman" w:hAnsi="Times New Roman" w:eastAsia="黑体" w:cstheme="minorBidi"/>
      <w:sz w:val="21"/>
      <w:szCs w:val="21"/>
      <w:lang w:val="en-US" w:eastAsia="en-US" w:bidi="ar-SA"/>
    </w:rPr>
  </w:style>
  <w:style w:type="paragraph" w:styleId="3">
    <w:name w:val="heading 1"/>
    <w:basedOn w:val="1"/>
    <w:next w:val="1"/>
    <w:link w:val="140"/>
    <w:qFormat/>
    <w:uiPriority w:val="9"/>
    <w:pPr>
      <w:keepNext/>
      <w:keepLines/>
      <w:spacing w:before="480" w:after="0"/>
      <w:outlineLvl w:val="0"/>
    </w:pPr>
    <w:rPr>
      <w:rFonts w:ascii="Times New Roman" w:hAnsi="Times New Roman" w:eastAsia="黑体" w:cstheme="majorBidi"/>
      <w:b/>
      <w:bCs/>
      <w:color w:val="000000"/>
      <w:sz w:val="32"/>
      <w:szCs w:val="28"/>
    </w:rPr>
  </w:style>
  <w:style w:type="paragraph" w:styleId="4">
    <w:name w:val="heading 2"/>
    <w:basedOn w:val="1"/>
    <w:next w:val="1"/>
    <w:link w:val="141"/>
    <w:unhideWhenUsed/>
    <w:qFormat/>
    <w:uiPriority w:val="9"/>
    <w:pPr>
      <w:keepNext/>
      <w:keepLines/>
      <w:spacing w:before="200" w:after="0"/>
      <w:outlineLvl w:val="1"/>
    </w:pPr>
    <w:rPr>
      <w:rFonts w:cstheme="majorBidi"/>
      <w:b/>
      <w:bCs/>
      <w:color w:val="000000"/>
      <w:sz w:val="21"/>
      <w:szCs w:val="21"/>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000000"/>
      <w:sz w:val="24"/>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semiHidden/>
    <w:unhideWhenUsed/>
    <w:qFormat/>
    <w:uiPriority w:val="99"/>
    <w:pPr>
      <w:jc w:val="left"/>
    </w:pPr>
  </w:style>
  <w:style w:type="paragraph" w:styleId="18">
    <w:name w:val="Body Text 3"/>
    <w:basedOn w:val="1"/>
    <w:link w:val="148"/>
    <w:unhideWhenUsed/>
    <w:qFormat/>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6"/>
    <w:unhideWhenUsed/>
    <w:qFormat/>
    <w:uiPriority w:val="99"/>
    <w:pPr>
      <w:spacing w:after="120"/>
    </w:pPr>
  </w:style>
  <w:style w:type="paragraph" w:styleId="21">
    <w:name w:val="List Number 3"/>
    <w:basedOn w:val="1"/>
    <w:unhideWhenUsed/>
    <w:qFormat/>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38"/>
    <w:unhideWhenUsed/>
    <w:qFormat/>
    <w:uiPriority w:val="99"/>
    <w:pPr>
      <w:tabs>
        <w:tab w:val="center" w:pos="4680"/>
        <w:tab w:val="right" w:pos="9360"/>
      </w:tabs>
      <w:spacing w:after="0" w:line="240" w:lineRule="auto"/>
    </w:pPr>
  </w:style>
  <w:style w:type="paragraph" w:styleId="26">
    <w:name w:val="header"/>
    <w:basedOn w:val="1"/>
    <w:link w:val="137"/>
    <w:unhideWhenUsed/>
    <w:qFormat/>
    <w:uiPriority w:val="99"/>
    <w:pPr>
      <w:tabs>
        <w:tab w:val="center" w:pos="4680"/>
        <w:tab w:val="right" w:pos="9360"/>
      </w:tabs>
      <w:spacing w:after="0" w:line="240" w:lineRule="auto"/>
    </w:pPr>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Body Text 2"/>
    <w:basedOn w:val="1"/>
    <w:link w:val="147"/>
    <w:unhideWhenUsed/>
    <w:qFormat/>
    <w:uiPriority w:val="99"/>
    <w:pPr>
      <w:spacing w:after="120" w:line="480" w:lineRule="auto"/>
    </w:pPr>
  </w:style>
  <w:style w:type="paragraph" w:styleId="30">
    <w:name w:val="List Continue 2"/>
    <w:basedOn w:val="1"/>
    <w:unhideWhenUsed/>
    <w:qFormat/>
    <w:uiPriority w:val="99"/>
    <w:pPr>
      <w:spacing w:after="120"/>
      <w:ind w:left="720"/>
      <w:contextualSpacing/>
    </w:pPr>
  </w:style>
  <w:style w:type="paragraph" w:styleId="31">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6"/>
    <w:qFormat/>
    <w:uiPriority w:val="99"/>
  </w:style>
  <w:style w:type="character" w:customStyle="1" w:styleId="138">
    <w:name w:val="Footer Char"/>
    <w:basedOn w:val="134"/>
    <w:link w:val="25"/>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imes New Roman" w:hAnsi="Times New Roman" w:eastAsia="黑体" w:cstheme="majorBidi"/>
      <w:b/>
      <w:bCs/>
      <w:color w:val="376092" w:themeColor="accent1" w:themeShade="BF"/>
      <w:sz w:val="28"/>
      <w:szCs w:val="28"/>
    </w:rPr>
  </w:style>
  <w:style w:type="character" w:customStyle="1" w:styleId="141">
    <w:name w:val="Heading 2 Char"/>
    <w:basedOn w:val="134"/>
    <w:link w:val="4"/>
    <w:qFormat/>
    <w:uiPriority w:val="9"/>
    <w:rPr>
      <w:rFonts w:ascii="Times New Roman" w:hAnsi="Times New Roman" w:eastAsia="黑体" w:cstheme="majorBidi"/>
      <w:b/>
      <w:bCs/>
      <w:color w:val="4F81BD" w:themeColor="accent1"/>
      <w:sz w:val="21"/>
      <w:szCs w:val="21"/>
      <w14:textFill>
        <w14:solidFill>
          <w14:schemeClr w14:val="accent1"/>
        </w14:solidFill>
      </w14:textFill>
    </w:rPr>
  </w:style>
  <w:style w:type="character" w:customStyle="1" w:styleId="142">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20"/>
    <w:qFormat/>
    <w:uiPriority w:val="99"/>
  </w:style>
  <w:style w:type="character" w:customStyle="1" w:styleId="147">
    <w:name w:val="Body Text 2 Char"/>
    <w:basedOn w:val="134"/>
    <w:link w:val="29"/>
    <w:qFormat/>
    <w:uiPriority w:val="99"/>
  </w:style>
  <w:style w:type="character" w:customStyle="1" w:styleId="148">
    <w:name w:val="Body Text 3 Char"/>
    <w:basedOn w:val="134"/>
    <w:link w:val="18"/>
    <w:qFormat/>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Manuscript Caption"/>
    <w:basedOn w:val="1"/>
    <w:qFormat/>
    <w:uiPriority w:val="0"/>
    <w:pPr>
      <w:spacing w:before="120" w:after="120"/>
    </w:pPr>
    <w:rPr>
      <w:rFonts w:ascii="Times New Roman" w:hAnsi="Times New Roman" w:eastAsia="宋体"/>
      <w:color w:val="000000"/>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6" Type="http://schemas.microsoft.com/office/2011/relationships/people" Target="people.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8595</Words>
  <Characters>56645</Characters>
  <Lines>0</Lines>
  <Paragraphs>0</Paragraphs>
  <TotalTime>2</TotalTime>
  <ScaleCrop>false</ScaleCrop>
  <LinksUpToDate>false</LinksUpToDate>
  <CharactersWithSpaces>64940</CharactersWithSpaces>
  <Application>WPS Office_12.1.0.28022_F1E327BC-269C-435d-A152-05C5408002CA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Dream</cp:lastModifiedBy>
  <dcterms:modified xsi:type="dcterms:W3CDTF">2026-08-28T12:54:54Z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eyJoZGlkIjoiNjY3MDVmYTg5NmRlZmY1MGJhMDkzYTc0OWU2ZTA4YWUiLCJ1c2VySWQiOiIxMjAyNDE4MzIzIn0=</vt:lpwstr>
  </property>
  <property fmtid="{D5CDD505-2E9C-101B-9397-08002B2CF9AE}" pid="3" name="KSOProductBuildVer">
    <vt:lpwstr>2052-12.1.0.28022</vt:lpwstr>
  </property>
  <property fmtid="{D5CDD505-2E9C-101B-9397-08002B2CF9AE}" pid="4" name="ICV">
    <vt:lpwstr>D75CFDC2D17F4409A81F1EB8D91DE95E_13</vt:lpwstr>
  </property>
</Properties>
</file>