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5C90F">
      <w:pPr>
        <w:pStyle w:val="3"/>
      </w:pPr>
      <w:r>
        <w:rPr>
          <w:rFonts w:ascii="Times New Roman" w:hAnsi="Times New Roman" w:eastAsia="Times New Roman"/>
          <w:sz w:val="28"/>
        </w:rPr>
        <w:t>Supplementary Figures S1-S7 (preview, not for submission)</w:t>
      </w:r>
    </w:p>
    <w:p w14:paraId="671C8025">
      <w:bookmarkStart w:id="0" w:name="_GoBack"/>
      <w:bookmarkEnd w:id="0"/>
      <w:r>
        <w:rPr>
          <w:rFonts w:ascii="Times New Roman" w:hAnsi="Times New Roman"/>
          <w:sz w:val="22"/>
        </w:rPr>
        <w:t>Supplementary Figure S1. Discovery object provenance and AUcell-matched input overview. Sample composition of the GSE268807 astrocyte pilot object, QC/downsampling tracking, the final sample-by-group cell matrix, and construction of the AUCell-matched analysis object.</w:t>
      </w:r>
    </w:p>
    <w:p w14:paraId="7352E515">
      <w:r>
        <w:drawing>
          <wp:inline distT="0" distB="0" distL="114300" distR="114300">
            <wp:extent cx="594360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39E9"/>
    <w:p w14:paraId="1D12A8CB">
      <w:r>
        <w:rPr>
          <w:rFonts w:ascii="Times New Roman" w:hAnsi="Times New Roman"/>
          <w:sz w:val="22"/>
        </w:rPr>
        <w:t>Supplementary Figure S2. Full differential regulon landscape in the GSE268807 astrocyte pilot. Complete differential regulon landscape, all-regulon differential summary, and ranked internal-control-associated and lesion-associated regulons, complementing main Figure 2.</w:t>
      </w:r>
    </w:p>
    <w:p w14:paraId="14084ED8">
      <w:r>
        <w:drawing>
          <wp:inline distT="0" distB="0" distL="114300" distR="114300">
            <wp:extent cx="5943600" cy="416433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526"/>
    <w:p w14:paraId="688D1D56">
      <w:r>
        <w:rPr>
          <w:rFonts w:ascii="Times New Roman" w:hAnsi="Times New Roman"/>
          <w:sz w:val="22"/>
        </w:rPr>
        <w:t>Supplementary Figure S3. Complete CellOracle in silico perturbation metrics and randomized-control assessment. Full CellOracle in silico perturbation metrics for candidate transcription factors, representative simulated perturbation fields, and randomized-control assessment. These results represent computational simulation only and do not constitute experimental knockout or disease-reversal evidence.</w:t>
      </w:r>
    </w:p>
    <w:p w14:paraId="10AC4895">
      <w:r>
        <w:drawing>
          <wp:inline distT="0" distB="0" distL="114300" distR="114300">
            <wp:extent cx="5943600" cy="4189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493B"/>
    <w:p w14:paraId="44A73F95">
      <w:r>
        <w:rPr>
          <w:rFonts w:ascii="Times New Roman" w:hAnsi="Times New Roman"/>
          <w:sz w:val="22"/>
        </w:rPr>
        <w:t>Supplementary Figure S4. Complete sample-level robustness and sensitivity analyses. Leave-one-sample-out expression effects, leave-one-sample-out regulon effects, pseudobulk support, and threshold sensitivity analyses evaluating sample-level robustness of the candidate transcription factor signals.</w:t>
      </w:r>
    </w:p>
    <w:p w14:paraId="2DEDFAED">
      <w:r>
        <w:drawing>
          <wp:inline distT="0" distB="0" distL="114300" distR="114300">
            <wp:extent cx="5943600" cy="384937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30E6"/>
    <w:p w14:paraId="11E3EEB3">
      <w:r>
        <w:rPr>
          <w:rFonts w:ascii="Times New Roman" w:hAnsi="Times New Roman"/>
          <w:sz w:val="22"/>
        </w:rPr>
        <w:t>Supplementary Figure S5. Supportive/contextual evidence from GSE140393 and GSE190452. (A) GSE140393 single-group expression-support heatmap across 5 samples for the four candidate TFs; (B) ranked single-group support score (NFE2L2: disease-side; THRB: partial internal-control-like; SOX2: partial / retained; BHLHE40: attenuated); (C) GSE190452 cross-syndrome expression vs. target-set support scatter (THRB, BHLHE40, SOX2, NFE2L2); (D) GSE190452 cluster-level directionally-signed expression-support heatmap across 32 clusters. Conservative interpretation: NFE2L2 shows consistent disease-side support; THRB shows partial internal-control-like support; SOX2 and BHLHE40 show only partial / attenuated support. All findings are supportive/contextual and do not constitute independent regulon-level replication.</w:t>
      </w:r>
    </w:p>
    <w:p w14:paraId="3A1198E4">
      <w:r>
        <w:drawing>
          <wp:inline distT="0" distB="0" distL="114300" distR="114300">
            <wp:extent cx="5943600" cy="352615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538"/>
    <w:p w14:paraId="2D9EDECA">
      <w:r>
        <w:rPr>
          <w:rFonts w:ascii="Times New Roman" w:hAnsi="Times New Roman"/>
          <w:sz w:val="22"/>
        </w:rPr>
        <w:t>Supplementary Figure S6. Full functional enrichment landscape and program convergence. Complete GO/KEGG enrichment landscape for NFE2L2, THRB, BHLHE40, and SOX2, regulon-DEG program convergence, and significant functional term counts.</w:t>
      </w:r>
    </w:p>
    <w:p w14:paraId="2D145B37">
      <w:r>
        <w:drawing>
          <wp:inline distT="0" distB="0" distL="114300" distR="114300">
            <wp:extent cx="5943600" cy="482663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193D"/>
    <w:p w14:paraId="2F75A5E2">
      <w:r>
        <w:rPr>
          <w:rFonts w:ascii="Times New Roman" w:hAnsi="Times New Roman"/>
          <w:sz w:val="22"/>
        </w:rPr>
        <w:t>Supplementary Figure S7. Exploratory drug-signature enrichment and BBB-layered prioritization. (A) BBB-layered exploratory clue matrix for the four candidate TFs (mechanism-direction / supportive / peripheral-program-modulating); (B) ranked exploratory after-BBB drug-signature clues; (C) pre-BBB vs. after-BBB exploratory score shift; (D) mechanism-theme distribution across the three exploratory layers. Conservative interpretation: mechanism-direction clues are enrichment-derived, BBB-retained, and hypothesis-generating only; supportive clues are secondary signals requiring manual review; peripheral/program-modulating clues are program-linked but not prioritized for CNS-directed interpretation. No compound is interpreted as a validated therapy or treatment recommendation. BBB = blood-brain barrier.</w:t>
      </w:r>
    </w:p>
    <w:p w14:paraId="43F862CB">
      <w:r>
        <w:drawing>
          <wp:inline distT="0" distB="0" distL="114300" distR="114300">
            <wp:extent cx="5943600" cy="3422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59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21BF1"/>
    <w:rsid w:val="4822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369</Words>
  <Characters>2929</Characters>
  <Lines>0</Lines>
  <Paragraphs>0</Paragraphs>
  <TotalTime>1</TotalTime>
  <ScaleCrop>false</ScaleCrop>
  <LinksUpToDate>false</LinksUpToDate>
  <CharactersWithSpaces>3289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Dream</cp:lastModifiedBy>
  <dcterms:modified xsi:type="dcterms:W3CDTF">2026-08-28T11:35:23Z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eyJoZGlkIjoiNjY3MDVmYTg5NmRlZmY1MGJhMDkzYTc0OWU2ZTA4YWUiLCJ1c2VySWQiOiIxMjAyNDE4MzIzIn0=</vt:lpwstr>
  </property>
  <property fmtid="{D5CDD505-2E9C-101B-9397-08002B2CF9AE}" pid="3" name="KSOProductBuildVer">
    <vt:lpwstr>2052-12.1.0.28022</vt:lpwstr>
  </property>
  <property fmtid="{D5CDD505-2E9C-101B-9397-08002B2CF9AE}" pid="4" name="ICV">
    <vt:lpwstr>1F286BBF7D844736BE8A8DCC0F6EB6AD_12</vt:lpwstr>
  </property>
</Properties>
</file>