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AFE6D">
      <w:pPr>
        <w:pStyle w:val="3"/>
      </w:pPr>
      <w:r>
        <w:t>Table 1. Analytical datasets and object roles</w:t>
      </w:r>
      <w:bookmarkStart w:id="0" w:name="_GoBack"/>
      <w:bookmarkEnd w:id="0"/>
    </w:p>
    <w:tbl>
      <w:tblPr>
        <w:tblStyle w:val="32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1404"/>
        <w:gridCol w:w="1545"/>
        <w:gridCol w:w="987"/>
        <w:gridCol w:w="1450"/>
        <w:gridCol w:w="2056"/>
      </w:tblGrid>
      <w:tr w14:paraId="3577FE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8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AD60823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Dataset</w:t>
            </w:r>
          </w:p>
        </w:tc>
        <w:tc>
          <w:tcPr>
            <w:tcW w:w="792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812E5E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Role</w:t>
            </w:r>
          </w:p>
        </w:tc>
        <w:tc>
          <w:tcPr>
            <w:tcW w:w="872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96ABAA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Analysis object</w:t>
            </w:r>
          </w:p>
        </w:tc>
        <w:tc>
          <w:tcPr>
            <w:tcW w:w="557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21F8448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Cell number</w:t>
            </w:r>
          </w:p>
        </w:tc>
        <w:tc>
          <w:tcPr>
            <w:tcW w:w="818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58BA1DF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Comparison</w:t>
            </w:r>
          </w:p>
        </w:tc>
        <w:tc>
          <w:tcPr>
            <w:tcW w:w="1160" w:type="pct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3160D50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Use in this study</w:t>
            </w:r>
          </w:p>
        </w:tc>
      </w:tr>
      <w:tr w14:paraId="509833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8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DEF0044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GSE268807 astrocyte object</w:t>
            </w:r>
          </w:p>
        </w:tc>
        <w:tc>
          <w:tcPr>
            <w:tcW w:w="792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72223F2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Discovery dataset</w:t>
            </w:r>
          </w:p>
        </w:tc>
        <w:tc>
          <w:tcPr>
            <w:tcW w:w="872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987CE3C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AUCell-matched FCD II astrocyte object</w:t>
            </w:r>
          </w:p>
        </w:tc>
        <w:tc>
          <w:tcPr>
            <w:tcW w:w="557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51FAC57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2,322</w:t>
            </w:r>
          </w:p>
        </w:tc>
        <w:tc>
          <w:tcPr>
            <w:tcW w:w="818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939879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Lesion vs internal-control</w:t>
            </w:r>
          </w:p>
        </w:tc>
        <w:tc>
          <w:tcPr>
            <w:tcW w:w="1160" w:type="pct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744D136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Regulon discovery; differential regulon analysis; CellOracle in silico perturbation; internal robustness analysis</w:t>
            </w:r>
          </w:p>
        </w:tc>
      </w:tr>
      <w:tr w14:paraId="45008B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2049BA0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GSE140393</w:t>
            </w:r>
          </w:p>
        </w:tc>
        <w:tc>
          <w:tcPr>
            <w:tcW w:w="79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8C45584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Supportive expression analysis</w:t>
            </w:r>
          </w:p>
        </w:tc>
        <w:tc>
          <w:tcPr>
            <w:tcW w:w="872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AD391EC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FCD II lesion astrocyte expression object</w:t>
            </w:r>
          </w:p>
        </w:tc>
        <w:tc>
          <w:tcPr>
            <w:tcW w:w="557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E663F6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11,399</w:t>
            </w:r>
          </w:p>
        </w:tc>
        <w:tc>
          <w:tcPr>
            <w:tcW w:w="818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E0D0BE7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Single-group lesion object</w:t>
            </w:r>
          </w:p>
        </w:tc>
        <w:tc>
          <w:tcPr>
            <w:tcW w:w="1160" w:type="pct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564872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Expression-level support for candidate transcription factors and gene sets</w:t>
            </w:r>
          </w:p>
        </w:tc>
      </w:tr>
      <w:tr w14:paraId="4138A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8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3A0352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GSE190452</w:t>
            </w:r>
          </w:p>
        </w:tc>
        <w:tc>
          <w:tcPr>
            <w:tcW w:w="792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C83BF4A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Cross-syndrome supportive analysis</w:t>
            </w:r>
          </w:p>
        </w:tc>
        <w:tc>
          <w:tcPr>
            <w:tcW w:w="872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C28A117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TLE/control expression object</w:t>
            </w:r>
          </w:p>
        </w:tc>
        <w:tc>
          <w:tcPr>
            <w:tcW w:w="557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0FBE79B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69,968</w:t>
            </w:r>
          </w:p>
        </w:tc>
        <w:tc>
          <w:tcPr>
            <w:tcW w:w="818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D1E0611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TLE vs non-epilepsy control</w:t>
            </w:r>
          </w:p>
        </w:tc>
        <w:tc>
          <w:tcPr>
            <w:tcW w:w="1160" w:type="pct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5C5DF22">
            <w:pPr>
              <w:snapToGrid w:val="0"/>
              <w:spacing w:line="240" w:lineRule="auto"/>
              <w:ind w:left="0" w:leftChars="0" w:right="0" w:rightChars="0" w:firstLine="0" w:firstLineChars="0"/>
            </w:pPr>
            <w:r>
              <w:t>Cross-syndrome expression and gene-set support analysis</w:t>
            </w:r>
          </w:p>
        </w:tc>
      </w:tr>
    </w:tbl>
    <w:p w14:paraId="1A412E7D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7C1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620</Characters>
  <Lines>0</Lines>
  <Paragraphs>0</Paragraphs>
  <TotalTime>0</TotalTime>
  <ScaleCrop>false</ScaleCrop>
  <LinksUpToDate>false</LinksUpToDate>
  <CharactersWithSpaces>680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Dream</cp:lastModifiedBy>
  <dcterms:modified xsi:type="dcterms:W3CDTF">2026-08-28T10:34:43Z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eyJoZGlkIjoiNjY3MDVmYTg5NmRlZmY1MGJhMDkzYTc0OWU2ZTA4YWUiLCJ1c2VySWQiOiIxMjAyNDE4MzIzIn0=</vt:lpwstr>
  </property>
  <property fmtid="{D5CDD505-2E9C-101B-9397-08002B2CF9AE}" pid="3" name="KSOProductBuildVer">
    <vt:lpwstr>2052-12.1.0.28022</vt:lpwstr>
  </property>
  <property fmtid="{D5CDD505-2E9C-101B-9397-08002B2CF9AE}" pid="4" name="ICV">
    <vt:lpwstr>458E8D2AD4894DB78609A32A866FB195_12</vt:lpwstr>
  </property>
</Properties>
</file>