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EBD20C">
      <w:pPr>
        <w:pStyle w:val="3"/>
      </w:pPr>
      <w:r>
        <w:t>Table 2. Integrated prioritization of candidate transcription factors</w:t>
      </w:r>
    </w:p>
    <w:tbl>
      <w:tblPr>
        <w:tblStyle w:val="32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3"/>
        <w:gridCol w:w="915"/>
        <w:gridCol w:w="945"/>
        <w:gridCol w:w="1154"/>
        <w:gridCol w:w="1909"/>
        <w:gridCol w:w="1971"/>
        <w:gridCol w:w="1089"/>
      </w:tblGrid>
      <w:tr w14:paraId="32E34D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502" w:type="pct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DF87F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bookmarkStart w:id="0" w:name="_GoBack"/>
            <w:bookmarkEnd w:id="0"/>
            <w:r>
              <w:rPr>
                <w:b/>
              </w:rPr>
              <w:t>TF</w:t>
            </w:r>
          </w:p>
        </w:tc>
        <w:tc>
          <w:tcPr>
            <w:tcW w:w="526" w:type="pct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FFDF4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Axis direction</w:t>
            </w:r>
          </w:p>
        </w:tc>
        <w:tc>
          <w:tcPr>
            <w:tcW w:w="543" w:type="pct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B8D92E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Discovery evidence</w:t>
            </w:r>
          </w:p>
        </w:tc>
        <w:tc>
          <w:tcPr>
            <w:tcW w:w="628" w:type="pct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6758F8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In silico perturbation evidence</w:t>
            </w:r>
          </w:p>
        </w:tc>
        <w:tc>
          <w:tcPr>
            <w:tcW w:w="1033" w:type="pct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087AD0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Robustness/supportive evidence</w:t>
            </w:r>
          </w:p>
        </w:tc>
        <w:tc>
          <w:tcPr>
            <w:tcW w:w="1138" w:type="pct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2D6AE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Program interpretation</w:t>
            </w:r>
          </w:p>
        </w:tc>
        <w:tc>
          <w:tcPr>
            <w:tcW w:w="627" w:type="pct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4FF6A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Final priority</w:t>
            </w:r>
          </w:p>
        </w:tc>
      </w:tr>
      <w:tr w14:paraId="41EE8E6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502" w:type="pct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082A4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NFE2L2</w:t>
            </w:r>
          </w:p>
        </w:tc>
        <w:tc>
          <w:tcPr>
            <w:tcW w:w="526" w:type="pct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77DD0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Lesion-associated</w:t>
            </w:r>
          </w:p>
        </w:tc>
        <w:tc>
          <w:tcPr>
            <w:tcW w:w="543" w:type="pct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EB645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Lesion-side expression and regulon activity</w:t>
            </w:r>
          </w:p>
        </w:tc>
        <w:tc>
          <w:tcPr>
            <w:tcW w:w="628" w:type="pct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F827D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Highest mean shift; Approx. RI rank 2</w:t>
            </w:r>
          </w:p>
        </w:tc>
        <w:tc>
          <w:tcPr>
            <w:tcW w:w="1033" w:type="pct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CEE91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Stable internal direction; disease-side contextual support</w:t>
            </w:r>
          </w:p>
        </w:tc>
        <w:tc>
          <w:tcPr>
            <w:tcW w:w="1138" w:type="pct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B3C960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Stress response and transcriptional reprogramming</w:t>
            </w:r>
          </w:p>
        </w:tc>
        <w:tc>
          <w:tcPr>
            <w:tcW w:w="627" w:type="pct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14CF0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Primary lesion-associated axis</w:t>
            </w:r>
          </w:p>
        </w:tc>
      </w:tr>
      <w:tr w14:paraId="5F2A61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502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62D58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THRB</w:t>
            </w:r>
          </w:p>
        </w:tc>
        <w:tc>
          <w:tcPr>
            <w:tcW w:w="526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778E9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Internal-control-associated</w:t>
            </w:r>
          </w:p>
        </w:tc>
        <w:tc>
          <w:tcPr>
            <w:tcW w:w="543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DF66E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Internal-control-side regulon activity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29619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Highest Approx. RI; mean shift rank 2</w:t>
            </w:r>
          </w:p>
        </w:tc>
        <w:tc>
          <w:tcPr>
            <w:tcW w:w="1033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BCF748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Stable internal direction; partial control-like supportive signal</w:t>
            </w:r>
          </w:p>
        </w:tc>
        <w:tc>
          <w:tcPr>
            <w:tcW w:w="1138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690FA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Homeostatic, synaptic and calcium-related support</w:t>
            </w:r>
          </w:p>
        </w:tc>
        <w:tc>
          <w:tcPr>
            <w:tcW w:w="627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152A4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Primary homeostatic-support program</w:t>
            </w:r>
          </w:p>
        </w:tc>
      </w:tr>
      <w:tr w14:paraId="310645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502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B6FE0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BHLHE40</w:t>
            </w:r>
          </w:p>
        </w:tc>
        <w:tc>
          <w:tcPr>
            <w:tcW w:w="526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EB234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Lesion-associated</w:t>
            </w:r>
          </w:p>
        </w:tc>
        <w:tc>
          <w:tcPr>
            <w:tcW w:w="543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18EC9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Lesion-side expression and regulon activity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F957E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Intermediate perturbation effect</w:t>
            </w:r>
          </w:p>
        </w:tc>
        <w:tc>
          <w:tcPr>
            <w:tcW w:w="1033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73F7A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Stable internal evidence; weaker external support</w:t>
            </w:r>
          </w:p>
        </w:tc>
        <w:tc>
          <w:tcPr>
            <w:tcW w:w="1138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2B8225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Secondary stress/inflammatory response program</w:t>
            </w:r>
          </w:p>
        </w:tc>
        <w:tc>
          <w:tcPr>
            <w:tcW w:w="627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23FE5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Secondary lesion-associated factor</w:t>
            </w:r>
          </w:p>
        </w:tc>
      </w:tr>
      <w:tr w14:paraId="27FAC90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502" w:type="pct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96BB55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SOX2</w:t>
            </w:r>
          </w:p>
        </w:tc>
        <w:tc>
          <w:tcPr>
            <w:tcW w:w="526" w:type="pct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244B1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Lesion-associated</w:t>
            </w:r>
          </w:p>
        </w:tc>
        <w:tc>
          <w:tcPr>
            <w:tcW w:w="543" w:type="pct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0BAEC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Lesion-side expression and regulon activity</w:t>
            </w:r>
          </w:p>
        </w:tc>
        <w:tc>
          <w:tcPr>
            <w:tcW w:w="628" w:type="pct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D364A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Lowest perturbation effect among the four candidates</w:t>
            </w:r>
          </w:p>
        </w:tc>
        <w:tc>
          <w:tcPr>
            <w:tcW w:w="1033" w:type="pct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CB2881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Stable internal evidence; target-limited support</w:t>
            </w:r>
          </w:p>
        </w:tc>
        <w:tc>
          <w:tcPr>
            <w:tcW w:w="1138" w:type="pct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2EF35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Developmental/plasticity-related retained program</w:t>
            </w:r>
          </w:p>
        </w:tc>
        <w:tc>
          <w:tcPr>
            <w:tcW w:w="627" w:type="pct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C11BE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Retained lower-priority factor</w:t>
            </w:r>
          </w:p>
        </w:tc>
      </w:tr>
    </w:tbl>
    <w:p w14:paraId="41F1FEEE"/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6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46F4F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126</Words>
  <Characters>1076</Characters>
  <Lines>0</Lines>
  <Paragraphs>0</Paragraphs>
  <TotalTime>0</TotalTime>
  <ScaleCrop>false</ScaleCrop>
  <LinksUpToDate>false</LinksUpToDate>
  <CharactersWithSpaces>1166</CharactersWithSpaces>
  <Application>WPS Office_12.1.0.28022_F1E327BC-269C-435d-A152-05C5408002CA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Dream</cp:lastModifiedBy>
  <dcterms:modified xsi:type="dcterms:W3CDTF">2026-08-28T10:34:57Z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eyJoZGlkIjoiNjY3MDVmYTg5NmRlZmY1MGJhMDkzYTc0OWU2ZTA4YWUiLCJ1c2VySWQiOiIxMjAyNDE4MzIzIn0=</vt:lpwstr>
  </property>
  <property fmtid="{D5CDD505-2E9C-101B-9397-08002B2CF9AE}" pid="3" name="KSOProductBuildVer">
    <vt:lpwstr>2052-12.1.0.28022</vt:lpwstr>
  </property>
  <property fmtid="{D5CDD505-2E9C-101B-9397-08002B2CF9AE}" pid="4" name="ICV">
    <vt:lpwstr>935E6B03AD04411DB739F16A27123F38_12</vt:lpwstr>
  </property>
</Properties>
</file>