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noProof/>
        </w:rPr>
        <w:drawing>
          <wp:inline xmlns:wp="http://schemas.openxmlformats.org/drawingml/2006/wordprocessingDrawing" distT="0" distB="0" distL="0" distR="0">
            <wp:extent cx="2400000" cy="380000"/>
            <wp:docPr id="1" name="AILabel"/>
            <a:graphic xmlns:a="http://schemas.openxmlformats.org/drawingml/2006/main">
              <a:graphicData uri="http://schemas.microsoft.com/office/word/2010/wordprocessingShape">
                <wps:wsp xmlns:wps="http://schemas.microsoft.com/office/word/2010/wordprocessingShape">
                  <wps:cNvSpPr txBox="1"/>
                  <wps:spPr>
                    <a:xfrm>
                      <a:off x="0" y="0"/>
                      <a:ext cx="2400000" cy="380000"/>
                    </a:xfrm>
                    <a:prstGeom prst="rect">
                      <a:avLst/>
                    </a:prstGeom>
                    <a:solidFill>
                      <a:srgbClr val="000000">
                        <a:alpha val="50000"/>
                      </a:srgbClr>
                    </a:solidFill>
                    <a:ln w="12700">
                      <a:solidFill>
                        <a:srgbClr val="FFFFFF"/>
                      </a:solidFill>
                    </a:ln>
                  </wps:spPr>
                  <wps:txbx>
                    <w:txbxContent xmlns:w="http://schemas.openxmlformats.org/wordprocessingml/2006/main">
                      <w:p>
                        <w:pPr>
                          <w:jc w:val="center"/>
                        </w:pPr>
                        <w:r>
                          <w:rPr>
                            <w:b/>
                            <w:sz w:val="28"/>
                            <w:szCs w:val="28"/>
                            <w:rFonts w:eastAsia="SimSun" w:ascii="Arial" w:hAnsi="Arial"/>
                            <w:color w:val="FFFFFF"/>
                          </w:rPr>
                          <w:t>含 AI 生成</w:t>
                        </w:r>
                      </w:p>
                    </w:txbxContent>
                  </wps:txbx>
                  <wps:bodyPr anchor="ctr" anchorCtr="0" lIns="91440" tIns="45720" rIns="91440" bIns="45720">
                    <a:noAutofit/>
                  </wps:bodyPr>
                </wps:wsp>
              </a:graphicData>
            </a:graphic>
          </wp:inline>
        </w:drawing>
      </w:r>
    </w:p>
    <w:p/>
    <w:p w14:paraId="0B95F569">
      <w:pPr>
        <w:spacing w:after="120"/>
        <w:jc w:val="both"/>
      </w:pPr>
      <w:bookmarkStart w:id="0" w:name="_GoBack"/>
      <w:bookmarkEnd w:id="0"/>
      <w:r>
        <w:rPr>
          <w:rFonts w:ascii="Times New Roman" w:hAnsi="Times New Roman"/>
          <w:sz w:val="22"/>
        </w:rPr>
        <w:t>Dear Editors,</w:t>
      </w:r>
    </w:p>
    <w:p w14:paraId="730DAA7E">
      <w:pPr>
        <w:spacing w:after="120"/>
        <w:jc w:val="both"/>
      </w:pPr>
      <w:r>
        <w:rPr>
          <w:rFonts w:ascii="Times New Roman" w:hAnsi="Times New Roman"/>
          <w:b w:val="0"/>
          <w:sz w:val="22"/>
        </w:rPr>
        <w:t xml:space="preserve">Please consider our Research Article, “Single-nucleus transcriptomic reanalysis prioritizes NFE2L2 and THRB regulatory programs in focal cortical dysplasia type II astrocytes”, for BMC Genomics. In this work we show that FCD II lesion astrocytes simultaneously carry an up-regulated </w:t>
      </w:r>
      <w:r>
        <w:rPr>
          <w:rFonts w:ascii="Times New Roman" w:hAnsi="Times New Roman"/>
          <w:b/>
          <w:sz w:val="22"/>
        </w:rPr>
        <w:t>NFE2L2 stress-adaptation program</w:t>
      </w:r>
      <w:r>
        <w:rPr>
          <w:rFonts w:ascii="Times New Roman" w:hAnsi="Times New Roman"/>
          <w:b w:val="0"/>
          <w:sz w:val="22"/>
        </w:rPr>
        <w:t xml:space="preserve"> and a down-regulated </w:t>
      </w:r>
      <w:r>
        <w:rPr>
          <w:rFonts w:ascii="Times New Roman" w:hAnsi="Times New Roman"/>
          <w:b/>
          <w:sz w:val="22"/>
        </w:rPr>
        <w:t>THRB homeostatic program</w:t>
      </w:r>
      <w:r>
        <w:rPr>
          <w:rFonts w:ascii="Times New Roman" w:hAnsi="Times New Roman"/>
          <w:b w:val="0"/>
          <w:sz w:val="22"/>
        </w:rPr>
        <w:t xml:space="preserve">, and we tie the lesion-side program to mTOR-axis compounds with documented </w:t>
      </w:r>
      <w:r>
        <w:rPr>
          <w:rFonts w:ascii="Times New Roman" w:hAnsi="Times New Roman"/>
          <w:b/>
          <w:sz w:val="22"/>
        </w:rPr>
        <w:t>blood-brain-barrier penetration</w:t>
      </w:r>
      <w:r>
        <w:rPr>
          <w:rFonts w:ascii="Times New Roman" w:hAnsi="Times New Roman"/>
          <w:b w:val="0"/>
          <w:sz w:val="22"/>
        </w:rPr>
        <w:t>.</w:t>
      </w:r>
    </w:p>
    <w:p w14:paraId="35EBE8A1">
      <w:pPr>
        <w:spacing w:after="120"/>
        <w:jc w:val="both"/>
      </w:pPr>
      <w:r>
        <w:rPr>
          <w:rFonts w:ascii="Times New Roman" w:hAnsi="Times New Roman"/>
          <w:b w:val="0"/>
          <w:sz w:val="22"/>
        </w:rPr>
        <w:t xml:space="preserve">Focal cortical dysplasia type II (FCD II) is a major structural cause of drug-resistant focal epilepsy. Single-cell and spatial studies have mapped the cell states of the lesion, but the upstream transcription-factor programs that organise astrocyte states in FCD II have remained undefined. We reanalysed the astrocyte compartment of GSE268807, which is unusual in providing lesion-tissue and patient-matched internal-control astrocytes from the </w:t>
      </w:r>
      <w:r>
        <w:rPr>
          <w:rFonts w:ascii="Times New Roman" w:hAnsi="Times New Roman"/>
          <w:b/>
          <w:sz w:val="22"/>
        </w:rPr>
        <w:t>same donors</w:t>
      </w:r>
      <w:r>
        <w:rPr>
          <w:rFonts w:ascii="Times New Roman" w:hAnsi="Times New Roman"/>
          <w:b w:val="0"/>
          <w:sz w:val="22"/>
        </w:rPr>
        <w:t>. We built the analysis around regulon activity, in silico perturbation and layered robustness testing.</w:t>
      </w:r>
    </w:p>
    <w:p>
      <w:pPr>
        <w:spacing w:after="120"/>
        <w:jc w:val="both"/>
      </w:pPr>
      <w:r>
        <w:rPr>
          <w:rFonts w:ascii="Times New Roman" w:hAnsi="Times New Roman"/>
          <w:sz w:val="22"/>
        </w:rPr>
        <w:t xml:space="preserve">76 regulons</w:t>
      </w:r>
      <w:r>
        <w:rPr>
          <w:rFonts w:hint="eastAsia" w:eastAsia="宋体"/>
          <w:sz w:val="22"/>
          <w:lang w:val="en-US" w:eastAsia="zh-CN"/>
        </w:rPr>
        <w:t xml:space="preserve"> </w:t>
      </w:r>
      <w:r>
        <w:rPr>
          <w:rFonts w:ascii="Times New Roman" w:hAnsi="Times New Roman"/>
          <w:sz w:val="22"/>
        </w:rPr>
        <w:t>differed between lesion tissue and internal control. NFE2L2 was the leading lesion-side regulatory program</w:t>
      </w:r>
      <w:r>
        <w:rPr>
          <w:rFonts w:ascii="Times New Roman" w:hAnsi="Times New Roman"/>
          <w:b w:val="0"/>
          <w:sz w:val="22"/>
        </w:rPr>
        <w:t xml:space="preserve"> </w:t>
      </w:r>
      <w:r>
        <w:rPr>
          <w:rFonts w:ascii="Times New Roman" w:hAnsi="Times New Roman"/>
          <w:sz w:val="22"/>
        </w:rPr>
        <w:t>and produced the largest simulated cell-state displacement. THRB showed the largest reduction in lesion tissue and produced the second largest simulated cell-state displacement. Both programs kept their direction across donors and across expression scales, under a threshold grid and under a stricter motif-supported network, and both were supported at the expression level in GSE140393 and GSE190452.</w:t>
      </w:r>
    </w:p>
    <w:p w14:paraId="5C63D75D">
      <w:pPr>
        <w:pStyle w:val="31"/>
        <w:spacing w:after="120"/>
      </w:pPr>
      <w:r>
        <w:rPr>
          <w:rFonts w:ascii="Times New Roman" w:hAnsi="Times New Roman"/>
          <w:b w:val="0"/>
          <w:sz w:val="22"/>
        </w:rPr>
        <w:t xml:space="preserve">The study makes three contributions. First, the </w:t>
      </w:r>
      <w:r>
        <w:rPr>
          <w:rFonts w:ascii="Times New Roman" w:hAnsi="Times New Roman"/>
          <w:b/>
          <w:sz w:val="22"/>
        </w:rPr>
        <w:t>same-donor lesion/internal-control design</w:t>
      </w:r>
      <w:r>
        <w:rPr>
          <w:rFonts w:ascii="Times New Roman" w:hAnsi="Times New Roman"/>
          <w:b w:val="0"/>
          <w:sz w:val="22"/>
        </w:rPr>
        <w:t xml:space="preserve"> isolates lesion-associated regulatory changes from inter-donor variation, a comparison not available in most published FCD single-cell datasets. Second,</w:t>
      </w:r>
      <w:r>
        <w:rPr>
          <w:rFonts w:ascii="Times New Roman" w:hAnsi="Times New Roman"/>
          <w:b w:val="0"/>
          <w:sz w:val="22"/>
          <w:lang w:eastAsia="en-US" w:bidi="ar-SA"/>
        </w:rPr>
        <w:t xml:space="preserve"> </w:t>
      </w:r>
      <w:r>
        <w:rPr>
          <w:rFonts w:ascii="Times New Roman" w:hAnsi="Times New Roman" w:eastAsia="Times New Roman" w:cstheme="minorBidi"/>
          <w:sz w:val="22"/>
          <w:szCs w:val="22"/>
          <w:lang w:eastAsia="en-US" w:bidi="ar-SA"/>
        </w:rPr>
        <w:t>we analyse paired samples in a candidate-restricted, multi-layer robustness framework that couples regulon-activity scoring and in silico perturbation with orthogonal checks (donor pairing, expression scale, an 81-point threshold grid, a stricter motif-supported network, permutation-based null), and is transferable to other paired lesion/control single-nucleus datasets. In the same astrocyte population, it separates an NFE2L2 stress-adaptation and transcriptional-reprogramming program (increased in lesion tissue) from a homeostatic THRB synaptic and calcium-support program (reduced in lesion tissue), yielding novel insights into FCD II pathogenesis and a prioritised, reproducibility-annotated seven-candidate set (NFE2L2, THRB, SATB2, SOX2, SMAD3, SOX10, CUX1) for spatial and functional follow-up.</w:t>
      </w:r>
      <w:r>
        <w:rPr>
          <w:rFonts w:ascii="Times New Roman" w:hAnsi="Times New Roman"/>
          <w:b w:val="0"/>
          <w:sz w:val="22"/>
        </w:rPr>
        <w:t xml:space="preserve"> Third, it links the NFE2L2 target set to mTOR-axis drug signatures, including PI3K-AMPK-mTOR compounds, and annotates the nominated compounds for </w:t>
      </w:r>
      <w:r>
        <w:rPr>
          <w:rFonts w:ascii="Times New Roman" w:hAnsi="Times New Roman"/>
          <w:b/>
          <w:sz w:val="22"/>
        </w:rPr>
        <w:t>blood-brain-barrier penetration</w:t>
      </w:r>
      <w:r>
        <w:rPr>
          <w:rFonts w:ascii="Times New Roman" w:hAnsi="Times New Roman"/>
          <w:b w:val="0"/>
          <w:sz w:val="22"/>
        </w:rPr>
        <w:t>, connecting the lesion-side program to the pathway that defines FCD II molecular pathology and to mTOR inhibitors</w:t>
      </w:r>
      <w:r>
        <w:rPr>
          <w:rFonts w:hint="eastAsia" w:eastAsia="宋体"/>
          <w:b w:val="0"/>
          <w:sz w:val="22"/>
          <w:lang w:val="en-US" w:eastAsia="zh-CN"/>
        </w:rPr>
        <w:t xml:space="preserve">, which </w:t>
      </w:r>
      <w:r>
        <w:rPr>
          <w:rFonts w:ascii="Times New Roman" w:hAnsi="Times New Roman" w:eastAsia="Times New Roman"/>
          <w:b w:val="0"/>
          <w:i w:val="0"/>
          <w:sz w:val="22"/>
        </w:rPr>
        <w:t xml:space="preserve">provides a program-level translational link from regulatory network modelling to therapeutic strategy in FCD II. </w:t>
      </w:r>
    </w:p>
    <w:p w14:paraId="62E96F4E">
      <w:pPr>
        <w:spacing w:after="120"/>
        <w:jc w:val="both"/>
      </w:pPr>
      <w:r>
        <w:rPr>
          <w:rFonts w:ascii="Times New Roman" w:hAnsi="Times New Roman"/>
          <w:sz w:val="22"/>
        </w:rPr>
        <w:t>This work is suited to BMC Genomics because it addresses the transcriptional basis of a focal cortical malformation using single-nucleus transcriptomic data, and because every dataset used is publicly deposited and the complete analysis code is publicly available. The related journal policy statements, including data and code availability and the competing-interests declaration, are provided in the manuscript.</w:t>
      </w:r>
    </w:p>
    <w:p w14:paraId="77F39BC5">
      <w:pPr>
        <w:spacing w:after="120"/>
        <w:jc w:val="both"/>
      </w:pPr>
      <w:r>
        <w:rPr>
          <w:rFonts w:ascii="Times New Roman" w:hAnsi="Times New Roman"/>
          <w:sz w:val="22"/>
        </w:rPr>
        <w:t>All authors have read and approved the final manuscript and agree to its submission to BMC Genomics. The manuscript is not under consideration elsewhere and has not been published previously. The authors declare that they have no competing interests.</w:t>
      </w:r>
    </w:p>
    <w:p w14:paraId="0A73C211">
      <w:pPr>
        <w:spacing w:after="120"/>
        <w:jc w:val="both"/>
      </w:pPr>
      <w:r>
        <w:rPr>
          <w:rFonts w:ascii="Times New Roman" w:hAnsi="Times New Roman"/>
          <w:sz w:val="22"/>
        </w:rPr>
        <w:t>Sincerely,</w:t>
      </w:r>
    </w:p>
    <w:p w14:paraId="5FD4E9B2">
      <w:pPr>
        <w:spacing w:after="120"/>
        <w:jc w:val="both"/>
      </w:pPr>
      <w:r>
        <w:rPr>
          <w:rFonts w:ascii="Times New Roman" w:hAnsi="Times New Roman"/>
          <w:sz w:val="22"/>
        </w:rPr>
        <w:t>Xiucui Li</w:t>
      </w:r>
    </w:p>
    <w:p w14:paraId="151AD014">
      <w:pPr>
        <w:spacing w:after="120"/>
        <w:jc w:val="both"/>
      </w:pPr>
      <w:r>
        <w:rPr>
          <w:rFonts w:ascii="Times New Roman" w:hAnsi="Times New Roman"/>
          <w:sz w:val="22"/>
        </w:rPr>
        <w:t>Department of Pediatric Neurology, The Second Affiliated Hospital and Yuying Children’s Hospital of Wenzhou Medical University, Wenzhou, China</w:t>
      </w:r>
    </w:p>
    <w:p w14:paraId="018290ED">
      <w:pPr>
        <w:spacing w:after="120"/>
        <w:jc w:val="both"/>
      </w:pPr>
      <w:r>
        <w:rPr>
          <w:rFonts w:ascii="Times New Roman" w:hAnsi="Times New Roman"/>
          <w:sz w:val="22"/>
        </w:rPr>
        <w:t>E-mail: gaofenglxc@163.com</w:t>
      </w:r>
    </w:p>
    <w:sectPr>
      <w:pgSz w:w="12240" w:h="15840"/>
      <w:pgMar w:top="873" w:right="930" w:bottom="873" w:left="93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34D4E7A"/>
    <w:rsid w:val="1B4B3565"/>
    <w:rsid w:val="2A467093"/>
    <w:rsid w:val="3C3E3A87"/>
    <w:rsid w:val="40860A30"/>
    <w:rsid w:val="5435659E"/>
    <w:rsid w:val="5B590EB2"/>
    <w:rsid w:val="653603C7"/>
    <w:rsid w:val="68293AD5"/>
    <w:rsid w:val="73703310"/>
    <w:rsid w:val="7A4E4530"/>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2"/>
      <w:szCs w:val="22"/>
      <w:lang w:val="en-US" w:eastAsia="en-US" w:bidi="ar-SA"/>
    </w:rPr>
  </w:style>
  <w:style w:type="paragraph" w:styleId="3">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628</Words>
  <Characters>4005</Characters>
  <Lines>0</Lines>
  <Paragraphs>0</Paragraphs>
  <TotalTime>34</TotalTime>
  <ScaleCrop>false</ScaleCrop>
  <LinksUpToDate>false</LinksUpToDate>
  <CharactersWithSpaces>4620</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15633</cp:lastModifiedBy>
  <dcterms:modified xsi:type="dcterms:W3CDTF">2026-10-25T07:50:00Z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eyJoZGlkIjoiZTdkOGI2YmU0ZDhmZjkyNmYyMzU2MTQ1YTUwODQyYzUiLCJ1c2VySWQiOiI0NDQ3MzM4MzEifQ==</vt:lpwstr>
  </property>
  <property fmtid="{D5CDD505-2E9C-101B-9397-08002B2CF9AE}" pid="3" name="KSOProductBuildVer">
    <vt:lpwstr>2052-12.1.0.29158</vt:lpwstr>
  </property>
  <property fmtid="{D5CDD505-2E9C-101B-9397-08002B2CF9AE}" pid="4" name="ICV">
    <vt:lpwstr>CB17FC3B7744471289F3AD8A48DAD03B_13</vt:lpwstr>
  </property>
</Properties>
</file>