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Table 1. Analytical datasets and their roles in this study.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Dataset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Role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Analysis object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Cells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Comparison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Use in this study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GSE268807 astrocyte object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Discovery dataset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AUCell-matched FCD II astrocyte object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2,322 (888 lesion; 1,434 internal control)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Lesion vs internal control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Regulon inference and differential regulon analysis; candidate prioritisation; CellOracle in silico perturbation; expression-scale, donor, threshold and network sensitivity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GSE140393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Validation database (temporal lobe epilepsy)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Temporal lobe epilepsy expression object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11,399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Temporal lobe epilepsy lesion tissue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Expression-level support for the candidate transcription factors and their target gene sets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GSE190452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Validation database (temporal lobe epilepsy)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Temporal lobe epilepsy and non-epilepsy control expression object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69,968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Temporal lobe epilepsy vs non-epilepsy control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Cross-syndrome expression and gene-set support analysis</w:t>
            </w:r>
          </w:p>
        </w:tc>
      </w:tr>
    </w:tbl>
    <w:p>
      <w:pPr>
        <w:spacing w:after="120" w:before="120" w:line="276" w:lineRule="auto"/>
      </w:pPr>
      <w:r>
        <w:rPr>
          <w:rFonts w:ascii="Times New Roman" w:hAnsi="Times New Roman" w:eastAsia="Times New Roman"/>
          <w:b w:val="0"/>
          <w:i/>
          <w:sz w:val="16"/>
        </w:rPr>
        <w:t>GSE268807 was the discovery dataset. GSE140393 and GSE190452 are temporal lobe epilepsy validation databases used for expression-level and gene-set support.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