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60434"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Table 2. Axis direction and cross-analysis robustness of the prioritised candidate transcription factors.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 w14:paraId="7C67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54BCC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Transcription factor</w:t>
            </w:r>
          </w:p>
        </w:tc>
        <w:tc>
          <w:tcPr>
            <w:tcW w:w="1361" w:type="dxa"/>
          </w:tcPr>
          <w:p w14:paraId="56C1DF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Literature evidence class</w:t>
            </w:r>
          </w:p>
        </w:tc>
        <w:tc>
          <w:tcPr>
            <w:tcW w:w="1928" w:type="dxa"/>
          </w:tcPr>
          <w:p w14:paraId="1FEE5F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Axis direction</w:t>
            </w:r>
          </w:p>
        </w:tc>
        <w:tc>
          <w:tcPr>
            <w:tcW w:w="1701" w:type="dxa"/>
          </w:tcPr>
          <w:p w14:paraId="3E418E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Expression-scale stable</w:t>
            </w:r>
          </w:p>
        </w:tc>
        <w:tc>
          <w:tcPr>
            <w:tcW w:w="1474" w:type="dxa"/>
          </w:tcPr>
          <w:p w14:paraId="51DF2F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Donor concordance</w:t>
            </w:r>
          </w:p>
        </w:tc>
        <w:tc>
          <w:tcPr>
            <w:tcW w:w="1928" w:type="dxa"/>
          </w:tcPr>
          <w:p w14:paraId="64C474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Threshold retention</w:t>
            </w:r>
          </w:p>
        </w:tc>
        <w:tc>
          <w:tcPr>
            <w:tcW w:w="4309" w:type="dxa"/>
          </w:tcPr>
          <w:p w14:paraId="0EE4C8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Network-edge change</w:t>
            </w:r>
          </w:p>
        </w:tc>
        <w:tc>
          <w:tcPr>
            <w:tcW w:w="2494" w:type="dxa"/>
          </w:tcPr>
          <w:p w14:paraId="66BBB6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Regulon-target enrichment</w:t>
            </w:r>
          </w:p>
        </w:tc>
        <w:tc>
          <w:tcPr>
            <w:tcW w:w="1571" w:type="dxa"/>
          </w:tcPr>
          <w:p w14:paraId="763394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Priority</w:t>
            </w:r>
          </w:p>
        </w:tc>
      </w:tr>
      <w:tr w14:paraId="7C43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4F0C2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NFE2L2</w:t>
            </w:r>
          </w:p>
        </w:tc>
        <w:tc>
          <w:tcPr>
            <w:tcW w:w="1361" w:type="dxa"/>
          </w:tcPr>
          <w:p w14:paraId="17C8A2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</w:t>
            </w:r>
          </w:p>
        </w:tc>
        <w:tc>
          <w:tcPr>
            <w:tcW w:w="1928" w:type="dxa"/>
          </w:tcPr>
          <w:p w14:paraId="557D99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Lesion-associated</w:t>
            </w:r>
          </w:p>
        </w:tc>
        <w:tc>
          <w:tcPr>
            <w:tcW w:w="1701" w:type="dxa"/>
          </w:tcPr>
          <w:p w14:paraId="1C2253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7B3E64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02293F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w="4309" w:type="dxa"/>
          </w:tcPr>
          <w:p w14:paraId="7B39B8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-5.6% (most stable)</w:t>
            </w:r>
          </w:p>
        </w:tc>
        <w:tc>
          <w:tcPr>
            <w:tcW w:w="2494" w:type="dxa"/>
          </w:tcPr>
          <w:p w14:paraId="1A3E536F">
            <w:pPr>
              <w:spacing w:after="0" w:line="240" w:lineRule="auto"/>
            </w:pPr>
            <w:r>
              <w:rPr>
                <w:rFonts w:hint="eastAsia" w:ascii="Times New Roman" w:hAnsi="Times New Roman" w:eastAsia="Times New Roman"/>
                <w:b w:val="0"/>
                <w:i w:val="0"/>
                <w:sz w:val="18"/>
              </w:rPr>
              <w:t>Yes: transcription regulation and MAPK signalling</w:t>
            </w:r>
          </w:p>
        </w:tc>
        <w:tc>
          <w:tcPr>
            <w:tcW w:w="1571" w:type="dxa"/>
          </w:tcPr>
          <w:p w14:paraId="1B9F82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Primary lesion-associated axis</w:t>
            </w:r>
          </w:p>
        </w:tc>
      </w:tr>
      <w:tr w14:paraId="3A11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8915E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THRB</w:t>
            </w:r>
          </w:p>
        </w:tc>
        <w:tc>
          <w:tcPr>
            <w:tcW w:w="1361" w:type="dxa"/>
          </w:tcPr>
          <w:p w14:paraId="18E9B7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</w:t>
            </w:r>
          </w:p>
        </w:tc>
        <w:tc>
          <w:tcPr>
            <w:tcW w:w="1928" w:type="dxa"/>
          </w:tcPr>
          <w:p w14:paraId="63E9DF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Reduced in lesion tissue</w:t>
            </w:r>
          </w:p>
        </w:tc>
        <w:tc>
          <w:tcPr>
            <w:tcW w:w="1701" w:type="dxa"/>
          </w:tcPr>
          <w:p w14:paraId="763729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212AC6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7CE97E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w="4309" w:type="dxa"/>
          </w:tcPr>
          <w:p w14:paraId="2910D3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-17.6%</w:t>
            </w:r>
          </w:p>
        </w:tc>
        <w:tc>
          <w:tcPr>
            <w:tcW w:w="2494" w:type="dxa"/>
          </w:tcPr>
          <w:p w14:paraId="73BCFA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Yes: calcium-regulated neurotransmitter exocytosis, dendrite extension and synaptic vesicle cycle</w:t>
            </w:r>
          </w:p>
        </w:tc>
        <w:tc>
          <w:tcPr>
            <w:tcW w:w="1571" w:type="dxa"/>
          </w:tcPr>
          <w:p w14:paraId="4EDDD1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Primary homeostatic program reduced in lesion tissue</w:t>
            </w:r>
          </w:p>
        </w:tc>
      </w:tr>
      <w:tr w14:paraId="65DA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767F0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SATB2</w:t>
            </w:r>
          </w:p>
        </w:tc>
        <w:tc>
          <w:tcPr>
            <w:tcW w:w="1361" w:type="dxa"/>
          </w:tcPr>
          <w:p w14:paraId="1BE410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</w:t>
            </w:r>
          </w:p>
        </w:tc>
        <w:tc>
          <w:tcPr>
            <w:tcW w:w="1928" w:type="dxa"/>
          </w:tcPr>
          <w:p w14:paraId="7328AE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Reduced in lesion tissue</w:t>
            </w:r>
          </w:p>
        </w:tc>
        <w:tc>
          <w:tcPr>
            <w:tcW w:w="1701" w:type="dxa"/>
          </w:tcPr>
          <w:p w14:paraId="1A458C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543A8F8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62B792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w="4309" w:type="dxa"/>
          </w:tcPr>
          <w:p w14:paraId="532305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-13.0%</w:t>
            </w:r>
          </w:p>
        </w:tc>
        <w:tc>
          <w:tcPr>
            <w:tcW w:w="2494" w:type="dxa"/>
          </w:tcPr>
          <w:p w14:paraId="12ACAC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Yes: morphogenesis and axon guidance</w:t>
            </w:r>
          </w:p>
        </w:tc>
        <w:tc>
          <w:tcPr>
            <w:tcW w:w="1571" w:type="dxa"/>
          </w:tcPr>
          <w:p w14:paraId="6C5A02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Supportive</w:t>
            </w:r>
          </w:p>
        </w:tc>
      </w:tr>
      <w:tr w14:paraId="66E63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DC1F1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SMAD3</w:t>
            </w:r>
          </w:p>
        </w:tc>
        <w:tc>
          <w:tcPr>
            <w:tcW w:w="1361" w:type="dxa"/>
          </w:tcPr>
          <w:p w14:paraId="096CF2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</w:t>
            </w:r>
          </w:p>
        </w:tc>
        <w:tc>
          <w:tcPr>
            <w:tcW w:w="1928" w:type="dxa"/>
          </w:tcPr>
          <w:p w14:paraId="3CA212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Reduced in lesion tissue</w:t>
            </w:r>
          </w:p>
        </w:tc>
        <w:tc>
          <w:tcPr>
            <w:tcW w:w="1701" w:type="dxa"/>
          </w:tcPr>
          <w:p w14:paraId="7487EE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(linear scale |L| = 0.193)</w:t>
            </w:r>
          </w:p>
        </w:tc>
        <w:tc>
          <w:tcPr>
            <w:tcW w:w="1474" w:type="dxa"/>
          </w:tcPr>
          <w:p w14:paraId="34B229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Discordant</w:t>
            </w:r>
          </w:p>
        </w:tc>
        <w:tc>
          <w:tcPr>
            <w:tcW w:w="1928" w:type="dxa"/>
          </w:tcPr>
          <w:p w14:paraId="2827E8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w="4309" w:type="dxa"/>
          </w:tcPr>
          <w:p w14:paraId="44EAFF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-7.4%</w:t>
            </w:r>
          </w:p>
        </w:tc>
        <w:tc>
          <w:tcPr>
            <w:tcW w:w="2494" w:type="dxa"/>
          </w:tcPr>
          <w:p w14:paraId="6A0A69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Yes: synaptic transmission and axon guidance</w:t>
            </w:r>
          </w:p>
        </w:tc>
        <w:tc>
          <w:tcPr>
            <w:tcW w:w="1571" w:type="dxa"/>
          </w:tcPr>
          <w:p w14:paraId="648304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Supportive, least reproducible</w:t>
            </w:r>
          </w:p>
        </w:tc>
      </w:tr>
      <w:tr w14:paraId="7C24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4E218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SOX2</w:t>
            </w:r>
          </w:p>
        </w:tc>
        <w:tc>
          <w:tcPr>
            <w:tcW w:w="1361" w:type="dxa"/>
          </w:tcPr>
          <w:p w14:paraId="411530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</w:t>
            </w:r>
          </w:p>
        </w:tc>
        <w:tc>
          <w:tcPr>
            <w:tcW w:w="1928" w:type="dxa"/>
          </w:tcPr>
          <w:p w14:paraId="4C0DF7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Lesion-associated</w:t>
            </w:r>
          </w:p>
        </w:tc>
        <w:tc>
          <w:tcPr>
            <w:tcW w:w="1701" w:type="dxa"/>
          </w:tcPr>
          <w:p w14:paraId="4F89F3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698374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7464DB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w="4309" w:type="dxa"/>
          </w:tcPr>
          <w:p w14:paraId="19BD3C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-39.0%</w:t>
            </w:r>
          </w:p>
        </w:tc>
        <w:tc>
          <w:tcPr>
            <w:tcW w:w="2494" w:type="dxa"/>
          </w:tcPr>
          <w:p w14:paraId="1270B4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regulon-target term; two GO terms in the direction-consistent intersection</w:t>
            </w:r>
          </w:p>
        </w:tc>
        <w:tc>
          <w:tcPr>
            <w:tcW w:w="1571" w:type="dxa"/>
          </w:tcPr>
          <w:p w14:paraId="59D11E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Retained, target-limited</w:t>
            </w:r>
          </w:p>
        </w:tc>
      </w:tr>
      <w:tr w14:paraId="22DC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68462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SOX10</w:t>
            </w:r>
          </w:p>
        </w:tc>
        <w:tc>
          <w:tcPr>
            <w:tcW w:w="1361" w:type="dxa"/>
          </w:tcPr>
          <w:p w14:paraId="4E03C9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</w:t>
            </w:r>
          </w:p>
        </w:tc>
        <w:tc>
          <w:tcPr>
            <w:tcW w:w="1928" w:type="dxa"/>
          </w:tcPr>
          <w:p w14:paraId="30CED0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Reduced in lesion tissue</w:t>
            </w:r>
          </w:p>
        </w:tc>
        <w:tc>
          <w:tcPr>
            <w:tcW w:w="1701" w:type="dxa"/>
          </w:tcPr>
          <w:p w14:paraId="12DB39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31A783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5EE30C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w="4309" w:type="dxa"/>
          </w:tcPr>
          <w:p w14:paraId="35FE70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-40.8%</w:t>
            </w:r>
          </w:p>
        </w:tc>
        <w:tc>
          <w:tcPr>
            <w:tcW w:w="2494" w:type="dxa"/>
          </w:tcPr>
          <w:p w14:paraId="36FD3C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None</w:t>
            </w:r>
          </w:p>
        </w:tc>
        <w:tc>
          <w:tcPr>
            <w:tcW w:w="1571" w:type="dxa"/>
          </w:tcPr>
          <w:p w14:paraId="284282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Supportive</w:t>
            </w:r>
          </w:p>
        </w:tc>
      </w:tr>
      <w:tr w14:paraId="160E8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2B38A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CUX1</w:t>
            </w:r>
          </w:p>
        </w:tc>
        <w:tc>
          <w:tcPr>
            <w:tcW w:w="1361" w:type="dxa"/>
          </w:tcPr>
          <w:p w14:paraId="2693B94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</w:t>
            </w:r>
          </w:p>
        </w:tc>
        <w:tc>
          <w:tcPr>
            <w:tcW w:w="1928" w:type="dxa"/>
          </w:tcPr>
          <w:p w14:paraId="4CECE6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Reduced in lesion tissue</w:t>
            </w:r>
          </w:p>
        </w:tc>
        <w:tc>
          <w:tcPr>
            <w:tcW w:w="1701" w:type="dxa"/>
          </w:tcPr>
          <w:p w14:paraId="2F42AE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w="1474" w:type="dxa"/>
          </w:tcPr>
          <w:p w14:paraId="2C576C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Concordant</w:t>
            </w:r>
          </w:p>
        </w:tc>
        <w:tc>
          <w:tcPr>
            <w:tcW w:w="1928" w:type="dxa"/>
          </w:tcPr>
          <w:p w14:paraId="6D29E5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w="4309" w:type="dxa"/>
          </w:tcPr>
          <w:p w14:paraId="1D182B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-60.8% (most network dependent)</w:t>
            </w:r>
          </w:p>
        </w:tc>
        <w:tc>
          <w:tcPr>
            <w:tcW w:w="2494" w:type="dxa"/>
          </w:tcPr>
          <w:p w14:paraId="763ABF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None</w:t>
            </w:r>
          </w:p>
        </w:tc>
        <w:tc>
          <w:tcPr>
            <w:tcW w:w="1571" w:type="dxa"/>
          </w:tcPr>
          <w:p w14:paraId="16297C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Supportive, network dependent</w:t>
            </w:r>
          </w:p>
        </w:tc>
      </w:tr>
    </w:tbl>
    <w:p w14:paraId="14F8F47F">
      <w:pPr>
        <w:spacing w:before="120" w:after="120" w:line="276" w:lineRule="auto"/>
        <w:rPr>
          <w:rFonts w:ascii="Times New Roman" w:hAnsi="Times New Roman" w:eastAsia="Times New Roman"/>
          <w:b w:val="0"/>
          <w:i/>
          <w:sz w:val="16"/>
        </w:rPr>
      </w:pPr>
      <w:r>
        <w:rPr>
          <w:rFonts w:ascii="Times New Roman" w:hAnsi="Times New Roman" w:eastAsia="Times New Roman"/>
          <w:b w:val="0"/>
          <w:i/>
          <w:sz w:val="16"/>
        </w:rPr>
        <w:t xml:space="preserve">Literature evidence class: A, direct human FCD or FCD II tissue evidence; B, epilepsy-related functional evidence together with central nervous system or glial support. Axis direction is the direction of the regulon activity difference between lesion tissue and internal control. Expression-scale stable means that candidate entry is preserved when the screening-scale expression statistic R is replaced by the linear-scale statistic L. Donor concordance means that the two donor pseudobulk contrasts agree in sign. Threshold retention is the fraction of the 81 entry-threshold combinations in which the candidate retains membership, with the direction requirement always enforced. Network-edge change is the percentage change in mean simulated displacement when links are restricted to motif-supported edges with the embedding held fixed. Regulon-target enrichment summarises the GO and KEGG results of the regulon-target query. The regulon activity difference, regulon FDR, target-gene count, differentially expressed gene overlap, expression statistic R and in silico perturbation metrics for the seven candidates </w:t>
      </w:r>
      <w:r>
        <w:rPr>
          <w:rFonts w:hint="eastAsia" w:ascii="Times New Roman" w:hAnsi="Times New Roman" w:eastAsia="Times New Roman"/>
          <w:b w:val="0"/>
          <w:i/>
          <w:sz w:val="16"/>
        </w:rPr>
        <w:t>are reported in the Results and in Additional file 2, Tables ST02, ST03, ST05 and ST08.</w:t>
      </w:r>
      <w:bookmarkStart w:id="0" w:name="_GoBack"/>
      <w:bookmarkEnd w:id="0"/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90F3B"/>
    <w:rsid w:val="2227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334</Words>
  <Characters>2149</Characters>
  <Lines>0</Lines>
  <Paragraphs>0</Paragraphs>
  <TotalTime>0</TotalTime>
  <ScaleCrop>false</ScaleCrop>
  <LinksUpToDate>false</LinksUpToDate>
  <CharactersWithSpaces>2409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Dream</cp:lastModifiedBy>
  <dcterms:modified xsi:type="dcterms:W3CDTF">2026-10-13T16:10:28Z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eyJoZGlkIjoiNjY3MDVmYTg5NmRlZmY1MGJhMDkzYTc0OWU2ZTA4YWUiLCJ1c2VySWQiOiIxMjAyNDE4MzIzIn0=</vt:lpwstr>
  </property>
  <property fmtid="{D5CDD505-2E9C-101B-9397-08002B2CF9AE}" pid="3" name="KSOProductBuildVer">
    <vt:lpwstr>2052-12.1.0.29158</vt:lpwstr>
  </property>
  <property fmtid="{D5CDD505-2E9C-101B-9397-08002B2CF9AE}" pid="4" name="ICV">
    <vt:lpwstr>C7809D61C2C34542AFEFE434CB87F1B0_12</vt:lpwstr>
  </property>
</Properties>
</file>