
<file path=[Content_Types].xml><?xml version="1.0" encoding="utf-8"?>
<Types xmlns="http://schemas.openxmlformats.org/package/2006/content-types">
  <Default Extension="xml" ContentType="application/xml"/>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676F">
      <w:pPr>
        <w:spacing w:before="200" w:after="120" w:line="480" w:lineRule="auto"/>
        <w:jc w:val="center"/>
      </w:pPr>
      <w:bookmarkStart w:id="0" w:name="_GoBack"/>
      <w:bookmarkEnd w:id="0"/>
      <w:r>
        <w:rPr>
          <w:rFonts w:ascii="Times New Roman" w:hAnsi="Times New Roman" w:eastAsia="Times New Roman"/>
          <w:b/>
          <w:i w:val="0"/>
          <w:sz w:val="24"/>
        </w:rPr>
        <w:t>Single-nucleus transcriptomic reanalysis prioritizes NFE2L2 and THRB regulatory programs in focal cortical dysplasia type II astrocytes</w:t>
      </w:r>
    </w:p>
    <w:p w14:paraId="11EBB928">
      <w:pPr>
        <w:spacing w:before="0" w:after="60" w:line="480" w:lineRule="auto"/>
        <w:jc w:val="left"/>
      </w:pPr>
      <w:r>
        <w:rPr>
          <w:rFonts w:ascii="Times New Roman" w:hAnsi="Times New Roman" w:eastAsia="Times New Roman"/>
          <w:b w:val="0"/>
          <w:i w:val="0"/>
          <w:sz w:val="20"/>
        </w:rPr>
        <w:t>Article type: Research article</w:t>
      </w:r>
    </w:p>
    <w:p w14:paraId="0FE148E1">
      <w:pPr>
        <w:spacing w:before="0" w:after="60" w:line="480" w:lineRule="auto"/>
        <w:jc w:val="left"/>
      </w:pPr>
      <w:r>
        <w:rPr>
          <w:rFonts w:ascii="Times New Roman" w:hAnsi="Times New Roman" w:eastAsia="Times New Roman"/>
          <w:b/>
          <w:i w:val="0"/>
          <w:sz w:val="22"/>
        </w:rPr>
        <w:t>Xinyuan Ye</w:t>
      </w:r>
      <w:r>
        <w:rPr>
          <w:rFonts w:ascii="Times New Roman" w:hAnsi="Times New Roman" w:eastAsia="Times New Roman"/>
          <w:b/>
          <w:i w:val="0"/>
          <w:sz w:val="22"/>
          <w:vertAlign w:val="superscript"/>
        </w:rPr>
        <w:t>1,2</w:t>
      </w:r>
      <w:r>
        <w:rPr>
          <w:rFonts w:ascii="Times New Roman" w:hAnsi="Times New Roman" w:eastAsia="Times New Roman"/>
          <w:b/>
          <w:i w:val="0"/>
          <w:sz w:val="22"/>
        </w:rPr>
        <w:t>, Wei Wang</w:t>
      </w:r>
      <w:r>
        <w:rPr>
          <w:rFonts w:ascii="Times New Roman" w:hAnsi="Times New Roman" w:eastAsia="Times New Roman"/>
          <w:b/>
          <w:i w:val="0"/>
          <w:sz w:val="22"/>
          <w:vertAlign w:val="superscript"/>
        </w:rPr>
        <w:t>3</w:t>
      </w:r>
      <w:r>
        <w:rPr>
          <w:rFonts w:ascii="Times New Roman" w:hAnsi="Times New Roman" w:eastAsia="Times New Roman"/>
          <w:b/>
          <w:i w:val="0"/>
          <w:sz w:val="22"/>
        </w:rPr>
        <w:t>, Yuxuan Li</w:t>
      </w:r>
      <w:r>
        <w:rPr>
          <w:rFonts w:ascii="Times New Roman" w:hAnsi="Times New Roman" w:eastAsia="Times New Roman"/>
          <w:b/>
          <w:i w:val="0"/>
          <w:sz w:val="22"/>
          <w:vertAlign w:val="superscript"/>
        </w:rPr>
        <w:t>4</w:t>
      </w:r>
      <w:r>
        <w:rPr>
          <w:rFonts w:ascii="Times New Roman" w:hAnsi="Times New Roman" w:eastAsia="Times New Roman"/>
          <w:b/>
          <w:i w:val="0"/>
          <w:sz w:val="22"/>
        </w:rPr>
        <w:t>, Feifei Hu</w:t>
      </w:r>
      <w:r>
        <w:rPr>
          <w:rFonts w:ascii="Times New Roman" w:hAnsi="Times New Roman" w:eastAsia="Times New Roman"/>
          <w:b/>
          <w:i w:val="0"/>
          <w:sz w:val="22"/>
          <w:vertAlign w:val="superscript"/>
        </w:rPr>
        <w:t>5</w:t>
      </w:r>
      <w:r>
        <w:rPr>
          <w:rFonts w:ascii="Times New Roman" w:hAnsi="Times New Roman" w:eastAsia="Times New Roman"/>
          <w:b/>
          <w:i w:val="0"/>
          <w:sz w:val="22"/>
        </w:rPr>
        <w:t>, Lei Hu</w:t>
      </w:r>
      <w:r>
        <w:rPr>
          <w:rFonts w:ascii="Times New Roman" w:hAnsi="Times New Roman" w:eastAsia="Times New Roman"/>
          <w:b/>
          <w:i w:val="0"/>
          <w:sz w:val="22"/>
          <w:vertAlign w:val="superscript"/>
        </w:rPr>
        <w:t>5</w:t>
      </w:r>
      <w:r>
        <w:rPr>
          <w:rFonts w:ascii="Times New Roman" w:hAnsi="Times New Roman" w:eastAsia="Times New Roman"/>
          <w:b/>
          <w:i w:val="0"/>
          <w:sz w:val="22"/>
        </w:rPr>
        <w:t>, Zheng Ruan</w:t>
      </w:r>
      <w:r>
        <w:rPr>
          <w:rFonts w:ascii="Times New Roman" w:hAnsi="Times New Roman" w:eastAsia="Times New Roman"/>
          <w:b/>
          <w:i w:val="0"/>
          <w:sz w:val="22"/>
          <w:vertAlign w:val="superscript"/>
        </w:rPr>
        <w:t>5</w:t>
      </w:r>
      <w:r>
        <w:rPr>
          <w:rFonts w:ascii="Times New Roman" w:hAnsi="Times New Roman" w:eastAsia="Times New Roman"/>
          <w:b/>
          <w:i w:val="0"/>
          <w:sz w:val="22"/>
        </w:rPr>
        <w:t>, Yucheng Lu</w:t>
      </w:r>
      <w:r>
        <w:rPr>
          <w:rFonts w:ascii="Times New Roman" w:hAnsi="Times New Roman" w:eastAsia="Times New Roman"/>
          <w:b/>
          <w:i w:val="0"/>
          <w:sz w:val="22"/>
          <w:vertAlign w:val="superscript"/>
        </w:rPr>
        <w:t>5</w:t>
      </w:r>
      <w:r>
        <w:rPr>
          <w:rFonts w:ascii="Times New Roman" w:hAnsi="Times New Roman" w:eastAsia="Times New Roman"/>
          <w:b/>
          <w:i w:val="0"/>
          <w:sz w:val="22"/>
        </w:rPr>
        <w:t>, Xiucui Li</w:t>
      </w:r>
      <w:r>
        <w:rPr>
          <w:rFonts w:ascii="Times New Roman" w:hAnsi="Times New Roman" w:eastAsia="Times New Roman"/>
          <w:b/>
          <w:i w:val="0"/>
          <w:sz w:val="22"/>
          <w:vertAlign w:val="superscript"/>
        </w:rPr>
        <w:t>1*</w:t>
      </w:r>
    </w:p>
    <w:p w14:paraId="72DAAD48">
      <w:pPr>
        <w:spacing w:before="0" w:after="60" w:line="480" w:lineRule="auto"/>
        <w:jc w:val="left"/>
      </w:pPr>
      <w:r>
        <w:rPr>
          <w:rFonts w:ascii="Times New Roman" w:hAnsi="Times New Roman" w:eastAsia="Times New Roman"/>
          <w:b w:val="0"/>
          <w:i w:val="0"/>
          <w:sz w:val="20"/>
        </w:rPr>
        <w:t>1 Department of Pediatric Neurology, The Second Affiliated Hospital and Yuying Children's Hospital of Wenzhou Medical University, Wenzhou, China</w:t>
      </w:r>
    </w:p>
    <w:p w14:paraId="6A4BD6D6">
      <w:pPr>
        <w:spacing w:before="0" w:after="60" w:line="480" w:lineRule="auto"/>
        <w:jc w:val="left"/>
      </w:pPr>
      <w:r>
        <w:rPr>
          <w:rFonts w:ascii="Times New Roman" w:hAnsi="Times New Roman" w:eastAsia="Times New Roman"/>
          <w:b w:val="0"/>
          <w:i w:val="0"/>
          <w:sz w:val="20"/>
        </w:rPr>
        <w:t>2 Clinical Medicine, The Second School of Medicine, Wenzhou Medical University, Wenzhou, China</w:t>
      </w:r>
    </w:p>
    <w:p w14:paraId="54B7CB10">
      <w:pPr>
        <w:spacing w:before="0" w:after="60" w:line="480" w:lineRule="auto"/>
        <w:jc w:val="left"/>
      </w:pPr>
      <w:r>
        <w:rPr>
          <w:rFonts w:ascii="Times New Roman" w:hAnsi="Times New Roman" w:eastAsia="Times New Roman"/>
          <w:b w:val="0"/>
          <w:i w:val="0"/>
          <w:sz w:val="20"/>
        </w:rPr>
        <w:t>3 Department of Pediatric Orthopedics, The Second Affiliated Hospital and Yuying Children's Hospital of Wenzhou Medical University, Wenzhou, China</w:t>
      </w:r>
    </w:p>
    <w:p w14:paraId="0D117904">
      <w:pPr>
        <w:spacing w:before="0" w:after="60" w:line="480" w:lineRule="auto"/>
        <w:jc w:val="left"/>
      </w:pPr>
      <w:r>
        <w:rPr>
          <w:rFonts w:ascii="Times New Roman" w:hAnsi="Times New Roman" w:eastAsia="Times New Roman"/>
          <w:b w:val="0"/>
          <w:i w:val="0"/>
          <w:sz w:val="20"/>
        </w:rPr>
        <w:t>4 Rehabilitation Therapeutics, Heilongjiang University of Chinese Medicine, Harbin, China</w:t>
      </w:r>
    </w:p>
    <w:p w14:paraId="112A178B">
      <w:pPr>
        <w:spacing w:before="0" w:after="60" w:line="480" w:lineRule="auto"/>
        <w:jc w:val="left"/>
      </w:pPr>
      <w:r>
        <w:rPr>
          <w:rFonts w:ascii="Times New Roman" w:hAnsi="Times New Roman" w:eastAsia="Times New Roman"/>
          <w:b w:val="0"/>
          <w:i w:val="0"/>
          <w:sz w:val="20"/>
        </w:rPr>
        <w:t>5 Pediatrics, The Second School of Medicine, Wenzhou Medical University, Wenzhou, China</w:t>
      </w:r>
    </w:p>
    <w:p w14:paraId="47BD4BDA">
      <w:pPr>
        <w:spacing w:before="0" w:after="60" w:line="480" w:lineRule="auto"/>
        <w:jc w:val="left"/>
      </w:pPr>
      <w:r>
        <w:rPr>
          <w:rFonts w:ascii="Times New Roman" w:hAnsi="Times New Roman" w:eastAsia="Times New Roman"/>
          <w:b w:val="0"/>
          <w:i w:val="0"/>
          <w:sz w:val="20"/>
        </w:rPr>
        <w:t>Corresponding author: Xiucui Li, Department of Pediatric Neurology, The Second Affiliated Hospital and Yuying Children's Hospital of Wenzhou Medical University, Wenzhou, China. E-mail: gaofenglxc@163.com</w:t>
      </w:r>
    </w:p>
    <w:p w14:paraId="6F41B5D2">
      <w:pPr>
        <w:spacing w:before="0" w:after="60" w:line="480" w:lineRule="auto"/>
        <w:jc w:val="left"/>
      </w:pPr>
      <w:r>
        <w:rPr>
          <w:rFonts w:ascii="Times New Roman" w:hAnsi="Times New Roman" w:eastAsia="Times New Roman"/>
          <w:b w:val="0"/>
          <w:i w:val="0"/>
          <w:sz w:val="20"/>
        </w:rPr>
        <w:t>Running title: NFE2L2 and THRB programs in FCD II astrocytes</w:t>
      </w:r>
    </w:p>
    <w:p w14:paraId="0C446860">
      <w:pPr>
        <w:spacing w:before="280" w:after="120" w:line="480" w:lineRule="auto"/>
      </w:pPr>
      <w:r>
        <w:rPr>
          <w:rFonts w:ascii="Times New Roman" w:hAnsi="Times New Roman" w:eastAsia="Times New Roman"/>
          <w:b/>
          <w:i w:val="0"/>
          <w:sz w:val="28"/>
        </w:rPr>
        <w:t>Abstract</w:t>
      </w:r>
    </w:p>
    <w:p w14:paraId="4EFC4A50">
      <w:pPr>
        <w:spacing w:before="200" w:after="120" w:line="480" w:lineRule="auto"/>
        <w:rPr>
          <w:rFonts w:hint="default" w:ascii="Times New Roman" w:hAnsi="Times New Roman" w:eastAsia="Times New Roman"/>
          <w:b w:val="0"/>
          <w:i w:val="0"/>
          <w:sz w:val="22"/>
        </w:rPr>
      </w:pPr>
      <w:r>
        <w:rPr>
          <w:rFonts w:ascii="Times New Roman" w:hAnsi="Times New Roman" w:eastAsia="Times New Roman"/>
          <w:b/>
          <w:i w:val="0"/>
          <w:sz w:val="24"/>
        </w:rPr>
        <w:t>Background:</w:t>
      </w:r>
      <w:r>
        <w:rPr>
          <w:rFonts w:hint="default" w:ascii="Times New Roman" w:hAnsi="Times New Roman" w:eastAsia="Times New Roman"/>
          <w:b/>
          <w:i w:val="0"/>
          <w:sz w:val="24"/>
        </w:rPr>
        <w:t xml:space="preserve"> </w:t>
      </w:r>
      <w:r>
        <w:rPr>
          <w:rFonts w:hint="default" w:ascii="Times New Roman" w:hAnsi="Times New Roman" w:eastAsia="Times New Roman"/>
          <w:b w:val="0"/>
          <w:i w:val="0"/>
          <w:sz w:val="22"/>
        </w:rPr>
        <w:t>Focal cortical dysplasia type II (FCD II) is a major structural cause of drug-resistant focal epilepsy and often requires surgery in children. Lesions contain dysmorphic neurons, balloon cells, activated mTOR signalling, reactive glia, inflammation and metabolic stress. Astrocytes regulate glutamate/potassium handling, energy supply, calcium signalling and inflammation, but upstream transcription-factor (TF) programs shaping FCD II astrocyte states remain unclear. We compared lesion and patient-matched internal-control astrocytes to identify and prioritise these programs.</w:t>
      </w:r>
    </w:p>
    <w:p>
      <w:pPr>
        <w:spacing w:before="200" w:after="120" w:line="480" w:lineRule="auto"/>
        <w:rPr>
          <w:rFonts w:hint="default" w:ascii="Times New Roman" w:hAnsi="Times New Roman" w:eastAsia="Times New Roman"/>
          <w:b w:val="0"/>
          <w:i w:val="0"/>
          <w:sz w:val="22"/>
        </w:rPr>
      </w:pPr>
      <w:r>
        <w:rPr>
          <w:rFonts w:ascii="Times New Roman" w:hAnsi="Times New Roman" w:eastAsia="Times New Roman"/>
          <w:b/>
          <w:i w:val="0"/>
          <w:sz w:val="24"/>
        </w:rPr>
        <w:t>Methods:</w:t>
      </w:r>
      <w:r>
        <w:rPr>
          <w:rFonts w:hint="default" w:ascii="Times New Roman" w:hAnsi="Times New Roman" w:eastAsia="Times New Roman"/>
          <w:b/>
          <w:i w:val="0"/>
          <w:sz w:val="24"/>
        </w:rPr>
        <w:t xml:space="preserve"> </w:t>
      </w:r>
      <w:r>
        <w:rPr>
          <w:rFonts w:hint="default" w:ascii="Times New Roman" w:hAnsi="Times New Roman" w:eastAsia="Times New Roman"/>
          <w:b w:val="0"/>
          <w:i w:val="0"/>
          <w:sz w:val="22"/>
        </w:rPr>
        <w:t xml:space="preserve">We analysed FCD II astrocytes from GSE268807 (four samples, two donors; lesion vs patient-matched internal control) as discovery, with support from two temporal lobe epilepsy datasets. pySCENIC inferred motif-supported regulons; AUCell scored activity per nucleus. We compared regulon activity and prioritised candidates by regulon/factor direction, target-set size, perturbation behaviour and functional convergence, cross-checked against a literature screen. CellOracle simulated candidate silencing to estimate cell-state displacement. Stability was tested across expression scales, donors, entry thresholds and network definitions. GO and KEGG enrichment and drug-signature enrichment described the biology and pharmacological context of the prioritised programs.</w:t>
      </w:r>
    </w:p>
    <w:p w14:paraId="097C7A36">
      <w:pPr>
        <w:pStyle w:val="31"/>
        <w:keepNext w:val="0"/>
        <w:keepLines w:val="0"/>
        <w:widowControl/>
        <w:suppressLineNumbers w:val="0"/>
        <w:shd w:val="clear" w:fill="FFFFFF"/>
        <w:spacing w:before="192" w:beforeAutospacing="0" w:after="192" w:afterAutospacing="0" w:line="480" w:lineRule="auto"/>
        <w:ind w:left="0" w:right="0" w:firstLine="0"/>
        <w:rPr>
          <w:rFonts w:ascii="Segoe UI" w:hAnsi="Segoe UI" w:eastAsia="Segoe UI" w:cs="Segoe UI"/>
          <w:i w:val="0"/>
          <w:iCs w:val="0"/>
          <w:caps w:val="0"/>
          <w:color w:val="0F1115"/>
          <w:spacing w:val="0"/>
          <w:sz w:val="24"/>
          <w:szCs w:val="24"/>
        </w:rPr>
      </w:pPr>
      <w:r>
        <w:rPr>
          <w:rFonts w:hint="default" w:ascii="Times New Roman" w:hAnsi="Times New Roman" w:eastAsia="Times New Roman" w:cstheme="minorBidi"/>
          <w:b/>
          <w:i w:val="0"/>
          <w:sz w:val="24"/>
          <w:szCs w:val="22"/>
          <w:lang w:val="en-US" w:eastAsia="en-US" w:bidi="ar-SA"/>
        </w:rPr>
        <w:t>Results:</w:t>
      </w:r>
      <w:r>
        <w:rPr>
          <w:rFonts w:hint="default" w:ascii="Segoe UI" w:hAnsi="Segoe UI" w:eastAsia="Segoe UI" w:cs="Segoe UI"/>
          <w:i w:val="0"/>
          <w:iCs w:val="0"/>
          <w:caps w:val="0"/>
          <w:color w:val="0F1115"/>
          <w:spacing w:val="0"/>
          <w:sz w:val="24"/>
          <w:szCs w:val="24"/>
          <w:shd w:val="clear" w:fill="FFFFFF"/>
        </w:rPr>
        <w:t xml:space="preserve"> </w:t>
      </w:r>
      <w:r>
        <w:rPr>
          <w:rFonts w:hint="default" w:ascii="Times New Roman" w:hAnsi="Times New Roman" w:eastAsia="Times New Roman" w:cstheme="minorBidi"/>
          <w:b w:val="0"/>
          <w:i w:val="0"/>
          <w:sz w:val="22"/>
          <w:szCs w:val="22"/>
          <w:lang w:val="en-US" w:eastAsia="en-US" w:bidi="ar-SA"/>
        </w:rPr>
        <w:t>We analysed 2,322 FCD II astrocytes (888 lesion, 1,434 control) and 105 motif-supported regulons; 76 differed between lesion and control (FDR &lt; 0.05). NFE2L2 was the leading lesion-associated program and showed the largest simulated state displacement, with enrichment for transcription regulation and MAPK signalling. THRB showed the largest reduction and the second-largest simulated displacement, with enrichment for calcium-regulated exocytosis, dendrite extension and synaptic vesicle cycling. Both retained their direction across donors, expression scales, network definitions and independent datasets. Drug-signature enrichment linked the NFE2L2 target set to PI3K-AMPK-mTOR compounds, including pictilisib, metformin and rapamycin.</w:t>
      </w:r>
    </w:p>
    <w:p w14:paraId="630465A2">
      <w:pPr>
        <w:spacing w:before="200" w:after="120" w:line="480" w:lineRule="auto"/>
        <w:rPr>
          <w:rFonts w:ascii="Times New Roman" w:hAnsi="Times New Roman" w:eastAsia="Times New Roman"/>
          <w:b/>
          <w:i w:val="0"/>
          <w:sz w:val="24"/>
        </w:rPr>
      </w:pPr>
      <w:r>
        <w:rPr>
          <w:rFonts w:ascii="Times New Roman" w:hAnsi="Times New Roman" w:eastAsia="Times New Roman"/>
          <w:b/>
          <w:i w:val="0"/>
          <w:sz w:val="24"/>
        </w:rPr>
        <w:t>Conclusions:</w:t>
      </w:r>
      <w:r>
        <w:rPr>
          <w:rFonts w:hint="default" w:ascii="Segoe UI" w:hAnsi="Segoe UI" w:eastAsia="Segoe UI" w:cs="Segoe UI"/>
          <w:i w:val="0"/>
          <w:iCs w:val="0"/>
          <w:caps w:val="0"/>
          <w:color w:val="0F1115"/>
          <w:spacing w:val="0"/>
          <w:sz w:val="24"/>
          <w:szCs w:val="24"/>
          <w:shd w:val="clear" w:fill="FFFFFF"/>
        </w:rPr>
        <w:t xml:space="preserve"> </w:t>
      </w:r>
      <w:r>
        <w:rPr>
          <w:rFonts w:hint="default" w:ascii="Times New Roman" w:hAnsi="Times New Roman" w:eastAsia="Times New Roman"/>
          <w:b w:val="0"/>
          <w:i w:val="0"/>
          <w:sz w:val="22"/>
        </w:rPr>
        <w:t xml:space="preserve">FCD II astrocytes are characterised by two opposing regulatory programs: a lesion-associated NFE2L2 stress-adaptation and transcriptional-reprogramming program, and a lost homeostatic THRB program that supports synaptic and calcium signalling. These programs provide a prioritised framework for follow-up studies and a translational link between </w:t>
      </w:r>
      <w:r>
        <w:rPr>
          <w:rFonts w:hint="eastAsia" w:eastAsia="宋体"/>
          <w:b w:val="0"/>
          <w:i w:val="0"/>
          <w:sz w:val="22"/>
          <w:lang w:val="en-US" w:eastAsia="zh-CN"/>
        </w:rPr>
        <w:t xml:space="preserve">the </w:t>
      </w:r>
      <w:r>
        <w:rPr>
          <w:rFonts w:hint="default" w:ascii="Times New Roman" w:hAnsi="Times New Roman" w:eastAsia="Times New Roman"/>
          <w:b w:val="0"/>
          <w:i w:val="0"/>
          <w:sz w:val="22"/>
        </w:rPr>
        <w:t>astrocyte regulatory state and mTOR-axis drug signatures in FCD II.</w:t>
      </w:r>
    </w:p>
    <w:p w14:paraId="0609B827">
      <w:pPr>
        <w:spacing w:before="200" w:after="120" w:line="480" w:lineRule="auto"/>
        <w:rPr>
          <w:rFonts w:ascii="Times New Roman" w:hAnsi="Times New Roman" w:eastAsia="Times New Roman"/>
          <w:b/>
          <w:i w:val="0"/>
          <w:sz w:val="28"/>
        </w:rPr>
      </w:pPr>
      <w:r>
        <w:rPr>
          <w:rFonts w:ascii="Times New Roman" w:hAnsi="Times New Roman" w:eastAsia="Times New Roman"/>
          <w:b/>
          <w:i w:val="0"/>
          <w:sz w:val="24"/>
        </w:rPr>
        <w:t>Keywords</w:t>
      </w:r>
      <w:r>
        <w:rPr>
          <w:rFonts w:hint="eastAsia" w:eastAsia="宋体"/>
          <w:b/>
          <w:i w:val="0"/>
          <w:sz w:val="24"/>
          <w:lang w:val="en-US" w:eastAsia="zh-CN"/>
        </w:rPr>
        <w:t xml:space="preserve">: </w:t>
      </w:r>
      <w:r>
        <w:rPr>
          <w:rFonts w:ascii="Times New Roman" w:hAnsi="Times New Roman" w:eastAsia="Times New Roman"/>
          <w:b w:val="0"/>
          <w:i w:val="0"/>
          <w:sz w:val="22"/>
        </w:rPr>
        <w:t>Focal cortical dysplasia type II; astrocyte; transcription factor; NFE2L2; THRB.</w:t>
      </w:r>
    </w:p>
    <w:p w14:paraId="4D22A629">
      <w:pPr>
        <w:spacing w:before="280" w:after="120" w:line="480" w:lineRule="auto"/>
      </w:pPr>
      <w:r>
        <w:rPr>
          <w:rFonts w:ascii="Times New Roman" w:hAnsi="Times New Roman" w:eastAsia="Times New Roman"/>
          <w:b/>
          <w:i w:val="0"/>
          <w:sz w:val="28"/>
        </w:rPr>
        <w:t>Background</w:t>
      </w:r>
    </w:p>
    <w:p w14:paraId="0753DD9C">
      <w:pPr>
        <w:spacing w:before="0" w:after="120" w:line="480" w:lineRule="auto"/>
        <w:jc w:val="both"/>
      </w:pPr>
      <w:r>
        <w:rPr>
          <w:rFonts w:ascii="Times New Roman" w:hAnsi="Times New Roman" w:eastAsia="Times New Roman"/>
          <w:b w:val="0"/>
          <w:i w:val="0"/>
          <w:sz w:val="22"/>
        </w:rPr>
        <w:t>Focal cortical dysplasia (FCD) is a common structural cause of drug-resistant focal epilepsy in children and adults. FCD type II is defined by cortical dyslamination and dysmorphic neurons, and balloon cells separate type IIb from type IIa [1-3]. Somatic variants that activate the mTOR pathway are frequent in resected FCD II tissue [4, 5]. Because seizures persist in many patients despite adequate antiseizure medication, most undergo presurgical evaluation and resection of the epileptogenic zone. Understanding which cellular programs keep the lesion excitable is therefore directly relevant to clinical care.</w:t>
      </w:r>
    </w:p>
    <w:p w14:paraId="39E9FC51">
      <w:pPr>
        <w:spacing w:before="0" w:after="120" w:line="480" w:lineRule="auto"/>
        <w:jc w:val="both"/>
      </w:pPr>
      <w:r>
        <w:rPr>
          <w:rFonts w:ascii="Times New Roman" w:hAnsi="Times New Roman" w:eastAsia="Times New Roman"/>
          <w:b w:val="0"/>
          <w:i w:val="0"/>
          <w:sz w:val="22"/>
        </w:rPr>
        <w:t>Single-cell, multi-omic and spatial studies have shown that FCD II lesions are not built from one abnormal neuronal population. Neurons, glia, vascular cells and the extracellular environment are all remodelled, and altered layer-marker expression and reactive gliosis are consistent findings [6-9]. These studies describe cell states and individual genes; they leave open which upstream transcription-factor programs organise those states.</w:t>
      </w:r>
    </w:p>
    <w:p w14:paraId="0938E5F8">
      <w:pPr>
        <w:spacing w:before="0" w:after="120" w:line="480" w:lineRule="auto"/>
        <w:jc w:val="both"/>
      </w:pPr>
      <w:r>
        <w:rPr>
          <w:rFonts w:ascii="Times New Roman" w:hAnsi="Times New Roman" w:eastAsia="Times New Roman"/>
          <w:b w:val="0"/>
          <w:i w:val="0"/>
          <w:sz w:val="22"/>
        </w:rPr>
        <w:t>Astrocytes are strong candidates for such programs. They maintain the synaptic microenvironment, recycle glutamate, buffer potassium, supply energy substrates, shape calcium signalling and mount inflammatory responses, and each of these functions feeds back on neuronal excitability [10-13]. In epileptic tissue astrocytes become reactive while keeping part of their supportive role. Distinguishing a lesion-driven stress program from a preserved homeostatic program in the same cells is therefore a useful way to describe the astrocyte contribution to the epileptic focus.</w:t>
      </w:r>
    </w:p>
    <w:p w14:paraId="319C075F">
      <w:pPr>
        <w:spacing w:before="0" w:after="120" w:line="480" w:lineRule="auto"/>
        <w:jc w:val="both"/>
      </w:pPr>
      <w:r>
        <w:rPr>
          <w:rFonts w:ascii="Times New Roman" w:hAnsi="Times New Roman" w:eastAsia="Times New Roman"/>
          <w:b w:val="0"/>
          <w:i w:val="0"/>
          <w:sz w:val="22"/>
        </w:rPr>
        <w:t>Differential expression analysis shows which genes change, but not which regulatory units drive the change. A transcription factor together with its inferred target genes forms a regulon, and regulon activity places many individual gene differences into one interpretable score per cell. SCENIC and pySCENIC infer regulons from single-nucleus expression data using co-expression networks and DNA motif support, and AUCell scores the activity of each regulon in single nuclei [14, 15]. CellOracle extends this framework by simulating how a regulatory network responds when a transcription factor is perturbed, which converts a static activity difference into a predicted change of cell state [16]. Combining the two makes it possible to rank candidate regulatory programs using public single-nucleus data.</w:t>
      </w:r>
    </w:p>
    <w:p w14:paraId="35C7D75B">
      <w:pPr>
        <w:spacing w:before="0" w:after="120" w:line="480" w:lineRule="auto"/>
        <w:jc w:val="both"/>
      </w:pPr>
      <w:r>
        <w:rPr>
          <w:rFonts w:ascii="Times New Roman" w:hAnsi="Times New Roman" w:eastAsia="Times New Roman"/>
          <w:b w:val="0"/>
          <w:i w:val="0"/>
          <w:sz w:val="22"/>
        </w:rPr>
        <w:t>We applied this framework to FCD II astrocytes. Using lesion-tissue and internal-control astrocytes from GSE268807 as the discovery set, we (i) inferred regulon activity with pySCENIC and AUCell, (ii) identified regulons with a clear increase or decrease in lesion tissue, (iii) prioritised the transcription factors behind them, (iv) simulated the cell-state consequences of perturbing each candidate with CellOracle, (v) tested how stable each candidate was across expression scales, donors, thresholds and network definitions, and (vi) interpreted the prioritised programs through functional enrichment, drug-signature enrichment and published biology. The result is a short, ordered list of astrocyte regulatory programs in FCD II, headed by NFE2L2, increased in lesion tissue, and THRB, reduced in lesion tissue.</w:t>
      </w:r>
    </w:p>
    <w:p w14:paraId="2471E603">
      <w:pPr>
        <w:spacing w:before="280" w:after="120" w:line="480" w:lineRule="auto"/>
      </w:pPr>
      <w:r>
        <w:rPr>
          <w:rFonts w:ascii="Times New Roman" w:hAnsi="Times New Roman" w:eastAsia="Times New Roman"/>
          <w:b/>
          <w:i w:val="0"/>
          <w:sz w:val="28"/>
        </w:rPr>
        <w:t>Methods</w:t>
      </w:r>
    </w:p>
    <w:p w14:paraId="5A229581">
      <w:pPr>
        <w:spacing w:before="200" w:after="120" w:line="480" w:lineRule="auto"/>
      </w:pPr>
      <w:r>
        <w:rPr>
          <w:rFonts w:ascii="Times New Roman" w:hAnsi="Times New Roman" w:eastAsia="Times New Roman"/>
          <w:b/>
          <w:i w:val="0"/>
          <w:sz w:val="24"/>
        </w:rPr>
        <w:t>Study design and datasets</w:t>
      </w:r>
    </w:p>
    <w:p w14:paraId="3AD03634">
      <w:pPr>
        <w:spacing w:before="0" w:after="120" w:line="480" w:lineRule="auto"/>
        <w:jc w:val="both"/>
      </w:pPr>
      <w:r>
        <w:rPr>
          <w:rFonts w:ascii="Times New Roman" w:hAnsi="Times New Roman" w:eastAsia="Times New Roman"/>
          <w:b w:val="0"/>
          <w:i w:val="0"/>
          <w:sz w:val="22"/>
        </w:rPr>
        <w:t>The aim of this study was to identify the upstream regulatory programs that separate lesion-tissue from internal-control FCD II astrocytes and to rank the transcription factors behind them. GSE268807 was the discovery dataset [17]; the internal control is histologically normal cortex from the same patient, the same hemisphere and the same lobe, taken adjacent to the lesion. Two public datasets provided supportive evidence: GSE140393, a human temporal lobe epilepsy glial expression dataset used to test expression-level support for the candidate factors and their target sets [18, 19], and GSE190452, which contains temporal lobe epilepsy and non-epilepsy control nuclei and was used to test whether the candidate programs keep their expression direction in a second epilepsy context [20]. Table 1 summarises the role of each dataset. The analysis flowed from object construction and regulon inference, through differential screening, candidate prioritisation and in silico perturbation, to stability testing and functional interpretation (Figure 1).</w:t>
      </w:r>
    </w:p>
    <w:p w14:paraId="0D6355FF">
      <w:pPr>
        <w:spacing w:before="200" w:after="120" w:line="480" w:lineRule="auto"/>
      </w:pPr>
      <w:r>
        <w:rPr>
          <w:rFonts w:ascii="Times New Roman" w:hAnsi="Times New Roman" w:eastAsia="Times New Roman"/>
          <w:b/>
          <w:i w:val="0"/>
          <w:sz w:val="24"/>
        </w:rPr>
        <w:t>Astrocyte object construction</w:t>
      </w:r>
    </w:p>
    <w:p w14:paraId="24107BB2">
      <w:pPr>
        <w:spacing w:before="0" w:after="120" w:line="480" w:lineRule="auto"/>
        <w:jc w:val="both"/>
      </w:pPr>
      <w:r>
        <w:rPr>
          <w:rFonts w:ascii="Times New Roman" w:hAnsi="Times New Roman" w:eastAsia="Times New Roman"/>
          <w:b w:val="0"/>
          <w:i w:val="0"/>
          <w:sz w:val="22"/>
        </w:rPr>
        <w:t>We used the preprocessed 10x Genomics Multiome astrocyte subset of GSE268807. The object contained four samples from two donors: two lesion-side samples (L1, L2) and two internal-control samples (C1, C2). We verified barcodes, sample identifiers, group labels, donor labels, cell counts and gene counts, and matched the AUCell activity matrix to the astrocyte object by barcode. The matched object served for differential regulon analysis, candidate prioritisation, CellOracle metadata integration and sample-level stability analysis. Object construction and matching are summarised in Additional file 1, Figure S1.</w:t>
      </w:r>
    </w:p>
    <w:p w14:paraId="3A7B8510">
      <w:pPr>
        <w:spacing w:before="200" w:after="120" w:line="480" w:lineRule="auto"/>
      </w:pPr>
      <w:r>
        <w:rPr>
          <w:rFonts w:ascii="Times New Roman" w:hAnsi="Times New Roman" w:eastAsia="Times New Roman"/>
          <w:b/>
          <w:i w:val="0"/>
          <w:sz w:val="24"/>
        </w:rPr>
        <w:t>Data preprocessing</w:t>
      </w:r>
    </w:p>
    <w:p w14:paraId="10BC32E6">
      <w:pPr>
        <w:spacing w:before="0" w:after="120" w:line="480" w:lineRule="auto"/>
        <w:jc w:val="both"/>
      </w:pPr>
      <w:r>
        <w:rPr>
          <w:rFonts w:ascii="Times New Roman" w:hAnsi="Times New Roman" w:eastAsia="Times New Roman"/>
          <w:b w:val="0"/>
          <w:i w:val="0"/>
          <w:sz w:val="22"/>
        </w:rPr>
        <w:t>We filtered low-quality cells, removed lowly expressed genes, normalised library size and applied a log transformation. The filtered full matrix was used for gene regulatory network inference, AUCell scoring, differential regulon analysis and candidate evaluation. Highly variable gene selection was used for dimensionality reduction and object quality control. Filtering thresholds, retained cell numbers and sample tracking records are given in Additional file 1, Figure S1.</w:t>
      </w:r>
    </w:p>
    <w:p w14:paraId="3085ABBC">
      <w:pPr>
        <w:spacing w:before="200" w:after="120" w:line="480" w:lineRule="auto"/>
      </w:pPr>
      <w:r>
        <w:rPr>
          <w:rFonts w:ascii="Times New Roman" w:hAnsi="Times New Roman" w:eastAsia="Times New Roman"/>
          <w:b/>
          <w:i w:val="0"/>
          <w:sz w:val="24"/>
        </w:rPr>
        <w:t>Regulon inference and activity scoring</w:t>
      </w:r>
    </w:p>
    <w:p w14:paraId="3E1DEC12">
      <w:pPr>
        <w:spacing w:before="0" w:after="120" w:line="480" w:lineRule="auto"/>
        <w:jc w:val="both"/>
      </w:pPr>
      <w:r>
        <w:rPr>
          <w:rFonts w:ascii="Times New Roman" w:hAnsi="Times New Roman" w:eastAsia="Times New Roman"/>
          <w:b w:val="0"/>
          <w:i w:val="0"/>
          <w:sz w:val="22"/>
        </w:rPr>
        <w:t>We inferred transcription-factor regulatory networks and scored regulon activity with pySCENIC (Docker image aertslab/pyscenic:0.12.1) in three steps. GRNBoost2 first inferred co-expression links between transcription factors and candidate target genes from the full astrocyte expression matrix, using an hg38 transcription-factor list as input [21]. The cisTarget hg38 ranking database (10 kb around the transcription start site, v10 motif annotation) then retained only transcription factor-target pairs with DNA motif support, which produced refined regulons. Finally, AUCell scored each regulon in every cell from the expression of its target genes, giving one activity value per regulon per cell. The resulting AUCell matrix was matched to the astrocyte object by barcode.</w:t>
      </w:r>
    </w:p>
    <w:p w14:paraId="09310F32">
      <w:pPr>
        <w:spacing w:before="200" w:after="120" w:line="480" w:lineRule="auto"/>
      </w:pPr>
      <w:r>
        <w:rPr>
          <w:rFonts w:ascii="Times New Roman" w:hAnsi="Times New Roman" w:eastAsia="Times New Roman"/>
          <w:b/>
          <w:i w:val="0"/>
          <w:sz w:val="24"/>
        </w:rPr>
        <w:t>Differential regulon analysis</w:t>
      </w:r>
    </w:p>
    <w:p w14:paraId="1315C199">
      <w:pPr>
        <w:spacing w:before="0" w:after="120" w:line="480" w:lineRule="auto"/>
        <w:jc w:val="both"/>
      </w:pPr>
      <w:r>
        <w:rPr>
          <w:rFonts w:ascii="Times New Roman" w:hAnsi="Times New Roman" w:eastAsia="Times New Roman"/>
          <w:b w:val="0"/>
          <w:i w:val="0"/>
          <w:sz w:val="22"/>
        </w:rPr>
        <w:t>We compared the AUCell activity of all regulons between the two sides. For each regulon we defined the activity difference as the mean AUCell activity in lesion tissue minus the mean activity in the internal control, and tested it with a two-tailed Wilcoxon rank-sum test. Benjamini-Hochberg correction was applied across all regulons with FDR &lt; 0.05 as the significance threshold. Regulons with a positive difference and FDR &lt; 0.05 were classed as increased in lesion tissue; regulons with a negative difference and FDR &lt; 0.05 were classed as reduced in lesion tissue. Complete results are given in Figure 2, Additional file 1, Figure S2 and Additional file 2, Table ST04.</w:t>
      </w:r>
    </w:p>
    <w:p w14:paraId="1A0522B8">
      <w:pPr>
        <w:spacing w:before="200" w:after="120" w:line="480" w:lineRule="auto"/>
      </w:pPr>
      <w:r>
        <w:rPr>
          <w:rFonts w:ascii="Times New Roman" w:hAnsi="Times New Roman" w:eastAsia="Times New Roman"/>
          <w:b/>
          <w:i w:val="0"/>
          <w:sz w:val="24"/>
        </w:rPr>
        <w:t>Expression effect-size statistic</w:t>
      </w:r>
    </w:p>
    <w:p w14:paraId="083F9E60">
      <w:pPr>
        <w:spacing w:before="0" w:after="120" w:line="480" w:lineRule="auto"/>
        <w:jc w:val="both"/>
      </w:pPr>
      <w:r>
        <w:rPr>
          <w:rFonts w:ascii="Times New Roman" w:hAnsi="Times New Roman" w:eastAsia="Times New Roman"/>
          <w:b w:val="0"/>
          <w:i w:val="0"/>
          <w:sz w:val="22"/>
        </w:rPr>
        <w:t>The prioritisation uses a screening-scale expression statistic, R = log2[(mean log1p(CP10K) lesion + 0.001) / (mean log1p(CP10K) internal control + 0.001)]. A positive R marks higher expression in lesion tissue and a negative R marks lower expression in lesion tissue. We also computed a linear-scale statistic, L = log2[(mean CP10K lesion + 0.001) / (mean CP10K internal control + 0.001)], on the same cells. R and L are reported for all seven candidates in Additional file 2, Table ST06.</w:t>
      </w:r>
    </w:p>
    <w:p w14:paraId="4549948F">
      <w:pPr>
        <w:spacing w:before="200" w:after="120" w:line="480" w:lineRule="auto"/>
      </w:pPr>
      <w:r>
        <w:rPr>
          <w:rFonts w:ascii="Times New Roman" w:hAnsi="Times New Roman" w:eastAsia="Times New Roman"/>
          <w:b/>
          <w:i w:val="0"/>
          <w:sz w:val="24"/>
        </w:rPr>
        <w:t>Candidate transcription factor prioritisation</w:t>
      </w:r>
    </w:p>
    <w:p w14:paraId="111F6BF6">
      <w:pPr>
        <w:spacing w:before="0" w:after="120" w:line="480" w:lineRule="auto"/>
        <w:jc w:val="both"/>
      </w:pPr>
      <w:r>
        <w:rPr>
          <w:rFonts w:ascii="Times New Roman" w:hAnsi="Times New Roman" w:eastAsia="Times New Roman"/>
          <w:b w:val="0"/>
          <w:i w:val="0"/>
          <w:sz w:val="22"/>
        </w:rPr>
        <w:t>We prioritised candidates in two independent branches and then combined them. The first branch used entry criteria followed by layered evidence. A factor entered when the direction of its own expression agreed with the direction of its regulon activity and its regulon reached FDR &lt; 0.05; candidate entry also required |R| &gt;= 0.25 and detection in at least 5% of the higher-expression group. Priority among the entered factors was set by integrating four layers: regulon target-set size, CellOracle perturbation indices, donor, expression-scale and threshold results together with the external datasets, and functional enrichment. The layers were compared qualitatively. The second branch was an independent literature-informed screen of all regulon-associated factors. PubMed was searched for each factor together with focal cortical dysplasia, epilepsy, drug-resistant epilepsy, astrocyte and glia terms, and each factor was assigned to evidence class A (direct human FCD or FCD II tissue evidence) or class B (epilepsy-related functional evidence plus central nervous system or glial support) [39-54]. The same numerical entry criteria were applied to all factors. Complete candidate metrics, literature screening outcomes and prioritisation results are given in Additional file 2, Tables ST02 and ST03, and the integrated prioritisation is summarised in Table 2.</w:t>
      </w:r>
    </w:p>
    <w:p w14:paraId="1F23B157">
      <w:pPr>
        <w:spacing w:before="200" w:after="120" w:line="480" w:lineRule="auto"/>
      </w:pPr>
      <w:r>
        <w:rPr>
          <w:rFonts w:ascii="Times New Roman" w:hAnsi="Times New Roman" w:eastAsia="Times New Roman"/>
          <w:b/>
          <w:i w:val="0"/>
          <w:sz w:val="24"/>
        </w:rPr>
        <w:t>CellOracle in silico perturbation simulation</w:t>
      </w:r>
    </w:p>
    <w:p w14:paraId="442DC52D">
      <w:pPr>
        <w:spacing w:before="0" w:after="120" w:line="480" w:lineRule="auto"/>
        <w:jc w:val="both"/>
      </w:pPr>
      <w:r>
        <w:rPr>
          <w:rFonts w:ascii="Times New Roman" w:hAnsi="Times New Roman" w:eastAsia="Times New Roman"/>
          <w:b w:val="0"/>
          <w:i w:val="0"/>
          <w:sz w:val="22"/>
        </w:rPr>
        <w:t>We simulated silencing of each candidate with CellOracle 0.18.0 (Docker image kenjikamimoto126/celloracle_ubuntu:0.18.0). CellOracle propagates a change in transcription-factor expression through the inferred network, projects the resulting global expression change onto the low-dimensional cell-state space, and reports the direction and magnitude of the displacement. Inputs were the matched astrocyte expression object, the candidate transcription-factor list, cell metadata, the low-dimensional embedding and the inferred regulatory network. Each candidate was perturbed individually. We report three quantities. The mean shift is the mean displacement of the perturbed cells in state space. The net shift is the observed mean displacement minus the mean displacement of the randomised-control perturbation. The within-donor lesion-minus-control net shift is the same net shift computed separately in each donor; a negative value means that silencing moved the cells away from the lesion state. Random permutation controls generated an empirical reference distribution. Perturbation metrics and control results are given in Figure 3 and Additional file 2, Table ST05.</w:t>
      </w:r>
    </w:p>
    <w:p w14:paraId="312E504F">
      <w:pPr>
        <w:spacing w:before="200" w:after="120" w:line="480" w:lineRule="auto"/>
      </w:pPr>
      <w:r>
        <w:rPr>
          <w:rFonts w:ascii="Times New Roman" w:hAnsi="Times New Roman" w:eastAsia="Times New Roman"/>
          <w:b/>
          <w:i w:val="0"/>
          <w:sz w:val="24"/>
        </w:rPr>
        <w:t>Stability and sensitivity analyses</w:t>
      </w:r>
    </w:p>
    <w:p w14:paraId="049FC9B8">
      <w:pPr>
        <w:spacing w:before="0" w:after="120" w:line="480" w:lineRule="auto"/>
        <w:jc w:val="both"/>
      </w:pPr>
      <w:r>
        <w:rPr>
          <w:rFonts w:ascii="Times New Roman" w:hAnsi="Times New Roman" w:eastAsia="Times New Roman"/>
          <w:b w:val="0"/>
          <w:i w:val="0"/>
          <w:sz w:val="22"/>
        </w:rPr>
        <w:t>We tested the stability of each candidate from four directions. First, we replaced the screening-scale expression statistic R with the linear-scale statistic L while holding every other entry criterion fixed. Second, we summed counts per donor and recomputed the expression effect as a donor-paired pseudobulk log2 fold change. Third, a predefined grid of 81 entry-threshold combinations varied expression significance, effect size, detection and regulon significance while always requiring a direction match, and the retention frequency across the grid was recorded. Fourth, we tested the dependence of each candidate's simulated displacement on the definition of the network edges by restricting the network to motif-supported edges with the reference object, nuclei, genes, normalisation, imputation, PCA and UMAP held fixed. Complete results are given in Figure 3c, Figure 4, Additional file 1, Figure S3, and Additional file 2, Table ST06.</w:t>
      </w:r>
    </w:p>
    <w:p w14:paraId="480307FA">
      <w:pPr>
        <w:spacing w:before="200" w:after="120" w:line="480" w:lineRule="auto"/>
      </w:pPr>
      <w:r>
        <w:rPr>
          <w:rFonts w:ascii="Times New Roman" w:hAnsi="Times New Roman" w:eastAsia="Times New Roman"/>
          <w:b/>
          <w:i w:val="0"/>
          <w:sz w:val="24"/>
        </w:rPr>
        <w:t>Supportive external data analyses</w:t>
      </w:r>
    </w:p>
    <w:p w14:paraId="4948A073">
      <w:pPr>
        <w:spacing w:before="0" w:after="120" w:line="480" w:lineRule="auto"/>
        <w:jc w:val="both"/>
      </w:pPr>
      <w:r>
        <w:rPr>
          <w:rFonts w:ascii="Times New Roman" w:hAnsi="Times New Roman" w:eastAsia="Times New Roman"/>
          <w:b w:val="0"/>
          <w:i w:val="0"/>
          <w:sz w:val="22"/>
        </w:rPr>
        <w:t>We tested whether the candidate factors and their target sets keep their expression direction in independent material. For each candidate we computed a support score from the expression direction and the fraction of expressing cells in the relevant cell group, and we compared the resulting ranks with the discovery ranking. Results are given in Additional file 1, Figure S4, and Additional file 2, Table ST07.</w:t>
      </w:r>
    </w:p>
    <w:p w14:paraId="22165B46">
      <w:pPr>
        <w:spacing w:before="200" w:after="120" w:line="480" w:lineRule="auto"/>
      </w:pPr>
      <w:r>
        <w:rPr>
          <w:rFonts w:ascii="Times New Roman" w:hAnsi="Times New Roman" w:eastAsia="Times New Roman"/>
          <w:b/>
          <w:i w:val="0"/>
          <w:sz w:val="24"/>
        </w:rPr>
        <w:t>Functional enrichment and convergence analysis</w:t>
      </w:r>
    </w:p>
    <w:p w14:paraId="3E883587">
      <w:pPr>
        <w:spacing w:before="0" w:after="120" w:line="480" w:lineRule="auto"/>
        <w:jc w:val="both"/>
      </w:pPr>
      <w:r>
        <w:rPr>
          <w:rFonts w:ascii="Times New Roman" w:hAnsi="Times New Roman" w:eastAsia="Times New Roman"/>
          <w:b w:val="0"/>
          <w:i w:val="0"/>
          <w:sz w:val="22"/>
        </w:rPr>
        <w:t>To interpret the biology of the prioritised regulons we used two complementary analyses: GO and KEGG enrichment of the regulon target sets, and a program convergence analysis that measured how far each target set overlapped the differentially expressed genes of the same comparison. Enrichment used the Enrichr web API with the GO Biological Process 2023 and KEGG 2021 Human libraries, and Benjamini-Hochberg correction across the full tested family with FDR &lt; 0.05 [22, 23]. The convergence percentage was the share of regulon target genes that were also differentially expressed. Results are given in Figure 5, Additional file 1, Figure S5, and Additional file 2, Table ST08.</w:t>
      </w:r>
    </w:p>
    <w:p w14:paraId="70FFEF43">
      <w:pPr>
        <w:spacing w:before="200" w:after="120" w:line="480" w:lineRule="auto"/>
      </w:pPr>
      <w:r>
        <w:rPr>
          <w:rFonts w:ascii="Times New Roman" w:hAnsi="Times New Roman" w:eastAsia="Times New Roman"/>
          <w:b/>
          <w:i w:val="0"/>
          <w:sz w:val="24"/>
        </w:rPr>
        <w:t>Drug-signature enrichment and blood-brain barrier annotation</w:t>
      </w:r>
    </w:p>
    <w:p w14:paraId="37CA8DAC">
      <w:pPr>
        <w:spacing w:before="0" w:after="120" w:line="480" w:lineRule="auto"/>
        <w:jc w:val="both"/>
      </w:pPr>
      <w:r>
        <w:rPr>
          <w:rFonts w:ascii="Times New Roman" w:hAnsi="Times New Roman" w:eastAsia="Times New Roman"/>
          <w:b w:val="0"/>
          <w:i w:val="0"/>
          <w:sz w:val="22"/>
        </w:rPr>
        <w:t>To place the prioritised programs in a pharmacological context we tested the candidate regulon target sets against the DSigDB drug-perturbation library through the Enrichr web API, with Benjamini-Hochberg correction over each complete tested family [24] and [22, 23]. Blood-brain barrier permeability for the nominated compounds was annotated with SwissADME [25]. Compounds were grouped into high, moderate and low blood-brain barrier penetration classes. Results are given in Additional file 1, Figure S6, and Additional file 2, Table ST09.</w:t>
      </w:r>
    </w:p>
    <w:p w14:paraId="4BA65BEE">
      <w:pPr>
        <w:spacing w:before="200" w:after="120" w:line="480" w:lineRule="auto"/>
      </w:pPr>
      <w:r>
        <w:rPr>
          <w:rFonts w:ascii="Times New Roman" w:hAnsi="Times New Roman" w:eastAsia="Times New Roman"/>
          <w:b/>
          <w:i w:val="0"/>
          <w:sz w:val="24"/>
        </w:rPr>
        <w:t>Statistical analysis</w:t>
      </w:r>
    </w:p>
    <w:p w14:paraId="7BFCF77E">
      <w:pPr>
        <w:spacing w:before="0" w:after="120" w:line="480" w:lineRule="auto"/>
        <w:jc w:val="both"/>
      </w:pPr>
      <w:r>
        <w:rPr>
          <w:rFonts w:ascii="Times New Roman" w:hAnsi="Times New Roman" w:eastAsia="Times New Roman"/>
          <w:b w:val="0"/>
          <w:i w:val="0"/>
          <w:sz w:val="22"/>
        </w:rPr>
        <w:t>Differential regulon analysis used a two-tailed Wilcoxon rank-sum test with Benjamini-Hochberg correction and a uniform significance threshold of FDR &lt; 0.05. Functional and drug-signature enrichment used Fisher's exact test through the Enrichr web API, corrected in the same way. CellOracle perturbation patterns were compared with random permutation controls. The complete regulon statistics, perturbation metrics, stability metrics, supportive dataset results and enrichment outputs are provided in the supplementary tables.</w:t>
      </w:r>
    </w:p>
    <w:p w14:paraId="74765E69">
      <w:pPr>
        <w:spacing w:before="280" w:after="120" w:line="480" w:lineRule="auto"/>
      </w:pPr>
      <w:r>
        <w:rPr>
          <w:rFonts w:ascii="Times New Roman" w:hAnsi="Times New Roman" w:eastAsia="Times New Roman"/>
          <w:b/>
          <w:i w:val="0"/>
          <w:sz w:val="28"/>
        </w:rPr>
        <w:t>Results</w:t>
      </w:r>
    </w:p>
    <w:p w14:paraId="2A0A79ED">
      <w:pPr>
        <w:spacing w:before="200" w:after="120" w:line="480" w:lineRule="auto"/>
      </w:pPr>
      <w:r>
        <w:rPr>
          <w:rFonts w:ascii="Times New Roman" w:hAnsi="Times New Roman" w:eastAsia="Times New Roman"/>
          <w:b/>
          <w:i w:val="0"/>
          <w:sz w:val="24"/>
        </w:rPr>
        <w:t>The analytical object for the lesion versus internal-control comparison</w:t>
      </w:r>
    </w:p>
    <w:p w14:paraId="1DC71F60">
      <w:pPr>
        <w:spacing w:before="0" w:after="120" w:line="480" w:lineRule="auto"/>
        <w:jc w:val="both"/>
      </w:pPr>
      <w:r>
        <w:rPr>
          <w:rFonts w:ascii="Times New Roman" w:hAnsi="Times New Roman" w:eastAsia="Times New Roman"/>
          <w:b w:val="0"/>
          <w:i w:val="0"/>
          <w:sz w:val="22"/>
        </w:rPr>
        <w:t>The discovery object contained 2,322 FCD II astrocytes and 105 motif-supported regulons. The 2,322 astrocytes (888 lesion-tissue and 1,434 internal-control cells) came from four samples and two donors and spanned 36,601 genes (Figure 1, Additional file 1, Figure S1).</w:t>
      </w:r>
    </w:p>
    <w:p w14:paraId="45913CB1">
      <w:pPr>
        <w:spacing w:before="200" w:after="120" w:line="480" w:lineRule="auto"/>
      </w:pPr>
      <w:r>
        <w:rPr>
          <w:rFonts w:ascii="Times New Roman" w:hAnsi="Times New Roman" w:eastAsia="Times New Roman"/>
          <w:b/>
          <w:i w:val="0"/>
          <w:sz w:val="24"/>
        </w:rPr>
        <w:t>Differential regulon activity defines two opposing regulatory states</w:t>
      </w:r>
    </w:p>
    <w:p w14:paraId="76B4C470">
      <w:pPr>
        <w:spacing w:before="0" w:after="120" w:line="480" w:lineRule="auto"/>
        <w:jc w:val="both"/>
        <w:rPr>
          <w:rFonts w:hint="eastAsia" w:eastAsia="宋体"/>
          <w:lang w:val="en-US" w:eastAsia="zh-CN"/>
        </w:rPr>
      </w:pPr>
      <w:r>
        <w:rPr>
          <w:rFonts w:ascii="Times New Roman" w:hAnsi="Times New Roman" w:eastAsia="Times New Roman"/>
          <w:b w:val="0"/>
          <w:i w:val="0"/>
          <w:sz w:val="22"/>
        </w:rPr>
        <w:t>Lesion-tissue and internal-control astrocytes differed in regulon activity. Of the 105 pySCENIC regulons, 76 differed significantly between the two sides (FDR &lt; 0.05); 41 had higher activity in lesion tissue and 35 had lower activity in lesion tissue (Figure 2</w:t>
      </w:r>
      <w:r>
        <w:rPr>
          <w:rFonts w:hint="eastAsia" w:eastAsia="宋体"/>
          <w:b w:val="0"/>
          <w:i w:val="0"/>
          <w:sz w:val="22"/>
          <w:lang w:val="en-US" w:eastAsia="zh-CN"/>
        </w:rPr>
        <w:t xml:space="preserve">b</w:t>
      </w:r>
      <w:r>
        <w:rPr>
          <w:rFonts w:ascii="Times New Roman" w:hAnsi="Times New Roman" w:eastAsia="Times New Roman"/>
          <w:b w:val="0"/>
          <w:i w:val="0"/>
          <w:sz w:val="22"/>
        </w:rPr>
        <w:t xml:space="preserve">, Additional file 1, Figure S2, Additional file 2, Table ST04). The NFE2L2 and THRB activities were distributed across the shared embedding rather than confined to one nucleus state (Figure 2e,f). In a principal component analysis of the full 105-regulon AUCell matrix, the first component separated the two conditions and the second the two donors (Figure 2g). The reduced-in-lesion group was led by THRB, which showed the largest reduction of all regulons (mean AUCell difference -0.245, FDR = 4.05</w:t>
      </w:r>
      <w:r>
        <w:rPr>
          <w:rFonts w:hint="eastAsia" w:ascii="Times New Roman" w:hAnsi="Times New Roman" w:eastAsia="Times New Roman" w:cstheme="minorBidi"/>
          <w:b w:val="0"/>
          <w:bCs w:val="0"/>
          <w:i w:val="0"/>
          <w:iCs w:val="0"/>
          <w:caps w:val="0"/>
          <w:spacing w:val="0"/>
          <w:sz w:val="22"/>
          <w:szCs w:val="22"/>
          <w:shd w:val="clear"/>
        </w:rPr>
        <w:t>×</w:t>
      </w:r>
      <w:r>
        <w:rPr>
          <w:rFonts w:ascii="Times New Roman" w:hAnsi="Times New Roman" w:eastAsia="Times New Roman"/>
          <w:b w:val="0"/>
          <w:i w:val="0"/>
          <w:sz w:val="22"/>
        </w:rPr>
        <w:t>10</w:t>
      </w:r>
      <w:r>
        <w:rPr>
          <w:rFonts w:ascii="Times New Roman" w:hAnsi="Times New Roman" w:eastAsia="Times New Roman"/>
          <w:b w:val="0"/>
          <w:i w:val="0"/>
          <w:sz w:val="22"/>
          <w:vertAlign w:val="superscript"/>
        </w:rPr>
        <w:t>-114</w:t>
      </w:r>
      <w:r>
        <w:rPr>
          <w:rFonts w:ascii="Times New Roman" w:hAnsi="Times New Roman" w:eastAsia="Times New Roman"/>
          <w:b w:val="0"/>
          <w:i w:val="0"/>
          <w:sz w:val="22"/>
        </w:rPr>
        <w:t>) and clustered with TCF4 and SATB2, and SATB2 was likewise reduced in lesion tissue (Additional file 1, Figure S2c). The increased-in-lesion group contained NFE2L2, SOX2, CEBPD and JUNB</w:t>
      </w:r>
      <w:r>
        <w:rPr>
          <w:rFonts w:hint="eastAsia" w:eastAsia="宋体"/>
          <w:b w:val="0"/>
          <w:i w:val="0"/>
          <w:sz w:val="22"/>
          <w:lang w:val="en-US" w:eastAsia="zh-CN"/>
        </w:rPr>
        <w:t xml:space="preserve">.</w:t>
      </w:r>
    </w:p>
    <w:p w14:paraId="3A52A3CE">
      <w:pPr>
        <w:spacing w:before="200" w:after="120" w:line="480" w:lineRule="auto"/>
      </w:pPr>
      <w:r>
        <w:rPr>
          <w:rFonts w:ascii="Times New Roman" w:hAnsi="Times New Roman" w:eastAsia="Times New Roman"/>
          <w:b/>
          <w:i w:val="0"/>
          <w:sz w:val="24"/>
        </w:rPr>
        <w:t>Integrated prioritisation identifies NFE2L2 and THRB as the two leading axes</w:t>
      </w:r>
    </w:p>
    <w:p w14:paraId="7035F79E">
      <w:pPr>
        <w:spacing w:before="0" w:after="120" w:line="480" w:lineRule="auto"/>
        <w:jc w:val="both"/>
      </w:pPr>
      <w:r>
        <w:rPr>
          <w:rFonts w:ascii="Times New Roman" w:hAnsi="Times New Roman" w:eastAsia="Times New Roman"/>
          <w:b w:val="0"/>
          <w:i w:val="0"/>
          <w:sz w:val="22"/>
        </w:rPr>
        <w:t>NFE2L2 and THRB were the two highest-priority candidates, and each was concordant across every evidence layer (Table 2, Additional file 2, Tables ST02 and ST03). NFE2L2 was lesion-side biased at the level of the factor itself (R = +0.42), the level of its regulon (mean AUCell difference +0.009, FDR = 1.64</w:t>
      </w:r>
      <w:r>
        <w:rPr>
          <w:rFonts w:hint="eastAsia" w:ascii="Times New Roman" w:hAnsi="Times New Roman" w:eastAsia="Times New Roman" w:cstheme="minorBidi"/>
          <w:b w:val="0"/>
          <w:bCs w:val="0"/>
          <w:i w:val="0"/>
          <w:iCs w:val="0"/>
          <w:caps w:val="0"/>
          <w:spacing w:val="0"/>
          <w:sz w:val="22"/>
          <w:szCs w:val="22"/>
          <w:shd w:val="clear"/>
        </w:rPr>
        <w:t>×</w:t>
      </w:r>
      <w:r>
        <w:rPr>
          <w:rFonts w:ascii="Times New Roman" w:hAnsi="Times New Roman" w:eastAsia="Times New Roman"/>
          <w:b w:val="0"/>
          <w:i w:val="0"/>
          <w:sz w:val="22"/>
        </w:rPr>
        <w:t>10</w:t>
      </w:r>
      <w:r>
        <w:rPr>
          <w:rFonts w:ascii="Times New Roman" w:hAnsi="Times New Roman" w:eastAsia="Times New Roman"/>
          <w:b w:val="0"/>
          <w:i w:val="0"/>
          <w:sz w:val="22"/>
          <w:vertAlign w:val="superscript"/>
        </w:rPr>
        <w:t>-19</w:t>
      </w:r>
      <w:r>
        <w:rPr>
          <w:rFonts w:ascii="Times New Roman" w:hAnsi="Times New Roman" w:eastAsia="Times New Roman"/>
          <w:b w:val="0"/>
          <w:i w:val="0"/>
          <w:sz w:val="22"/>
        </w:rPr>
        <w:t xml:space="preserve">) and the level of cell coverage (positive-cell proportion 0.363), and its regulon contained 458 target genes, of which </w:t>
      </w:r>
      <w:r>
        <w:rPr>
          <w:rFonts w:hint="eastAsia" w:ascii="Times New Roman" w:hAnsi="Times New Roman" w:eastAsia="Times New Roman"/>
          <w:b w:val="0"/>
          <w:i w:val="0"/>
          <w:sz w:val="22"/>
        </w:rPr>
        <w:t>135</w:t>
      </w:r>
      <w:r>
        <w:rPr>
          <w:rFonts w:ascii="Times New Roman" w:hAnsi="Times New Roman" w:eastAsia="Times New Roman"/>
          <w:b w:val="0"/>
          <w:i w:val="0"/>
          <w:sz w:val="22"/>
        </w:rPr>
        <w:t xml:space="preserve"> overlapped differentially expressed genes (</w:t>
      </w:r>
      <w:r>
        <w:rPr>
          <w:rFonts w:hint="eastAsia" w:ascii="Times New Roman" w:hAnsi="Times New Roman" w:eastAsia="Times New Roman"/>
          <w:b w:val="0"/>
          <w:i w:val="0"/>
          <w:sz w:val="22"/>
        </w:rPr>
        <w:t>29.5%</w:t>
      </w:r>
      <w:r>
        <w:rPr>
          <w:rFonts w:ascii="Times New Roman" w:hAnsi="Times New Roman" w:eastAsia="Times New Roman"/>
          <w:b w:val="0"/>
          <w:i w:val="0"/>
          <w:sz w:val="22"/>
        </w:rPr>
        <w:t>). THRB was reduced in lesion tissue in the same three layers (R = -0.64; mean AUCell difference -0.245, FDR = 4.05</w:t>
      </w:r>
      <w:r>
        <w:rPr>
          <w:rFonts w:hint="eastAsia" w:ascii="Times New Roman" w:hAnsi="Times New Roman" w:eastAsia="Times New Roman" w:cstheme="minorBidi"/>
          <w:b w:val="0"/>
          <w:bCs w:val="0"/>
          <w:i w:val="0"/>
          <w:iCs w:val="0"/>
          <w:caps w:val="0"/>
          <w:spacing w:val="0"/>
          <w:sz w:val="22"/>
          <w:szCs w:val="22"/>
          <w:shd w:val="clear"/>
        </w:rPr>
        <w:t>×</w:t>
      </w:r>
      <w:r>
        <w:rPr>
          <w:rFonts w:ascii="Times New Roman" w:hAnsi="Times New Roman" w:eastAsia="Times New Roman"/>
          <w:b w:val="0"/>
          <w:i w:val="0"/>
          <w:sz w:val="22"/>
        </w:rPr>
        <w:t>10</w:t>
      </w:r>
      <w:r>
        <w:rPr>
          <w:rFonts w:ascii="Times New Roman" w:hAnsi="Times New Roman" w:eastAsia="Times New Roman"/>
          <w:b w:val="0"/>
          <w:i w:val="0"/>
          <w:sz w:val="22"/>
          <w:vertAlign w:val="superscript"/>
        </w:rPr>
        <w:t>-114</w:t>
      </w:r>
      <w:r>
        <w:rPr>
          <w:rFonts w:ascii="Times New Roman" w:hAnsi="Times New Roman" w:eastAsia="Times New Roman"/>
          <w:b w:val="0"/>
          <w:i w:val="0"/>
          <w:sz w:val="22"/>
        </w:rPr>
        <w:t>; positive-cell proportion 0.642); its regulon contained 17 target genes, of which 13 overlapped differentially expressed genes (76.5%).</w:t>
      </w:r>
    </w:p>
    <w:p w14:paraId="74BE5C93">
      <w:pPr>
        <w:spacing w:before="200" w:after="120" w:line="480" w:lineRule="auto"/>
      </w:pPr>
      <w:r>
        <w:rPr>
          <w:rFonts w:ascii="Times New Roman" w:hAnsi="Times New Roman" w:eastAsia="Times New Roman"/>
          <w:b/>
          <w:i w:val="0"/>
          <w:sz w:val="24"/>
        </w:rPr>
        <w:t>Additional literature-qualified candidates</w:t>
      </w:r>
    </w:p>
    <w:p w14:paraId="4B671C5F">
      <w:pPr>
        <w:spacing w:before="0" w:after="120" w:line="480" w:lineRule="auto"/>
        <w:jc w:val="both"/>
      </w:pPr>
      <w:r>
        <w:rPr>
          <w:rFonts w:ascii="Times New Roman" w:hAnsi="Times New Roman" w:eastAsia="Times New Roman"/>
          <w:b w:val="0"/>
          <w:i w:val="0"/>
          <w:sz w:val="22"/>
        </w:rPr>
        <w:t>The literature-informed screen qualified five further candidates. Of the 105 regulon-associated factors, nine met the literature criteria and 30 met all numerical entry criteria (Additional file 1, Figure S2d); their intersection gave SATB2, SOX2, SMAD3, SOX10 and CUX1 alongside NFE2L2 and THRB (Additional file 2, Table ST02). SATB2 and THRB were retained across all 81 threshold combinations, whereas NFE2L2, SOX2, SMAD3, SOX10 and CUX1 were retained in two thirds of them (Table 2, Additional file 2, Table ST06). SOX2 was lesion-side biased in both layers (R = +0.45; mean AUCell difference +0.096, FDR = 9.39</w:t>
      </w:r>
      <w:r>
        <w:rPr>
          <w:rFonts w:hint="eastAsia" w:ascii="Times New Roman" w:hAnsi="Times New Roman" w:eastAsia="Times New Roman" w:cstheme="minorBidi"/>
          <w:b w:val="0"/>
          <w:bCs w:val="0"/>
          <w:i w:val="0"/>
          <w:iCs w:val="0"/>
          <w:caps w:val="0"/>
          <w:spacing w:val="0"/>
          <w:sz w:val="22"/>
          <w:szCs w:val="22"/>
          <w:shd w:val="clear"/>
        </w:rPr>
        <w:t>×</w:t>
      </w:r>
      <w:r>
        <w:rPr>
          <w:rFonts w:ascii="Times New Roman" w:hAnsi="Times New Roman" w:eastAsia="Times New Roman"/>
          <w:b w:val="0"/>
          <w:i w:val="0"/>
          <w:sz w:val="22"/>
        </w:rPr>
        <w:t>10</w:t>
      </w:r>
      <w:r>
        <w:rPr>
          <w:rFonts w:ascii="Times New Roman" w:hAnsi="Times New Roman" w:eastAsia="Times New Roman"/>
          <w:b w:val="0"/>
          <w:i w:val="0"/>
          <w:sz w:val="22"/>
          <w:vertAlign w:val="superscript"/>
        </w:rPr>
        <w:t>-66</w:t>
      </w:r>
      <w:r>
        <w:rPr>
          <w:rFonts w:ascii="Times New Roman" w:hAnsi="Times New Roman" w:eastAsia="Times New Roman"/>
          <w:b w:val="0"/>
          <w:i w:val="0"/>
          <w:sz w:val="22"/>
        </w:rPr>
        <w:t>) and its regulon contained 10 target genes. Six of the seven candidates kept their expression direction when R was replaced by L; SMAD3 did not (|L| = 0.193), and SMAD3 was also the one candidate whose two donors pointed in opposite directions.</w:t>
      </w:r>
    </w:p>
    <w:p w14:paraId="53FF39B6">
      <w:pPr>
        <w:spacing w:before="200" w:after="120" w:line="480" w:lineRule="auto"/>
      </w:pPr>
      <w:r>
        <w:rPr>
          <w:rFonts w:ascii="Times New Roman" w:hAnsi="Times New Roman" w:eastAsia="Times New Roman"/>
          <w:b/>
          <w:i w:val="0"/>
          <w:sz w:val="24"/>
        </w:rPr>
        <w:t>CellOracle in silico perturbation: NFE2L2 displaces cell state most and THRB second</w:t>
      </w:r>
    </w:p>
    <w:p w14:paraId="026D0B45">
      <w:pPr>
        <w:spacing w:before="0" w:after="120" w:line="480" w:lineRule="auto"/>
        <w:jc w:val="both"/>
      </w:pPr>
      <w:r>
        <w:rPr>
          <w:rFonts w:ascii="Times New Roman" w:hAnsi="Times New Roman" w:eastAsia="Times New Roman"/>
          <w:b w:val="0"/>
          <w:i w:val="0"/>
          <w:sz w:val="22"/>
        </w:rPr>
        <w:t>NFE2L2 gave the largest simulated state displacement and THRB the second largest (Figure 3, Additional file 2, Table ST05). NFE2L2 gave the highest mean shift of all candidates (0.691), followed by THRB (0.683). In both donors the lesion-minus-control net shift was negative for every candidate (Figure 3b, Table ST05). The per-nucleus displacement distributions reproduced the same group split (Figure 3e). Random permutation controls did not reproduce the specific patterns of NFE2L2 and THRB. The mean shift ordered the supporting candidates as SATB2 0.657 (rank 3), SMAD3 0.611 (rank 4), CUX1 0.548 (rank 5), SOX2 0.516 (rank 6) and SOX10 0.398 (rank 7), and the same order held on the extended network that contains all seven candidates.</w:t>
      </w:r>
    </w:p>
    <w:p w14:paraId="5017CB1D">
      <w:pPr>
        <w:spacing w:before="200" w:after="120" w:line="480" w:lineRule="auto"/>
      </w:pPr>
      <w:r>
        <w:rPr>
          <w:rFonts w:ascii="Times New Roman" w:hAnsi="Times New Roman" w:eastAsia="Times New Roman"/>
          <w:b/>
          <w:i w:val="0"/>
          <w:sz w:val="24"/>
        </w:rPr>
        <w:t>Network-edge sensitivity of the prioritised candidates</w:t>
      </w:r>
    </w:p>
    <w:p w14:paraId="3B27690E">
      <w:pPr>
        <w:spacing w:before="0" w:after="120" w:line="480" w:lineRule="auto"/>
        <w:jc w:val="both"/>
      </w:pPr>
      <w:r>
        <w:rPr>
          <w:rFonts w:ascii="Times New Roman" w:hAnsi="Times New Roman" w:eastAsia="Times New Roman"/>
          <w:b w:val="0"/>
          <w:i w:val="0"/>
          <w:sz w:val="22"/>
        </w:rPr>
        <w:t>Restricting the network to motif-supported edges changed the simulated displacement of the candidates to different degrees (Figure 3c, Additional file 2, Table ST06). NFE2L2 changed by -5.6%, followed by SMAD3 (-7.4%), SATB2 (-13.0%) and THRB (-17.6%). SOX2 (-39.0%) and SOX10 (-40.8%) were moderately sensitive, and CUX1 changed most (-60.8%).</w:t>
      </w:r>
    </w:p>
    <w:p w14:paraId="213418AA">
      <w:pPr>
        <w:spacing w:before="200" w:after="120" w:line="480" w:lineRule="auto"/>
      </w:pPr>
      <w:r>
        <w:rPr>
          <w:rFonts w:ascii="Times New Roman" w:hAnsi="Times New Roman" w:eastAsia="Times New Roman"/>
          <w:b/>
          <w:i w:val="0"/>
          <w:sz w:val="24"/>
        </w:rPr>
        <w:t>Expression-scale, donor and threshold stability of the two leading programs</w:t>
      </w:r>
    </w:p>
    <w:p w14:paraId="21E4A9E2">
      <w:pPr>
        <w:spacing w:before="0" w:after="120" w:line="480" w:lineRule="auto"/>
        <w:jc w:val="both"/>
      </w:pPr>
      <w:r>
        <w:rPr>
          <w:rFonts w:ascii="Times New Roman" w:hAnsi="Times New Roman" w:eastAsia="Times New Roman"/>
          <w:b w:val="0"/>
          <w:i w:val="0"/>
          <w:sz w:val="22"/>
        </w:rPr>
        <w:t>The candidates differed in expression-scale, donor and threshold stability (Figure 4, Additional file 2, Table ST06). Six of the seven candidates kept their direction when R was replaced by the linear-scale statistic L; SMAD3 was the exception, failing the |L| &gt;= 0.25 threshold (|L| = 0.193, Figure 4a,b). Donor-paired pseudobulk effects agreed in direction for six candidates, and SMAD3 was the only candidate whose two donors pointed in opposite directions (Figure 4c). Across the 81 threshold combinations, THRB and SATB2 were retained throughout, while each of the other five candidates was retained in two thirds of the settings (Table 2).</w:t>
      </w:r>
    </w:p>
    <w:p w14:paraId="3E8DCCA4">
      <w:pPr>
        <w:spacing w:before="200" w:after="120" w:line="480" w:lineRule="auto"/>
      </w:pPr>
      <w:r>
        <w:rPr>
          <w:rFonts w:ascii="Times New Roman" w:hAnsi="Times New Roman" w:eastAsia="Times New Roman"/>
          <w:b/>
          <w:i w:val="0"/>
          <w:sz w:val="24"/>
        </w:rPr>
        <w:t>Supportive external expression analyses</w:t>
      </w:r>
    </w:p>
    <w:p w14:paraId="620445D6">
      <w:pPr>
        <w:spacing w:before="0" w:after="120" w:line="480" w:lineRule="auto"/>
        <w:jc w:val="both"/>
      </w:pPr>
      <w:r>
        <w:rPr>
          <w:rFonts w:ascii="Times New Roman" w:hAnsi="Times New Roman" w:eastAsia="Times New Roman"/>
          <w:b w:val="0"/>
          <w:i w:val="0"/>
          <w:sz w:val="22"/>
        </w:rPr>
        <w:t xml:space="preserve">Both validation datasets supported the prioritised factors (Additional file 1, Figure S4, Additional file 2, Table ST07). In GSE140393, NFE2L2 had the highest support score (1.000, rank 1), followed by THRB (0.800, rank 2); SOX2 scored 0.350. In GSE190452, NFE2L2 again had the highest support score (1.000), with a group log2 fold change of 0.399 </w:t>
      </w:r>
      <w:r>
        <w:rPr>
          <w:rFonts w:hint="eastAsia" w:ascii="Times New Roman" w:hAnsi="Times New Roman" w:eastAsia="Times New Roman"/>
          <w:b w:val="0"/>
          <w:i w:val="0"/>
          <w:sz w:val="22"/>
        </w:rPr>
        <w:t>and a cluster expression support fraction of 0.821</w:t>
      </w:r>
      <w:r>
        <w:rPr>
          <w:rFonts w:ascii="Times New Roman" w:hAnsi="Times New Roman" w:eastAsia="Times New Roman"/>
          <w:b w:val="0"/>
          <w:i w:val="0"/>
          <w:sz w:val="22"/>
        </w:rPr>
        <w:t>; THRB kept its reduction in lesion tissue (group log2 fold change -0.231, cluster expression support fraction 0.607, support score 0.204), and SOX2 showed a disease-associated direction (support score 0.731, group log2 fold change 0.291).</w:t>
      </w:r>
    </w:p>
    <w:p w14:paraId="59224E6E">
      <w:pPr>
        <w:spacing w:before="200" w:after="120" w:line="480" w:lineRule="auto"/>
      </w:pPr>
      <w:r>
        <w:rPr>
          <w:rFonts w:ascii="Times New Roman" w:hAnsi="Times New Roman" w:eastAsia="Times New Roman"/>
          <w:b/>
          <w:i w:val="0"/>
          <w:sz w:val="24"/>
        </w:rPr>
        <w:t>Functional enrichment separates a stress program from a synaptic-support program</w:t>
      </w:r>
    </w:p>
    <w:p w14:paraId="5D3B784A">
      <w:pPr>
        <w:spacing w:before="0" w:after="120" w:line="480" w:lineRule="auto"/>
        <w:jc w:val="both"/>
        <w:rPr>
          <w:rFonts w:ascii="Times New Roman" w:hAnsi="Times New Roman" w:eastAsia="Times New Roman"/>
          <w:b w:val="0"/>
          <w:i w:val="0"/>
          <w:sz w:val="22"/>
        </w:rPr>
      </w:pPr>
      <w:r>
        <w:rPr>
          <w:rFonts w:ascii="Times New Roman" w:hAnsi="Times New Roman" w:eastAsia="Times New Roman"/>
          <w:b w:val="0"/>
          <w:i w:val="0"/>
          <w:sz w:val="22"/>
        </w:rPr>
        <w:t xml:space="preserve">The NFE2L2 and THRB regulons enriched different functional terms (Figure 5, Additional file 1, Figure S5, Additional file 2, Table ST08). The NFE2L2 regulon contained 458 target genes, of which </w:t>
      </w:r>
      <w:r>
        <w:rPr>
          <w:rFonts w:hint="eastAsia" w:eastAsia="宋体"/>
          <w:b w:val="0"/>
          <w:i w:val="0"/>
          <w:sz w:val="22"/>
          <w:lang w:val="en-US" w:eastAsia="zh-CN"/>
        </w:rPr>
        <w:t>135</w:t>
      </w:r>
      <w:r>
        <w:rPr>
          <w:rFonts w:ascii="Times New Roman" w:hAnsi="Times New Roman" w:eastAsia="Times New Roman"/>
          <w:b w:val="0"/>
          <w:i w:val="0"/>
          <w:sz w:val="22"/>
        </w:rPr>
        <w:t xml:space="preserve"> overlapped differentially expressed genes (</w:t>
      </w:r>
      <w:r>
        <w:rPr>
          <w:rFonts w:hint="eastAsia" w:ascii="Times New Roman" w:hAnsi="Times New Roman" w:eastAsia="Times New Roman"/>
          <w:b w:val="0"/>
          <w:i w:val="0"/>
          <w:sz w:val="22"/>
        </w:rPr>
        <w:t>29.5</w:t>
      </w:r>
      <w:r>
        <w:rPr>
          <w:rFonts w:ascii="Times New Roman" w:hAnsi="Times New Roman" w:eastAsia="Times New Roman"/>
          <w:b w:val="0"/>
          <w:i w:val="0"/>
          <w:sz w:val="22"/>
        </w:rPr>
        <w:t xml:space="preserve">%), and its enriched terms concentrated on regulation of transcription by RNA polymerase II, positive regulation of DNA-templated transcription, MAPK signalling, intracellular signalling and protein phosphorylation. </w:t>
      </w:r>
      <w:r>
        <w:rPr>
          <w:rFonts w:hint="eastAsia" w:ascii="Times New Roman" w:hAnsi="Times New Roman" w:eastAsia="Times New Roman"/>
          <w:b w:val="0"/>
          <w:i w:val="0"/>
          <w:sz w:val="22"/>
        </w:rPr>
        <w:t>The same target set also shares genes with the mTOR signalling pathway, including RICTOR, a core component of mTORC2, and MIOS, a component of the GATOR2 complex upstream of mTORC1, together with GRB2, MAP2K1, PRKCA and LPIN2; the mTOR link is carried further by the drug-signature enrichment below (Additional file 2, Table ST09).</w:t>
      </w:r>
    </w:p>
    <w:p w14:paraId="433EF8B4">
      <w:pPr>
        <w:spacing w:before="0" w:after="120" w:line="480" w:lineRule="auto"/>
        <w:jc w:val="both"/>
      </w:pPr>
      <w:r>
        <w:rPr>
          <w:rFonts w:ascii="Times New Roman" w:hAnsi="Times New Roman" w:eastAsia="Times New Roman"/>
          <w:b w:val="0"/>
          <w:i w:val="0"/>
          <w:sz w:val="22"/>
        </w:rPr>
        <w:t>The THRB regulon contained only 17 target genes, of which 13 overlapped differentially expressed genes (76.5%), and its enriched terms were calcium ion-regulated exocytosis of neurotransmitter, positive regulation of dendrite extension, modulation of chemical synaptic transmission, calcium ion-regulated exocytosis and synaptic vesicle cycle.</w:t>
      </w:r>
    </w:p>
    <w:p w14:paraId="78F3BC35">
      <w:pPr>
        <w:spacing w:before="0" w:after="120" w:line="480" w:lineRule="auto"/>
        <w:jc w:val="both"/>
      </w:pPr>
      <w:r>
        <w:rPr>
          <w:rFonts w:ascii="Times New Roman" w:hAnsi="Times New Roman" w:eastAsia="Times New Roman"/>
          <w:b w:val="0"/>
          <w:i w:val="0"/>
          <w:sz w:val="22"/>
        </w:rPr>
        <w:t>Among the supporting candidates, SATB2 targets were enriched for morphogenesis and axon guidance, and SMAD3 targets for synaptic transmission and axon guidance. SOX2, SOX10 and CUX1 returned no significant regulon-target term; SOX2 gained two significant GO terms in its direction-consistent intersection.</w:t>
      </w:r>
    </w:p>
    <w:p w14:paraId="10E895CA">
      <w:pPr>
        <w:spacing w:before="200" w:after="120" w:line="480" w:lineRule="auto"/>
      </w:pPr>
      <w:r>
        <w:rPr>
          <w:rFonts w:ascii="Times New Roman" w:hAnsi="Times New Roman" w:eastAsia="Times New Roman"/>
          <w:b/>
          <w:i w:val="0"/>
          <w:sz w:val="24"/>
        </w:rPr>
        <w:t xml:space="preserve">Drug-signature enrichment links the NFE2L2 program to </w:t>
      </w:r>
      <w:r>
        <w:rPr>
          <w:rFonts w:hint="eastAsia" w:ascii="Times New Roman" w:hAnsi="Times New Roman" w:eastAsia="Times New Roman"/>
          <w:b/>
          <w:i w:val="0"/>
          <w:sz w:val="24"/>
        </w:rPr>
        <w:t>mTOR-axis drug signatures</w:t>
      </w:r>
    </w:p>
    <w:p w14:paraId="26F4DB3B">
      <w:pPr>
        <w:spacing w:before="0" w:after="120" w:line="480" w:lineRule="auto"/>
        <w:jc w:val="both"/>
      </w:pPr>
      <w:r>
        <w:rPr>
          <w:rFonts w:ascii="Times New Roman" w:hAnsi="Times New Roman" w:eastAsia="Times New Roman"/>
          <w:b w:val="0"/>
          <w:i w:val="0"/>
          <w:sz w:val="22"/>
        </w:rPr>
        <w:t xml:space="preserve">Drug-signature enrichment of the candidate regulon target sets nominated mTOR, PI3K and AKT pathway compounds (Additional file 1, Figure S6, Additional file 2, Table ST09). The pan-PI3K inhibitor pictilisib (GDC-0941) was the strongest </w:t>
      </w:r>
      <w:r>
        <w:rPr>
          <w:rFonts w:hint="eastAsia" w:ascii="Times New Roman" w:hAnsi="Times New Roman" w:eastAsia="Times New Roman"/>
          <w:b w:val="0"/>
          <w:i w:val="0"/>
          <w:sz w:val="22"/>
        </w:rPr>
        <w:t>mTOR-axis</w:t>
      </w:r>
      <w:r>
        <w:rPr>
          <w:rFonts w:hint="eastAsia" w:eastAsia="宋体"/>
          <w:b w:val="0"/>
          <w:i w:val="0"/>
          <w:sz w:val="22"/>
          <w:lang w:val="en-US" w:eastAsia="zh-CN"/>
        </w:rPr>
        <w:t xml:space="preserve"> </w:t>
      </w:r>
      <w:r>
        <w:rPr>
          <w:rFonts w:ascii="Times New Roman" w:hAnsi="Times New Roman" w:eastAsia="Times New Roman"/>
          <w:b w:val="0"/>
          <w:i w:val="0"/>
          <w:sz w:val="22"/>
        </w:rPr>
        <w:t>signal in the NFE2L2 target set (FDR = 0.0009, 28 overlapping genes including RICTOR, MYC, MAP2K1 and NR3C1, and significance in both NFE2L2-derived query sets). Metformin was also significant (FDR = 0.0018, nine overlapping genes including NFE2L2 itself), and the mTOR inhibitor rapamycin (sirolimus) reached significance in the same target set (FDR = 0.024, 13 overlapping genes including RICTOR, MAP2K1, PRKCA, MYC and NFKB1). The rapalogs temsirolimus and everolimus did not reach significance in this query set.</w:t>
      </w:r>
    </w:p>
    <w:p w14:paraId="6BF3B726">
      <w:pPr>
        <w:spacing w:before="0" w:after="120" w:line="480" w:lineRule="auto"/>
        <w:jc w:val="both"/>
      </w:pPr>
      <w:r>
        <w:rPr>
          <w:rFonts w:ascii="Times New Roman" w:hAnsi="Times New Roman" w:eastAsia="Times New Roman"/>
          <w:b w:val="0"/>
          <w:i w:val="0"/>
          <w:sz w:val="22"/>
        </w:rPr>
        <w:t>Further signals placed the programs in a broader pharmacological context. The antiseizure medications carbamazepine (FDR &lt; 0.001, 31 overlapping genes), phenytoin (FDR = 0.020) and ethosuximide (FDR = 0.006) were enriched, as were the oncology agents tamoxifen (FDR &lt; 0.001, 77 overlapping genes), vorinostat (FDR &lt; 0.001, 120 overlapping genes) and dasatinib (FDR = 0.0007). Blood-brain barrier annotation grouped carbamazepine, phenytoin and ethosuximide as high-penetration compounds; pictilisib, metformin, tamoxifen, vorinostat and dasatinib as moderate-penetration compounds; and rapamycin, temsirolimus, everolimus and imatinib as low-penetration compounds.</w:t>
      </w:r>
    </w:p>
    <w:p w14:paraId="3B656445">
      <w:pPr>
        <w:spacing w:before="280" w:after="120" w:line="480" w:lineRule="auto"/>
      </w:pPr>
      <w:r>
        <w:rPr>
          <w:rFonts w:ascii="Times New Roman" w:hAnsi="Times New Roman" w:eastAsia="Times New Roman"/>
          <w:b/>
          <w:i w:val="0"/>
          <w:sz w:val="28"/>
        </w:rPr>
        <w:t>Discussion</w:t>
      </w:r>
    </w:p>
    <w:p w14:paraId="24B93D12">
      <w:pPr>
        <w:spacing w:before="0" w:after="120" w:line="480" w:lineRule="auto"/>
        <w:jc w:val="both"/>
        <w:rPr>
          <w:rFonts w:ascii="Times New Roman" w:hAnsi="Times New Roman" w:eastAsia="Times New Roman"/>
          <w:b w:val="0"/>
          <w:i w:val="0"/>
          <w:sz w:val="22"/>
        </w:rPr>
      </w:pPr>
      <w:r>
        <w:rPr>
          <w:rFonts w:ascii="Times New Roman" w:hAnsi="Times New Roman" w:eastAsia="Times New Roman"/>
          <w:b w:val="0"/>
          <w:i w:val="0"/>
          <w:sz w:val="22"/>
        </w:rPr>
        <w:t xml:space="preserve">Single-cell studies of FCD II have described lesion-associated cell states and gene expression. This reanalysis adds the layer above them, namely the transcription-factor programs that </w:t>
      </w:r>
      <w:r>
        <w:rPr>
          <w:rFonts w:hint="eastAsia" w:eastAsia="宋体"/>
          <w:b w:val="0"/>
          <w:i w:val="0"/>
          <w:sz w:val="22"/>
          <w:lang w:val="en-US" w:eastAsia="zh-CN"/>
        </w:rPr>
        <w:t xml:space="preserve">may </w:t>
      </w:r>
      <w:r>
        <w:rPr>
          <w:rFonts w:ascii="Times New Roman" w:hAnsi="Times New Roman" w:eastAsia="Times New Roman"/>
          <w:b w:val="0"/>
          <w:i w:val="0"/>
          <w:sz w:val="22"/>
        </w:rPr>
        <w:t xml:space="preserve">organise those states in astrocytes. Two programs head the list and point in opposite directions: NFE2L2, increased in lesion tissue, and THRB, reduced in lesion tissue. The differential landscape </w:t>
      </w:r>
      <w:r>
        <w:rPr>
          <w:rFonts w:hint="eastAsia" w:ascii="Times New Roman" w:hAnsi="Times New Roman" w:eastAsia="Times New Roman"/>
          <w:b w:val="0"/>
          <w:i w:val="0"/>
          <w:sz w:val="22"/>
        </w:rPr>
        <w:t>is consistent with</w:t>
      </w:r>
      <w:r>
        <w:rPr>
          <w:rFonts w:hint="eastAsia" w:eastAsia="宋体"/>
          <w:b w:val="0"/>
          <w:i w:val="0"/>
          <w:sz w:val="22"/>
          <w:lang w:val="en-US" w:eastAsia="zh-CN"/>
        </w:rPr>
        <w:t xml:space="preserve"> </w:t>
      </w:r>
      <w:r>
        <w:rPr>
          <w:rFonts w:ascii="Times New Roman" w:hAnsi="Times New Roman" w:eastAsia="Times New Roman"/>
          <w:b w:val="0"/>
          <w:i w:val="0"/>
          <w:sz w:val="22"/>
        </w:rPr>
        <w:t>two regulatory states with opposite directions</w:t>
      </w:r>
      <w:r>
        <w:rPr>
          <w:rFonts w:ascii="Times New Roman" w:hAnsi="Times New Roman" w:eastAsia="Times New Roman" w:cstheme="minorBidi"/>
          <w:sz w:val="22"/>
          <w:szCs w:val="22"/>
        </w:rPr>
        <w:t xml:space="preserve">: the upregulated NFE2L2 in the lesions is associated with stress response and transcriptional reprogramming, whereas the downregulated THRB is </w:t>
      </w:r>
      <w:r>
        <w:rPr>
          <w:rFonts w:hint="default" w:ascii="Times New Roman" w:hAnsi="Times New Roman" w:eastAsia="Times New Roman" w:cstheme="minorBidi"/>
          <w:sz w:val="22"/>
          <w:szCs w:val="22"/>
          <w:lang w:val="en-US" w:eastAsia="zh-CN"/>
        </w:rPr>
        <w:t>related to</w:t>
      </w:r>
      <w:r>
        <w:rPr>
          <w:rFonts w:ascii="Times New Roman" w:hAnsi="Times New Roman" w:eastAsia="Times New Roman" w:cstheme="minorBidi"/>
          <w:sz w:val="22"/>
          <w:szCs w:val="22"/>
        </w:rPr>
        <w:t xml:space="preserve"> homeostatic maintenance, synaptic support, and calcium signaling.</w:t>
      </w:r>
      <w:r>
        <w:rPr>
          <w:rFonts w:ascii="Times New Roman" w:hAnsi="Times New Roman" w:eastAsia="Times New Roman"/>
          <w:b w:val="0"/>
          <w:i w:val="0"/>
          <w:sz w:val="22"/>
        </w:rPr>
        <w:t xml:space="preserve"> The NFE2L2 </w:t>
      </w:r>
      <w:r>
        <w:rPr>
          <w:rFonts w:hint="eastAsia" w:ascii="Times New Roman" w:hAnsi="Times New Roman" w:eastAsia="Times New Roman"/>
          <w:b w:val="0"/>
          <w:i w:val="0"/>
          <w:sz w:val="22"/>
        </w:rPr>
        <w:t>target set shares components with the mTOR pathway that carries the defining molecular lesion of FCD II</w:t>
      </w:r>
      <w:r>
        <w:rPr>
          <w:rFonts w:ascii="Times New Roman" w:hAnsi="Times New Roman" w:eastAsia="Times New Roman"/>
          <w:b w:val="0"/>
          <w:i w:val="0"/>
          <w:sz w:val="22"/>
        </w:rPr>
        <w:t>.</w:t>
      </w:r>
    </w:p>
    <w:p w14:paraId="1191B621">
      <w:pPr>
        <w:spacing w:before="200" w:after="120" w:line="480" w:lineRule="auto"/>
        <w:rPr>
          <w:rFonts w:hint="eastAsia" w:eastAsia="宋体"/>
          <w:lang w:val="en-US" w:eastAsia="zh-CN"/>
        </w:rPr>
      </w:pPr>
      <w:r>
        <w:rPr>
          <w:rFonts w:ascii="Times New Roman" w:hAnsi="Times New Roman" w:eastAsia="Times New Roman"/>
          <w:b/>
          <w:i w:val="0"/>
          <w:sz w:val="24"/>
        </w:rPr>
        <w:t xml:space="preserve">NFE2L2 as a </w:t>
      </w:r>
      <w:r>
        <w:rPr>
          <w:rFonts w:hint="eastAsia" w:ascii="Times New Roman" w:hAnsi="Times New Roman" w:eastAsia="Times New Roman"/>
          <w:b/>
          <w:i w:val="0"/>
          <w:sz w:val="24"/>
        </w:rPr>
        <w:t>candidate</w:t>
      </w:r>
      <w:r>
        <w:rPr>
          <w:rFonts w:hint="eastAsia" w:eastAsia="宋体"/>
          <w:b/>
          <w:i w:val="0"/>
          <w:sz w:val="24"/>
          <w:lang w:val="en-US" w:eastAsia="zh-CN"/>
        </w:rPr>
        <w:t xml:space="preserve"> </w:t>
      </w:r>
      <w:r>
        <w:rPr>
          <w:rFonts w:ascii="Times New Roman" w:hAnsi="Times New Roman" w:eastAsia="Times New Roman"/>
          <w:b/>
          <w:i w:val="0"/>
          <w:sz w:val="24"/>
        </w:rPr>
        <w:t>lesion-associated stress-adaptation axis</w:t>
      </w:r>
      <w:r>
        <w:rPr>
          <w:rFonts w:hint="eastAsia" w:eastAsia="宋体"/>
          <w:b/>
          <w:i w:val="0"/>
          <w:sz w:val="24"/>
          <w:lang w:val="en-US" w:eastAsia="zh-CN"/>
        </w:rPr>
        <w:t xml:space="preserve"> </w:t>
      </w:r>
      <w:r>
        <w:rPr>
          <w:rFonts w:ascii="Times New Roman" w:hAnsi="Times New Roman" w:eastAsia="Times New Roman"/>
          <w:b w:val="0"/>
          <w:i w:val="0"/>
          <w:sz w:val="22"/>
        </w:rPr>
        <w:t>in FCD II astrocytes</w:t>
      </w:r>
    </w:p>
    <w:p w14:paraId="647661F5">
      <w:pPr>
        <w:spacing w:before="0" w:after="120" w:line="480" w:lineRule="auto"/>
        <w:jc w:val="both"/>
      </w:pPr>
      <w:r>
        <w:rPr>
          <w:rFonts w:ascii="Times New Roman" w:hAnsi="Times New Roman" w:eastAsia="Times New Roman"/>
          <w:b w:val="0"/>
          <w:i w:val="0"/>
          <w:sz w:val="22"/>
        </w:rPr>
        <w:t xml:space="preserve">NFE2L2 is </w:t>
      </w:r>
      <w:r>
        <w:rPr>
          <w:rFonts w:hint="eastAsia" w:ascii="Times New Roman" w:hAnsi="Times New Roman" w:eastAsia="Times New Roman"/>
          <w:b w:val="0"/>
          <w:i w:val="0"/>
          <w:sz w:val="22"/>
        </w:rPr>
        <w:t>ranked first among the lesion-side candidates</w:t>
      </w:r>
      <w:r>
        <w:rPr>
          <w:rFonts w:ascii="Times New Roman" w:hAnsi="Times New Roman" w:eastAsia="Times New Roman"/>
          <w:b w:val="0"/>
          <w:i w:val="0"/>
          <w:sz w:val="22"/>
        </w:rPr>
        <w:t xml:space="preserve"> in this dataset. Regulon activity and the expression of the factor itself are both biased towards the lesion side, the perturbation simulation gives the largest </w:t>
      </w:r>
      <w:r>
        <w:rPr>
          <w:rFonts w:hint="eastAsia" w:ascii="Times New Roman" w:hAnsi="Times New Roman" w:eastAsia="Times New Roman"/>
          <w:b w:val="0"/>
          <w:i w:val="0"/>
          <w:sz w:val="22"/>
        </w:rPr>
        <w:t>predicted</w:t>
      </w:r>
      <w:r>
        <w:rPr>
          <w:rFonts w:hint="eastAsia" w:eastAsia="宋体"/>
          <w:b w:val="0"/>
          <w:i w:val="0"/>
          <w:sz w:val="22"/>
          <w:lang w:val="en-US" w:eastAsia="zh-CN"/>
        </w:rPr>
        <w:t xml:space="preserve"> </w:t>
      </w:r>
      <w:r>
        <w:rPr>
          <w:rFonts w:ascii="Times New Roman" w:hAnsi="Times New Roman" w:eastAsia="Times New Roman"/>
          <w:b w:val="0"/>
          <w:i w:val="0"/>
          <w:sz w:val="22"/>
        </w:rPr>
        <w:t>state displacement of all candidates, and its large target set overlaps differentially expressed genes extensively (Figure 3, Figure 5, Table 2). Its direction is concordant in both donors and is unchanged when the expression scale is changed. Its displacement is also the least affected when the network is restricted to motif-supported edges, so the priority order is unchanged under a stricter network definition. Together, these results place NFE2L2 as the leading lesion-side program in FCD II astrocytes.</w:t>
      </w:r>
    </w:p>
    <w:p w14:paraId="5633F774">
      <w:pPr>
        <w:spacing w:before="0" w:after="120" w:line="480" w:lineRule="auto"/>
        <w:jc w:val="both"/>
      </w:pPr>
      <w:r>
        <w:rPr>
          <w:rFonts w:ascii="Times New Roman" w:hAnsi="Times New Roman" w:eastAsia="Times New Roman"/>
          <w:b w:val="0"/>
          <w:i w:val="0"/>
          <w:sz w:val="22"/>
        </w:rPr>
        <w:t xml:space="preserve">The NFE2L2/NRF2 pathway is </w:t>
      </w:r>
      <w:r>
        <w:rPr>
          <w:rFonts w:hint="eastAsia" w:eastAsia="宋体"/>
          <w:b w:val="0"/>
          <w:i w:val="0"/>
          <w:sz w:val="22"/>
          <w:lang w:val="en-US" w:eastAsia="zh-CN"/>
        </w:rPr>
        <w:t>a</w:t>
      </w:r>
      <w:r>
        <w:rPr>
          <w:rFonts w:ascii="Times New Roman" w:hAnsi="Times New Roman" w:eastAsia="Times New Roman"/>
          <w:b w:val="0"/>
          <w:i w:val="0"/>
          <w:sz w:val="22"/>
        </w:rPr>
        <w:t xml:space="preserve"> central system through which cells answer oxidative stress, metabolic stress and inflammation-associated damage. Epileptic seizures and chronically epileptic tissue are accompanied by oxidative stress, mitochondrial stress and altered antioxidant defence, and Nrf2 and its downstream genes take part in the post-seizure stress response [26-28]. Against that background, the </w:t>
      </w:r>
      <w:r>
        <w:rPr>
          <w:rFonts w:hint="eastAsia" w:ascii="Times New Roman" w:hAnsi="Times New Roman" w:eastAsia="Times New Roman"/>
          <w:b w:val="0"/>
          <w:i w:val="0"/>
          <w:sz w:val="22"/>
        </w:rPr>
        <w:t>higher</w:t>
      </w:r>
      <w:r>
        <w:rPr>
          <w:rFonts w:hint="eastAsia" w:eastAsia="宋体"/>
          <w:b w:val="0"/>
          <w:i w:val="0"/>
          <w:sz w:val="22"/>
          <w:lang w:val="en-US" w:eastAsia="zh-CN"/>
        </w:rPr>
        <w:t xml:space="preserve"> </w:t>
      </w:r>
      <w:r>
        <w:rPr>
          <w:rFonts w:ascii="Times New Roman" w:hAnsi="Times New Roman" w:eastAsia="Times New Roman"/>
          <w:b w:val="0"/>
          <w:i w:val="0"/>
          <w:sz w:val="22"/>
        </w:rPr>
        <w:t>NFE2L2 regulon activity in lesion-side astrocytes</w:t>
      </w:r>
      <w:r>
        <w:rPr>
          <w:rFonts w:hint="eastAsia" w:eastAsia="宋体"/>
          <w:b w:val="0"/>
          <w:i w:val="0"/>
          <w:sz w:val="22"/>
          <w:lang w:val="en-US" w:eastAsia="zh-CN"/>
        </w:rPr>
        <w:t xml:space="preserve"> </w:t>
      </w:r>
      <w:r>
        <w:rPr>
          <w:rFonts w:hint="eastAsia" w:ascii="Times New Roman" w:hAnsi="Times New Roman" w:eastAsia="Times New Roman"/>
          <w:b w:val="0"/>
          <w:i w:val="0"/>
          <w:sz w:val="22"/>
        </w:rPr>
        <w:t>may reflect</w:t>
      </w:r>
      <w:r>
        <w:rPr>
          <w:rFonts w:hint="eastAsia" w:eastAsia="宋体"/>
          <w:b w:val="0"/>
          <w:i w:val="0"/>
          <w:sz w:val="22"/>
          <w:lang w:val="en-US" w:eastAsia="zh-CN"/>
        </w:rPr>
        <w:t xml:space="preserve"> </w:t>
      </w:r>
      <w:r>
        <w:rPr>
          <w:rFonts w:ascii="Times New Roman" w:hAnsi="Times New Roman" w:eastAsia="Times New Roman"/>
          <w:b w:val="0"/>
          <w:i w:val="0"/>
          <w:sz w:val="22"/>
        </w:rPr>
        <w:t xml:space="preserve">an adaptive response to abnormal excitability, local inflammation and metabolic stress. Its own target set is enriched for transcription regulation and MAPK signalling, and the stress-response reading comes from combining this enrichment with the established biology of NRF2. Two features of the lesion microenvironment support this interpretation. First, the program is broad, with 458 target genes, </w:t>
      </w:r>
      <w:r>
        <w:rPr>
          <w:rFonts w:hint="eastAsia" w:ascii="Times New Roman" w:hAnsi="Times New Roman" w:eastAsia="Times New Roman"/>
          <w:b w:val="0"/>
          <w:i w:val="0"/>
          <w:sz w:val="22"/>
        </w:rPr>
        <w:t>a breadth that would fit</w:t>
      </w:r>
      <w:r>
        <w:rPr>
          <w:rFonts w:hint="eastAsia" w:eastAsia="宋体"/>
          <w:b w:val="0"/>
          <w:i w:val="0"/>
          <w:sz w:val="22"/>
          <w:lang w:val="en-US" w:eastAsia="zh-CN"/>
        </w:rPr>
        <w:t xml:space="preserve"> </w:t>
      </w:r>
      <w:r>
        <w:rPr>
          <w:rFonts w:ascii="Times New Roman" w:hAnsi="Times New Roman" w:eastAsia="Times New Roman"/>
          <w:b w:val="0"/>
          <w:i w:val="0"/>
          <w:sz w:val="22"/>
        </w:rPr>
        <w:t xml:space="preserve">a coordinated response. Second, the same target set overlaps mTOR signalling genes, with RICTOR and MIOS among them, which </w:t>
      </w:r>
      <w:r>
        <w:rPr>
          <w:rFonts w:hint="eastAsia" w:ascii="Times New Roman" w:hAnsi="Times New Roman" w:eastAsia="Times New Roman"/>
          <w:b w:val="0"/>
          <w:i w:val="0"/>
          <w:sz w:val="22"/>
        </w:rPr>
        <w:t>may place</w:t>
      </w:r>
      <w:r>
        <w:rPr>
          <w:rFonts w:hint="eastAsia" w:eastAsia="宋体"/>
          <w:b w:val="0"/>
          <w:i w:val="0"/>
          <w:sz w:val="22"/>
          <w:lang w:val="en-US" w:eastAsia="zh-CN"/>
        </w:rPr>
        <w:t xml:space="preserve"> </w:t>
      </w:r>
      <w:r>
        <w:rPr>
          <w:rFonts w:ascii="Times New Roman" w:hAnsi="Times New Roman" w:eastAsia="Times New Roman"/>
          <w:b w:val="0"/>
          <w:i w:val="0"/>
          <w:sz w:val="22"/>
        </w:rPr>
        <w:t xml:space="preserve">the lesion-side stress program on the same pathway that </w:t>
      </w:r>
      <w:r>
        <w:rPr>
          <w:rFonts w:hint="eastAsia" w:ascii="Times New Roman" w:hAnsi="Times New Roman" w:eastAsia="Times New Roman"/>
          <w:b w:val="0"/>
          <w:i w:val="0"/>
          <w:sz w:val="22"/>
        </w:rPr>
        <w:t>intersects the one carrying</w:t>
      </w:r>
      <w:r>
        <w:rPr>
          <w:rFonts w:ascii="Times New Roman" w:hAnsi="Times New Roman" w:eastAsia="Times New Roman"/>
          <w:b w:val="0"/>
          <w:i w:val="0"/>
          <w:sz w:val="22"/>
        </w:rPr>
        <w:t xml:space="preserve"> the defining molecular lesion of FCD II. Vascular and microenvironment abnormalities have also been described in FCD IIb lesions, which places the lesion-side astrocyte program in the same remodelled tissue context [35]. </w:t>
      </w:r>
      <w:r>
        <w:rPr>
          <w:rFonts w:hint="eastAsia" w:ascii="Times New Roman" w:hAnsi="Times New Roman" w:eastAsia="Times New Roman"/>
          <w:b w:val="0"/>
          <w:i w:val="0"/>
          <w:sz w:val="22"/>
        </w:rPr>
        <w:t>Together, these observations are consistent with a lesion-side stress-adaptation state that shares components with mTOR signalling.</w:t>
      </w:r>
    </w:p>
    <w:p w14:paraId="40D719AA">
      <w:pPr>
        <w:spacing w:before="0" w:after="120" w:line="480" w:lineRule="auto"/>
        <w:jc w:val="both"/>
      </w:pPr>
      <w:r>
        <w:rPr>
          <w:rFonts w:ascii="Times New Roman" w:hAnsi="Times New Roman" w:eastAsia="Times New Roman"/>
          <w:b w:val="0"/>
          <w:i w:val="0"/>
          <w:sz w:val="22"/>
        </w:rPr>
        <w:t xml:space="preserve">Read against the FCD II lesion microenvironment, the NFE2L2-associated program </w:t>
      </w:r>
      <w:r>
        <w:rPr>
          <w:rFonts w:hint="eastAsia" w:ascii="Times New Roman" w:hAnsi="Times New Roman" w:eastAsia="Times New Roman"/>
          <w:b w:val="0"/>
          <w:i w:val="0"/>
          <w:sz w:val="22"/>
        </w:rPr>
        <w:t>may represent</w:t>
      </w:r>
      <w:r>
        <w:rPr>
          <w:rFonts w:hint="eastAsia" w:eastAsia="宋体"/>
          <w:b w:val="0"/>
          <w:i w:val="0"/>
          <w:sz w:val="22"/>
          <w:lang w:val="en-US" w:eastAsia="zh-CN"/>
        </w:rPr>
        <w:t xml:space="preserve"> </w:t>
      </w:r>
      <w:r>
        <w:rPr>
          <w:rFonts w:ascii="Times New Roman" w:hAnsi="Times New Roman" w:eastAsia="Times New Roman"/>
          <w:b w:val="0"/>
          <w:i w:val="0"/>
          <w:sz w:val="22"/>
        </w:rPr>
        <w:t xml:space="preserve">a protective or compensatory astrocyte response to a locally abnormal tissue state, and it provides a </w:t>
      </w:r>
      <w:r>
        <w:rPr>
          <w:rFonts w:hint="eastAsia" w:ascii="Times New Roman" w:hAnsi="Times New Roman" w:eastAsia="Times New Roman"/>
          <w:b w:val="0"/>
          <w:i w:val="0"/>
          <w:sz w:val="22"/>
        </w:rPr>
        <w:t>candidate</w:t>
      </w:r>
      <w:r>
        <w:rPr>
          <w:rFonts w:hint="eastAsia" w:eastAsia="宋体"/>
          <w:b w:val="0"/>
          <w:i w:val="0"/>
          <w:sz w:val="22"/>
          <w:lang w:val="en-US" w:eastAsia="zh-CN"/>
        </w:rPr>
        <w:t xml:space="preserve"> </w:t>
      </w:r>
      <w:r>
        <w:rPr>
          <w:rFonts w:ascii="Times New Roman" w:hAnsi="Times New Roman" w:eastAsia="Times New Roman"/>
          <w:b w:val="0"/>
          <w:i w:val="0"/>
          <w:sz w:val="22"/>
        </w:rPr>
        <w:t xml:space="preserve">marker of the lesion-side stress-adaptation state together with a </w:t>
      </w:r>
      <w:r>
        <w:rPr>
          <w:rFonts w:hint="eastAsia" w:ascii="Times New Roman" w:hAnsi="Times New Roman" w:eastAsia="Times New Roman"/>
          <w:b w:val="0"/>
          <w:i w:val="0"/>
          <w:sz w:val="22"/>
        </w:rPr>
        <w:t>possible</w:t>
      </w:r>
      <w:r>
        <w:rPr>
          <w:rFonts w:hint="eastAsia" w:eastAsia="宋体"/>
          <w:b w:val="0"/>
          <w:i w:val="0"/>
          <w:sz w:val="22"/>
          <w:lang w:val="en-US" w:eastAsia="zh-CN"/>
        </w:rPr>
        <w:t xml:space="preserve"> </w:t>
      </w:r>
      <w:r>
        <w:rPr>
          <w:rFonts w:ascii="Times New Roman" w:hAnsi="Times New Roman" w:eastAsia="Times New Roman"/>
          <w:b w:val="0"/>
          <w:i w:val="0"/>
          <w:sz w:val="22"/>
        </w:rPr>
        <w:t xml:space="preserve">route to the mTOR pathway. Spatial transcriptomics and lesion tissue validation </w:t>
      </w:r>
      <w:r>
        <w:rPr>
          <w:rFonts w:hint="eastAsia" w:ascii="Times New Roman" w:hAnsi="Times New Roman" w:eastAsia="Times New Roman"/>
          <w:b w:val="0"/>
          <w:i w:val="0"/>
          <w:sz w:val="22"/>
        </w:rPr>
        <w:t>will be needed to determine</w:t>
      </w:r>
      <w:r>
        <w:rPr>
          <w:rFonts w:ascii="Times New Roman" w:hAnsi="Times New Roman" w:eastAsia="Times New Roman"/>
          <w:b w:val="0"/>
          <w:i w:val="0"/>
          <w:sz w:val="22"/>
        </w:rPr>
        <w:t xml:space="preserve"> whether the program concentrates in the lesion core, at the lesion border, or in regions with strong glial reactivity.</w:t>
      </w:r>
    </w:p>
    <w:p w14:paraId="618F2998">
      <w:pPr>
        <w:spacing w:before="200" w:after="120" w:line="480" w:lineRule="auto"/>
        <w:rPr>
          <w:rFonts w:hint="eastAsia" w:eastAsia="宋体"/>
          <w:lang w:val="en-US" w:eastAsia="zh-CN"/>
        </w:rPr>
      </w:pPr>
      <w:r>
        <w:rPr>
          <w:rFonts w:ascii="Times New Roman" w:hAnsi="Times New Roman" w:eastAsia="Times New Roman"/>
          <w:b/>
          <w:i w:val="0"/>
          <w:sz w:val="24"/>
        </w:rPr>
        <w:t xml:space="preserve">THRB as a compact homeostatic program reduced in lesion tissue</w:t>
      </w:r>
    </w:p>
    <w:p w14:paraId="04313918">
      <w:pPr>
        <w:spacing w:before="0" w:after="120" w:line="480" w:lineRule="auto"/>
        <w:jc w:val="both"/>
      </w:pPr>
      <w:r>
        <w:rPr>
          <w:rFonts w:ascii="Times New Roman" w:hAnsi="Times New Roman" w:eastAsia="Times New Roman"/>
          <w:b w:val="0"/>
          <w:i w:val="0"/>
          <w:sz w:val="22"/>
        </w:rPr>
        <w:t xml:space="preserve">THRB describes a direction that is distinct from that of NFE2L2. Its regulon activity </w:t>
      </w:r>
      <w:r>
        <w:rPr>
          <w:rFonts w:hint="eastAsia" w:ascii="Times New Roman" w:hAnsi="Times New Roman" w:eastAsia="Times New Roman"/>
          <w:b w:val="0"/>
          <w:i w:val="0"/>
          <w:sz w:val="22"/>
        </w:rPr>
        <w:t>was lower</w:t>
      </w:r>
      <w:r>
        <w:rPr>
          <w:rFonts w:hint="eastAsia" w:eastAsia="宋体"/>
          <w:b w:val="0"/>
          <w:i w:val="0"/>
          <w:sz w:val="22"/>
          <w:lang w:val="en-US" w:eastAsia="zh-CN"/>
        </w:rPr>
        <w:t xml:space="preserve"> </w:t>
      </w:r>
      <w:r>
        <w:rPr>
          <w:rFonts w:ascii="Times New Roman" w:hAnsi="Times New Roman" w:eastAsia="Times New Roman"/>
          <w:b w:val="0"/>
          <w:i w:val="0"/>
          <w:sz w:val="22"/>
        </w:rPr>
        <w:t xml:space="preserve">in lesion tissue, and it shows the strongest reduction of all 105 regulons. In the perturbation simulation it gives the second largest predicted displacement of the seven candidates (Figure 3). Its regulon contains only 17 target genes, yet 13 of them overlap differentially expressed genes and the enriched terms cover synaptic processes, dendrite extension, calcium-regulated neurotransmitter release and synaptic vesicle exocytosis (Figure 5). </w:t>
      </w:r>
      <w:r>
        <w:rPr>
          <w:rFonts w:hint="eastAsia" w:ascii="Times New Roman" w:hAnsi="Times New Roman" w:eastAsia="Times New Roman"/>
          <w:b w:val="0"/>
          <w:i w:val="0"/>
          <w:sz w:val="22"/>
        </w:rPr>
        <w:t>These features are consistent with THRB representing a</w:t>
      </w:r>
      <w:r>
        <w:rPr>
          <w:rFonts w:ascii="Times New Roman" w:hAnsi="Times New Roman" w:eastAsia="Times New Roman"/>
          <w:b w:val="0"/>
          <w:i w:val="0"/>
          <w:sz w:val="22"/>
        </w:rPr>
        <w:t xml:space="preserve"> small, focused homeostatic program that is reduced in lesion tissue.</w:t>
      </w:r>
    </w:p>
    <w:p w14:paraId="7E6DFFC8">
      <w:pPr>
        <w:spacing w:before="0" w:after="120" w:line="480" w:lineRule="auto"/>
        <w:jc w:val="both"/>
      </w:pPr>
      <w:r>
        <w:rPr>
          <w:rFonts w:ascii="Times New Roman" w:hAnsi="Times New Roman" w:eastAsia="Times New Roman"/>
          <w:b w:val="0"/>
          <w:i w:val="0"/>
          <w:sz w:val="22"/>
        </w:rPr>
        <w:t>Thyroid hormones and their nuclear receptors take part in brain development, neuronal maturation, synapse formation, glial function and repair after injury [29-31]. That biology is consistent with a thyroid hormone receptor program sitting close to neural tissue homeostasis, and with the synaptic and calcium-signalling terms enriched in this dataset.</w:t>
      </w:r>
      <w:r>
        <w:rPr>
          <w:rFonts w:hint="eastAsia" w:eastAsia="宋体"/>
          <w:b w:val="0"/>
          <w:i w:val="0"/>
          <w:sz w:val="22"/>
          <w:lang w:val="en-US" w:eastAsia="zh-CN"/>
        </w:rPr>
        <w:t xml:space="preserve"> </w:t>
      </w:r>
      <w:r>
        <w:rPr>
          <w:rFonts w:ascii="Times New Roman" w:hAnsi="Times New Roman" w:eastAsia="Times New Roman"/>
          <w:b w:val="0"/>
          <w:i w:val="0"/>
          <w:sz w:val="22"/>
        </w:rPr>
        <w:t xml:space="preserve">The direction of the change is informative in itself. Because the internal control comes from the same patient and the same lobe as the lesion, the reduction of THRB in lesion tissue </w:t>
      </w:r>
      <w:r>
        <w:rPr>
          <w:rFonts w:hint="eastAsia" w:ascii="Times New Roman" w:hAnsi="Times New Roman" w:eastAsia="Times New Roman"/>
          <w:b w:val="0"/>
          <w:i w:val="0"/>
          <w:sz w:val="22"/>
        </w:rPr>
        <w:t>may indicate that the lesion loses part of</w:t>
      </w:r>
      <w:r>
        <w:rPr>
          <w:rFonts w:ascii="Times New Roman" w:hAnsi="Times New Roman" w:eastAsia="Times New Roman"/>
          <w:b w:val="0"/>
          <w:i w:val="0"/>
          <w:sz w:val="22"/>
        </w:rPr>
        <w:t xml:space="preserve"> a homeostatic support program that is retained in the matched internal-control tissue. This is the complement of the NFE2L2 result: lesion-tissue astrocytes carry an active stress program, whereas astrocytes from the matched internal-control tissue retain a compact program for synaptic and calcium support.</w:t>
      </w:r>
    </w:p>
    <w:p w14:paraId="0A4DE7B6">
      <w:pPr>
        <w:spacing w:before="0" w:after="120" w:line="480" w:lineRule="auto"/>
        <w:jc w:val="both"/>
      </w:pPr>
      <w:r>
        <w:rPr>
          <w:rFonts w:ascii="Times New Roman" w:hAnsi="Times New Roman" w:eastAsia="Times New Roman"/>
          <w:b w:val="0"/>
          <w:i w:val="0"/>
          <w:sz w:val="22"/>
        </w:rPr>
        <w:t xml:space="preserve">The two programs are not symmetrical opposites. NFE2L2 has a large target set, a lesion-side bias and the largest </w:t>
      </w:r>
      <w:r>
        <w:rPr>
          <w:rFonts w:hint="eastAsia" w:ascii="Times New Roman" w:hAnsi="Times New Roman" w:eastAsia="Times New Roman"/>
          <w:b w:val="0"/>
          <w:i w:val="0"/>
          <w:sz w:val="22"/>
        </w:rPr>
        <w:t>predicted</w:t>
      </w:r>
      <w:r>
        <w:rPr>
          <w:rFonts w:hint="eastAsia" w:eastAsia="宋体"/>
          <w:b w:val="0"/>
          <w:i w:val="0"/>
          <w:sz w:val="22"/>
          <w:lang w:val="en-US" w:eastAsia="zh-CN"/>
        </w:rPr>
        <w:t xml:space="preserve"> </w:t>
      </w:r>
      <w:r>
        <w:rPr>
          <w:rFonts w:ascii="Times New Roman" w:hAnsi="Times New Roman" w:eastAsia="Times New Roman"/>
          <w:b w:val="0"/>
          <w:i w:val="0"/>
          <w:sz w:val="22"/>
        </w:rPr>
        <w:t xml:space="preserve">state displacement, whereas THRB has a small target set, the strongest single directional shift and the second largest predicted state displacement. This asymmetry is itself part of the finding, and it is consistent with the different biology of the two factors. On the pharmacological side, the synaptic and calcium enrichment of the THRB program </w:t>
      </w:r>
      <w:r>
        <w:rPr>
          <w:rFonts w:hint="eastAsia" w:ascii="Times New Roman" w:hAnsi="Times New Roman" w:eastAsia="Times New Roman"/>
          <w:b w:val="0"/>
          <w:i w:val="0"/>
          <w:sz w:val="22"/>
        </w:rPr>
        <w:t>is a possible point of contact with</w:t>
      </w:r>
      <w:r>
        <w:rPr>
          <w:rFonts w:ascii="Times New Roman" w:hAnsi="Times New Roman" w:eastAsia="Times New Roman"/>
          <w:b w:val="0"/>
          <w:i w:val="0"/>
          <w:sz w:val="22"/>
        </w:rPr>
        <w:t xml:space="preserve"> antiseizure drugs that act on calcium channels and synaptic transmission, which complements the mTOR-axis connection on the NFE2L2 side.</w:t>
      </w:r>
    </w:p>
    <w:p w14:paraId="0A670C62">
      <w:pPr>
        <w:spacing w:before="0" w:after="120" w:line="480" w:lineRule="auto"/>
        <w:jc w:val="both"/>
      </w:pPr>
      <w:r>
        <w:rPr>
          <w:rFonts w:ascii="Times New Roman" w:hAnsi="Times New Roman" w:eastAsia="Times New Roman"/>
          <w:b w:val="0"/>
          <w:i w:val="0"/>
          <w:sz w:val="22"/>
        </w:rPr>
        <w:t xml:space="preserve">This dual architecture </w:t>
      </w:r>
      <w:r>
        <w:rPr>
          <w:rFonts w:hint="eastAsia" w:ascii="Times New Roman" w:hAnsi="Times New Roman" w:eastAsia="Times New Roman"/>
          <w:b w:val="0"/>
          <w:i w:val="0"/>
          <w:sz w:val="22"/>
        </w:rPr>
        <w:t>may be relevant to</w:t>
      </w:r>
      <w:r>
        <w:rPr>
          <w:rFonts w:ascii="Times New Roman" w:hAnsi="Times New Roman" w:eastAsia="Times New Roman"/>
          <w:b w:val="0"/>
          <w:i w:val="0"/>
          <w:sz w:val="22"/>
        </w:rPr>
        <w:t xml:space="preserve"> how FCD II astrocytes </w:t>
      </w:r>
      <w:r>
        <w:rPr>
          <w:rFonts w:hint="eastAsia" w:ascii="Times New Roman" w:hAnsi="Times New Roman" w:eastAsia="Times New Roman"/>
          <w:b w:val="0"/>
          <w:i w:val="0"/>
          <w:sz w:val="22"/>
        </w:rPr>
        <w:t>are interpreted</w:t>
      </w:r>
      <w:r>
        <w:rPr>
          <w:rFonts w:ascii="Times New Roman" w:hAnsi="Times New Roman" w:eastAsia="Times New Roman"/>
          <w:b w:val="0"/>
          <w:i w:val="0"/>
          <w:sz w:val="22"/>
        </w:rPr>
        <w:t xml:space="preserve">. Lesion tissue is usually described as abnormal, stressed or reactive, and the NFE2L2 result fits that description. Programs that are reduced in lesion tissue carry different information: they </w:t>
      </w:r>
      <w:r>
        <w:rPr>
          <w:rFonts w:hint="eastAsia" w:ascii="Times New Roman" w:hAnsi="Times New Roman" w:eastAsia="Times New Roman"/>
          <w:b w:val="0"/>
          <w:i w:val="0"/>
          <w:sz w:val="22"/>
        </w:rPr>
        <w:t>may indicate</w:t>
      </w:r>
      <w:r>
        <w:rPr>
          <w:rFonts w:ascii="Times New Roman" w:hAnsi="Times New Roman" w:eastAsia="Times New Roman"/>
          <w:b w:val="0"/>
          <w:i w:val="0"/>
          <w:sz w:val="22"/>
        </w:rPr>
        <w:t xml:space="preserve"> which regulatory programs the lesion loses while the tissue </w:t>
      </w:r>
      <w:r>
        <w:rPr>
          <w:rFonts w:hint="eastAsia" w:ascii="Times New Roman" w:hAnsi="Times New Roman" w:eastAsia="Times New Roman"/>
          <w:b w:val="0"/>
          <w:i w:val="0"/>
          <w:sz w:val="22"/>
        </w:rPr>
        <w:t>still appears to support</w:t>
      </w:r>
      <w:r>
        <w:rPr>
          <w:rFonts w:ascii="Times New Roman" w:hAnsi="Times New Roman" w:eastAsia="Times New Roman"/>
          <w:b w:val="0"/>
          <w:i w:val="0"/>
          <w:sz w:val="22"/>
        </w:rPr>
        <w:t xml:space="preserve"> synaptic function, calcium signalling and tissue homeostasis. Validating the spatial distribution of THRB-associated signals across the lesion core, perilesional areas and internal-control regions, and testing whether they track astrocytic support of the synaptic and ionic microenvironment, </w:t>
      </w:r>
      <w:r>
        <w:rPr>
          <w:rFonts w:hint="eastAsia" w:ascii="Times New Roman" w:hAnsi="Times New Roman" w:eastAsia="Times New Roman"/>
          <w:b w:val="0"/>
          <w:i w:val="0"/>
          <w:sz w:val="22"/>
        </w:rPr>
        <w:t>would be a</w:t>
      </w:r>
      <w:r>
        <w:rPr>
          <w:rFonts w:hint="eastAsia" w:eastAsia="宋体"/>
          <w:b w:val="0"/>
          <w:i w:val="0"/>
          <w:sz w:val="22"/>
          <w:lang w:val="en-US" w:eastAsia="zh-CN"/>
        </w:rPr>
        <w:t xml:space="preserve"> </w:t>
      </w:r>
      <w:r>
        <w:rPr>
          <w:rFonts w:ascii="Times New Roman" w:hAnsi="Times New Roman" w:eastAsia="Times New Roman"/>
          <w:b w:val="0"/>
          <w:i w:val="0"/>
          <w:sz w:val="22"/>
        </w:rPr>
        <w:t>natural next step.</w:t>
      </w:r>
    </w:p>
    <w:p w14:paraId="1593B180">
      <w:pPr>
        <w:spacing w:before="200" w:after="120" w:line="480" w:lineRule="auto"/>
        <w:rPr>
          <w:b/>
          <w:sz w:val="24"/>
        </w:rPr>
      </w:pPr>
      <w:r>
        <w:rPr>
          <w:rFonts w:ascii="Times New Roman" w:hAnsi="Times New Roman" w:eastAsia="Times New Roman"/>
          <w:b/>
          <w:i w:val="0"/>
          <w:sz w:val="24"/>
        </w:rPr>
        <w:t xml:space="preserve">Supporting candidates ranked below the two leading axes</w:t>
      </w:r>
    </w:p>
    <w:p w14:paraId="78CDA1BC">
      <w:pPr>
        <w:spacing w:before="0" w:after="120" w:line="480" w:lineRule="auto"/>
        <w:jc w:val="both"/>
        <w:rPr>
          <w:rFonts w:hint="default" w:ascii="Times New Roman" w:hAnsi="Times New Roman" w:eastAsia="Times New Roman"/>
          <w:b w:val="0"/>
          <w:i w:val="0"/>
          <w:sz w:val="22"/>
          <w:lang w:val="en-US" w:eastAsia="zh-CN"/>
        </w:rPr>
      </w:pPr>
      <w:r>
        <w:rPr>
          <w:rFonts w:hint="eastAsia" w:ascii="Times New Roman" w:hAnsi="Times New Roman" w:eastAsia="Times New Roman"/>
          <w:b w:val="0"/>
          <w:i w:val="0"/>
          <w:sz w:val="22"/>
        </w:rPr>
        <w:t>The remaining five candidates were also retained, but each ranked below these two axes.</w:t>
      </w:r>
      <w:r>
        <w:rPr>
          <w:rFonts w:ascii="Times New Roman" w:hAnsi="Times New Roman" w:eastAsia="Times New Roman"/>
          <w:b w:val="0"/>
          <w:i w:val="0"/>
          <w:sz w:val="22"/>
        </w:rPr>
        <w:t xml:space="preserve"> SOX2 kept a lesion-side direction in both layers but its regulon contains only 10 target genes, so its influence in this object is target-limited even though SOX2 is central to neural development, glial state maintenance and cell-fate control [32-34]. The literature-informed screen added SATB2, SMAD3, SOX10 and CUX1 as further qualified candidates. SATB2 was the most robust of the supporting candidates across donor and threshold checks, and its targets were enriched for morphogenesis and axon guidance, which </w:t>
      </w:r>
      <w:r>
        <w:rPr>
          <w:rFonts w:hint="eastAsia" w:eastAsia="宋体"/>
          <w:b w:val="0"/>
          <w:i w:val="0"/>
          <w:sz w:val="22"/>
          <w:lang w:val="en-US" w:eastAsia="zh-CN"/>
        </w:rPr>
        <w:t xml:space="preserve">may </w:t>
      </w:r>
      <w:r>
        <w:rPr>
          <w:rFonts w:ascii="Times New Roman" w:hAnsi="Times New Roman" w:eastAsia="Times New Roman"/>
          <w:b w:val="0"/>
          <w:i w:val="0"/>
          <w:sz w:val="22"/>
        </w:rPr>
        <w:t>connect to cortical layer identity and the abnormal laminar distribution of layer-marker cells described in human FCD tissue [41-44]</w:t>
      </w:r>
      <w:r>
        <w:rPr>
          <w:rFonts w:hint="eastAsia" w:ascii="Times New Roman" w:hAnsi="Times New Roman" w:eastAsia="Times New Roman"/>
          <w:b w:val="0"/>
          <w:i w:val="0"/>
          <w:sz w:val="22"/>
        </w:rPr>
        <w:t>; however, its simulated perturbation displacement (0.657) and regulon activity shift remained below those of NFE2L2 and THRB.</w:t>
      </w:r>
      <w:r>
        <w:rPr>
          <w:rFonts w:ascii="Times New Roman" w:hAnsi="Times New Roman" w:eastAsia="Times New Roman"/>
          <w:b w:val="0"/>
          <w:i w:val="0"/>
          <w:sz w:val="22"/>
        </w:rPr>
        <w:t xml:space="preserve"> SMAD3</w:t>
      </w:r>
      <w:r>
        <w:rPr>
          <w:rFonts w:hint="eastAsia" w:ascii="Times New Roman" w:hAnsi="Times New Roman" w:eastAsia="Times New Roman"/>
          <w:b w:val="0"/>
          <w:i w:val="0"/>
          <w:sz w:val="22"/>
        </w:rPr>
        <w:t xml:space="preserve"> targets</w:t>
      </w:r>
      <w:r>
        <w:rPr>
          <w:rFonts w:hint="eastAsia" w:eastAsia="宋体"/>
          <w:b w:val="0"/>
          <w:i w:val="0"/>
          <w:sz w:val="22"/>
          <w:lang w:val="en-US" w:eastAsia="zh-CN"/>
        </w:rPr>
        <w:t xml:space="preserve"> </w:t>
      </w:r>
      <w:r>
        <w:rPr>
          <w:rFonts w:ascii="Times New Roman" w:hAnsi="Times New Roman" w:eastAsia="Times New Roman"/>
          <w:b w:val="0"/>
          <w:i w:val="0"/>
          <w:sz w:val="22"/>
        </w:rPr>
        <w:t>were enriched for synaptic transmission and axon guidance, in line with inflammatory and TGF-beta-related glial signalling in epileptogenesis [49, 50]</w:t>
      </w:r>
      <w:r>
        <w:rPr>
          <w:rFonts w:hint="eastAsia" w:eastAsia="宋体"/>
          <w:b w:val="0"/>
          <w:i w:val="0"/>
          <w:sz w:val="22"/>
          <w:lang w:val="en-US" w:eastAsia="zh-CN"/>
        </w:rPr>
        <w:t xml:space="preserve">; </w:t>
      </w:r>
      <w:r>
        <w:rPr>
          <w:rFonts w:hint="eastAsia" w:ascii="Times New Roman" w:hAnsi="Times New Roman" w:eastAsia="Times New Roman"/>
          <w:b w:val="0"/>
          <w:i w:val="0"/>
          <w:sz w:val="22"/>
        </w:rPr>
        <w:t>it was nevertheless the least reproducible of the group, falling below the linear-scale effect threshold (|L| = 0.193) and being the only candidate whose two donors disagreed in direction.</w:t>
      </w:r>
      <w:r>
        <w:rPr>
          <w:rFonts w:ascii="Times New Roman" w:hAnsi="Times New Roman" w:eastAsia="Times New Roman"/>
          <w:b w:val="0"/>
          <w:i w:val="0"/>
          <w:sz w:val="22"/>
        </w:rPr>
        <w:t xml:space="preserve"> SOX10 </w:t>
      </w:r>
      <w:r>
        <w:rPr>
          <w:rFonts w:hint="eastAsia" w:ascii="Times New Roman" w:hAnsi="Times New Roman" w:eastAsia="Times New Roman"/>
          <w:b w:val="0"/>
          <w:i w:val="0"/>
          <w:sz w:val="22"/>
        </w:rPr>
        <w:t>was retained by the literature-informed screen, but it</w:t>
      </w:r>
      <w:r>
        <w:rPr>
          <w:rFonts w:hint="eastAsia" w:eastAsia="宋体"/>
          <w:b w:val="0"/>
          <w:i w:val="0"/>
          <w:sz w:val="22"/>
          <w:lang w:val="en-US" w:eastAsia="zh-CN"/>
        </w:rPr>
        <w:t xml:space="preserve"> </w:t>
      </w:r>
      <w:r>
        <w:rPr>
          <w:rFonts w:ascii="Times New Roman" w:hAnsi="Times New Roman" w:eastAsia="Times New Roman"/>
          <w:b w:val="0"/>
          <w:i w:val="0"/>
          <w:sz w:val="22"/>
        </w:rPr>
        <w:t>is better known in oligodendroglial biology [53, 54]</w:t>
      </w:r>
      <w:r>
        <w:rPr>
          <w:rFonts w:hint="eastAsia" w:eastAsia="宋体"/>
          <w:b w:val="0"/>
          <w:i w:val="0"/>
          <w:sz w:val="22"/>
          <w:lang w:val="en-US" w:eastAsia="zh-CN"/>
        </w:rPr>
        <w:t xml:space="preserve"> </w:t>
      </w:r>
      <w:r>
        <w:rPr>
          <w:rFonts w:hint="eastAsia" w:ascii="Times New Roman" w:hAnsi="Times New Roman" w:eastAsia="Times New Roman"/>
          <w:b w:val="0"/>
          <w:i w:val="0"/>
          <w:sz w:val="22"/>
        </w:rPr>
        <w:t>and was detected in only a small fraction of lesion astrocytes (0.046) with the smallest simulated displacement (0.398)</w:t>
      </w:r>
      <w:r>
        <w:rPr>
          <w:rFonts w:hint="eastAsia" w:eastAsia="宋体"/>
          <w:b w:val="0"/>
          <w:i w:val="0"/>
          <w:sz w:val="22"/>
          <w:lang w:val="en-US" w:eastAsia="zh-CN"/>
        </w:rPr>
        <w:t>.</w:t>
      </w:r>
      <w:r>
        <w:rPr>
          <w:rFonts w:ascii="Times New Roman" w:hAnsi="Times New Roman" w:eastAsia="Times New Roman"/>
          <w:b w:val="0"/>
          <w:i w:val="0"/>
          <w:sz w:val="22"/>
        </w:rPr>
        <w:t xml:space="preserve"> CUX1 was </w:t>
      </w:r>
      <w:r>
        <w:rPr>
          <w:rFonts w:hint="eastAsia" w:ascii="Times New Roman" w:hAnsi="Times New Roman" w:eastAsia="Times New Roman"/>
          <w:b w:val="0"/>
          <w:i w:val="0"/>
          <w:sz w:val="22"/>
        </w:rPr>
        <w:t>likewise retained, but its</w:t>
      </w:r>
      <w:r>
        <w:rPr>
          <w:rFonts w:ascii="Times New Roman" w:hAnsi="Times New Roman" w:eastAsia="Times New Roman"/>
          <w:b w:val="0"/>
          <w:i w:val="0"/>
          <w:sz w:val="22"/>
        </w:rPr>
        <w:t xml:space="preserve"> predicted influence depended most on the network definition</w:t>
      </w:r>
      <w:r>
        <w:rPr>
          <w:rFonts w:hint="eastAsia" w:eastAsia="宋体"/>
          <w:b w:val="0"/>
          <w:i w:val="0"/>
          <w:sz w:val="22"/>
          <w:lang w:val="en-US" w:eastAsia="zh-CN"/>
        </w:rPr>
        <w:t xml:space="preserve">, </w:t>
      </w:r>
      <w:r>
        <w:rPr>
          <w:rFonts w:hint="eastAsia" w:ascii="Times New Roman" w:hAnsi="Times New Roman" w:eastAsia="Times New Roman"/>
          <w:b w:val="0"/>
          <w:i w:val="0"/>
          <w:sz w:val="22"/>
        </w:rPr>
        <w:t>changing by −60.8% when the network was restricted to motif-supported edges, and it is not an astrocyte marker.</w:t>
      </w:r>
      <w:r>
        <w:rPr>
          <w:rFonts w:ascii="Times New Roman" w:hAnsi="Times New Roman" w:eastAsia="Times New Roman"/>
          <w:b w:val="0"/>
          <w:i w:val="0"/>
          <w:sz w:val="22"/>
        </w:rPr>
        <w:t xml:space="preserve"> </w:t>
      </w:r>
      <w:r>
        <w:rPr>
          <w:rFonts w:hint="default" w:eastAsia="Times New Roman"/>
          <w:b w:val="0"/>
          <w:i w:val="0"/>
          <w:sz w:val="22"/>
          <w:lang w:val="en-US" w:eastAsia="zh-CN"/>
        </w:rPr>
        <w:t xml:space="preserve">These five factors therefore remained supporting candidates rather than primary axes in FCD II lesion-side astrocytes.</w:t>
      </w:r>
    </w:p>
    <w:p w14:paraId="77F79F6D">
      <w:pPr>
        <w:spacing w:before="200" w:after="120" w:line="480" w:lineRule="auto"/>
      </w:pPr>
      <w:r>
        <w:rPr>
          <w:rFonts w:ascii="Times New Roman" w:hAnsi="Times New Roman" w:eastAsia="Times New Roman"/>
          <w:b/>
          <w:i w:val="0"/>
          <w:sz w:val="24"/>
        </w:rPr>
        <w:t xml:space="preserve">Translational link between the NFE2L2 program and </w:t>
      </w:r>
      <w:r>
        <w:rPr>
          <w:rFonts w:hint="eastAsia" w:ascii="Times New Roman" w:hAnsi="Times New Roman" w:eastAsia="Times New Roman"/>
          <w:b/>
          <w:i w:val="0"/>
          <w:sz w:val="24"/>
        </w:rPr>
        <w:t>mTOR-axis drug signatures</w:t>
      </w:r>
    </w:p>
    <w:p w14:paraId="379D0575">
      <w:pPr>
        <w:spacing w:before="0" w:after="120" w:line="480" w:lineRule="auto"/>
        <w:jc w:val="both"/>
      </w:pPr>
      <w:r>
        <w:rPr>
          <w:rFonts w:ascii="Times New Roman" w:hAnsi="Times New Roman" w:eastAsia="Times New Roman"/>
          <w:b w:val="0"/>
          <w:i w:val="0"/>
          <w:sz w:val="22"/>
        </w:rPr>
        <w:t xml:space="preserve">The drug-signature analysis connects the prioritised programs to pharmacological perturbation signatures. Pictilisib, metformin and rapamycin were nominated because they overlap the NFE2L2 target set and share an established link to PI3K-AMPK-mTOR signalling, and the blood-brain barrier annotation separates the compounds that could reach a central nervous system target from those that would need delivery optimisation. This gives the NFE2L2 program </w:t>
      </w:r>
      <w:r>
        <w:rPr>
          <w:rFonts w:hint="eastAsia" w:ascii="Times New Roman" w:hAnsi="Times New Roman" w:eastAsia="Times New Roman"/>
          <w:b w:val="0"/>
          <w:i w:val="0"/>
          <w:sz w:val="22"/>
        </w:rPr>
        <w:t>a preliminary</w:t>
      </w:r>
      <w:r>
        <w:rPr>
          <w:rFonts w:ascii="Times New Roman" w:hAnsi="Times New Roman" w:eastAsia="Times New Roman"/>
          <w:b w:val="0"/>
          <w:i w:val="0"/>
          <w:sz w:val="22"/>
        </w:rPr>
        <w:t xml:space="preserve"> pharmacological context.</w:t>
      </w:r>
    </w:p>
    <w:p w14:paraId="121CD94B">
      <w:pPr>
        <w:spacing w:before="0" w:after="120" w:line="480" w:lineRule="auto"/>
        <w:jc w:val="both"/>
      </w:pPr>
      <w:r>
        <w:rPr>
          <w:rFonts w:ascii="Times New Roman" w:hAnsi="Times New Roman" w:eastAsia="Times New Roman"/>
          <w:b w:val="0"/>
          <w:i w:val="0"/>
          <w:sz w:val="22"/>
        </w:rPr>
        <w:t xml:space="preserve">The same analysis connects to the clinical literature on mTOR inhibition in FCD II. FCD II is defined molecularly by somatic or germline variants in MTOR and related genes that hyperactivate the pathway [4, 5], everolimus is approved for treatment-resistant focal-onset seizures in tuberous sclerosis complex [36], and mTOR inhibition has entered clinical testing in FCD II itself [38]. Reciprocal crosstalk between Nrf2/NFE2L2 and mTOR signalling has been described in other systems, where mTORC1 activity regulates Nrf2-dependent transcription and Nrf2 feeds back on autophagic and metabolic outputs of the mTOR axis [37]. In this dataset the NFE2L2 regulon target set overlaps mTOR signalling genes, with RICTOR and MIOS among them, and the mTOR-axis compounds of the same set include rapamycin, temsirolimus and everolimus. The NFE2L2 program </w:t>
      </w:r>
      <w:r>
        <w:rPr>
          <w:rFonts w:hint="eastAsia" w:eastAsia="宋体"/>
          <w:b w:val="0"/>
          <w:i w:val="0"/>
          <w:sz w:val="22"/>
          <w:lang w:val="en-US" w:eastAsia="zh-CN"/>
        </w:rPr>
        <w:t xml:space="preserve">may </w:t>
      </w:r>
      <w:r>
        <w:rPr>
          <w:rFonts w:ascii="Times New Roman" w:hAnsi="Times New Roman" w:eastAsia="Times New Roman"/>
          <w:b w:val="0"/>
          <w:i w:val="0"/>
          <w:sz w:val="22"/>
        </w:rPr>
        <w:t xml:space="preserve">therefore provide a regulatory context for interpreting </w:t>
      </w:r>
      <w:r>
        <w:rPr>
          <w:rFonts w:hint="eastAsia" w:ascii="Times New Roman" w:hAnsi="Times New Roman" w:eastAsia="Times New Roman"/>
          <w:b w:val="0"/>
          <w:i w:val="0"/>
          <w:sz w:val="22"/>
        </w:rPr>
        <w:t>the mTOR-axis drug signatures of</w:t>
      </w:r>
      <w:r>
        <w:rPr>
          <w:rFonts w:ascii="Times New Roman" w:hAnsi="Times New Roman" w:eastAsia="Times New Roman"/>
          <w:b w:val="0"/>
          <w:i w:val="0"/>
          <w:sz w:val="22"/>
        </w:rPr>
        <w:t xml:space="preserve"> FCD II, and it</w:t>
      </w:r>
      <w:r>
        <w:rPr>
          <w:rFonts w:hint="eastAsia" w:eastAsia="宋体"/>
          <w:b w:val="0"/>
          <w:i w:val="0"/>
          <w:sz w:val="22"/>
          <w:lang w:val="en-US" w:eastAsia="zh-CN"/>
        </w:rPr>
        <w:t xml:space="preserve"> </w:t>
      </w:r>
      <w:r>
        <w:rPr>
          <w:rFonts w:hint="eastAsia" w:ascii="Times New Roman" w:hAnsi="Times New Roman" w:eastAsia="Times New Roman"/>
          <w:b w:val="0"/>
          <w:i w:val="0"/>
          <w:sz w:val="22"/>
        </w:rPr>
        <w:t>raises the possibility that</w:t>
      </w:r>
      <w:r>
        <w:rPr>
          <w:rFonts w:ascii="Times New Roman" w:hAnsi="Times New Roman" w:eastAsia="Times New Roman"/>
          <w:b w:val="0"/>
          <w:i w:val="0"/>
          <w:sz w:val="22"/>
        </w:rPr>
        <w:t xml:space="preserve"> the lesion-side astrocyte program could serve as a candidate biological marker for </w:t>
      </w:r>
      <w:r>
        <w:rPr>
          <w:rFonts w:hint="eastAsia" w:ascii="Times New Roman" w:hAnsi="Times New Roman" w:eastAsia="Times New Roman"/>
          <w:b w:val="0"/>
          <w:i w:val="0"/>
          <w:sz w:val="22"/>
        </w:rPr>
        <w:t>follow-up</w:t>
      </w:r>
      <w:r>
        <w:rPr>
          <w:rFonts w:ascii="Times New Roman" w:hAnsi="Times New Roman" w:eastAsia="Times New Roman"/>
          <w:b w:val="0"/>
          <w:i w:val="0"/>
          <w:sz w:val="22"/>
        </w:rPr>
        <w:t>.</w:t>
      </w:r>
    </w:p>
    <w:p w14:paraId="48FFD055">
      <w:pPr>
        <w:spacing w:before="280" w:after="120" w:line="480" w:lineRule="auto"/>
      </w:pPr>
      <w:r>
        <w:rPr>
          <w:rFonts w:ascii="Times New Roman" w:hAnsi="Times New Roman" w:eastAsia="Times New Roman"/>
          <w:b/>
          <w:i w:val="0"/>
          <w:sz w:val="28"/>
        </w:rPr>
        <w:t>Limitations</w:t>
      </w:r>
    </w:p>
    <w:p w14:paraId="7608D5E9">
      <w:pPr>
        <w:spacing w:before="0" w:after="120" w:line="480" w:lineRule="auto"/>
        <w:jc w:val="both"/>
        <w:rPr>
          <w:rFonts w:ascii="Times New Roman" w:hAnsi="Times New Roman" w:eastAsia="Times New Roman"/>
          <w:b w:val="0"/>
          <w:i w:val="0"/>
          <w:sz w:val="22"/>
        </w:rPr>
      </w:pPr>
      <w:r>
        <w:rPr>
          <w:rFonts w:hint="eastAsia" w:ascii="Times New Roman" w:hAnsi="Times New Roman" w:eastAsia="Times New Roman"/>
          <w:b w:val="0"/>
          <w:i w:val="0"/>
          <w:sz w:val="22"/>
        </w:rPr>
        <w:t>This study has three main limitations. First, only two donors were available, so donor-specific variation cannot be separated from the disease signal and the analysis has limited power to detect small or donor-heterogeneous effects. Sample-level scoring and direction consistency across donors, scales and networks mitigated this, but larger multi-donor FCD II cohorts are still needed. Second, the internal control is histologically normal cortex adjacent to the lesion from the same patient, not normal cortex, because obtaining normal human cortex would require non-indicated surgery and is not ethically permissible. It controls for genetic background but may retain adjacency-related reactive changes, so contrasts are against perilesional rather than healthy cortex. Third, the validation datasets, GSE140393 and GSE190452, are temporal lobe epilepsy cohorts rather than independent FCD II cohorts, so they can confirm the direction of the expression signal but cannot establish FCD II specificity or effect size.</w:t>
      </w:r>
    </w:p>
    <w:p w14:paraId="3578C16A">
      <w:pPr>
        <w:spacing w:before="280" w:after="120" w:line="480" w:lineRule="auto"/>
      </w:pPr>
      <w:r>
        <w:rPr>
          <w:rFonts w:ascii="Times New Roman" w:hAnsi="Times New Roman" w:eastAsia="Times New Roman"/>
          <w:b/>
          <w:i w:val="0"/>
          <w:sz w:val="28"/>
        </w:rPr>
        <w:t>Conclusions</w:t>
      </w:r>
    </w:p>
    <w:p w14:paraId="363EDD07">
      <w:pPr>
        <w:spacing w:before="0" w:after="120" w:line="480" w:lineRule="auto"/>
        <w:jc w:val="both"/>
      </w:pPr>
      <w:r>
        <w:rPr>
          <w:rFonts w:ascii="Times New Roman" w:hAnsi="Times New Roman" w:eastAsia="Times New Roman"/>
          <w:b w:val="0"/>
          <w:i w:val="0"/>
          <w:sz w:val="22"/>
        </w:rPr>
        <w:t>This study identifies two regulatory programs with opposite directions in FCD II astrocytes: a lesion-associated stress-response and transcriptional-reprogramming program represented by NFE2L2, and a homeostatic, synaptic and calcium-signalling support program represented by THRB that is reduced in lesion tissue. NFE2L2 carries the largest regulatory scale and the largest predicted state displacement, THRB carries the strongest reduction in lesion tissue and the second largest predicted state displacement, and both keep their direction across expression scales, donors, network definitions and independent expression datasets.</w:t>
      </w:r>
    </w:p>
    <w:p w14:paraId="4628DC99">
      <w:pPr>
        <w:spacing w:before="0" w:after="120" w:line="480" w:lineRule="auto"/>
        <w:jc w:val="both"/>
      </w:pPr>
      <w:r>
        <w:rPr>
          <w:rFonts w:ascii="Times New Roman" w:hAnsi="Times New Roman" w:eastAsia="Times New Roman"/>
          <w:b w:val="0"/>
          <w:i w:val="0"/>
          <w:sz w:val="22"/>
        </w:rPr>
        <w:t xml:space="preserve">The two programs give a clear priority order for follow-up: NFE2L2 as the lesion-side axis and THRB as the homeostatic axis reduced in lesion tissue, with SATB2, SOX2, SMAD3, SOX10 and CUX1 as supporting candidates. The connection between the NFE2L2 target set and </w:t>
      </w:r>
      <w:r>
        <w:rPr>
          <w:rFonts w:hint="eastAsia" w:ascii="Times New Roman" w:hAnsi="Times New Roman" w:eastAsia="Times New Roman"/>
          <w:b w:val="0"/>
          <w:i w:val="0"/>
          <w:sz w:val="22"/>
        </w:rPr>
        <w:t>mTOR-axis drug signatures</w:t>
      </w:r>
      <w:r>
        <w:rPr>
          <w:rFonts w:ascii="Times New Roman" w:hAnsi="Times New Roman" w:eastAsia="Times New Roman"/>
          <w:b w:val="0"/>
          <w:i w:val="0"/>
          <w:sz w:val="22"/>
        </w:rPr>
        <w:t xml:space="preserve">, including the </w:t>
      </w:r>
      <w:r>
        <w:rPr>
          <w:rFonts w:hint="eastAsia" w:ascii="Times New Roman" w:hAnsi="Times New Roman" w:eastAsia="Times New Roman"/>
          <w:b w:val="0"/>
          <w:i w:val="0"/>
          <w:sz w:val="22"/>
        </w:rPr>
        <w:t>drug-signature</w:t>
      </w:r>
      <w:r>
        <w:rPr>
          <w:rFonts w:hint="eastAsia" w:eastAsia="宋体"/>
          <w:b w:val="0"/>
          <w:i w:val="0"/>
          <w:sz w:val="22"/>
          <w:lang w:val="en-US" w:eastAsia="zh-CN"/>
        </w:rPr>
        <w:t xml:space="preserve"> </w:t>
      </w:r>
      <w:r>
        <w:rPr>
          <w:rFonts w:ascii="Times New Roman" w:hAnsi="Times New Roman" w:eastAsia="Times New Roman"/>
          <w:b w:val="0"/>
          <w:i w:val="0"/>
          <w:sz w:val="22"/>
        </w:rPr>
        <w:t>enrichment of pictilisib, metformin and rapamycin, provides a program-level translational link from regulatory network modelling to therapeutic strategy in FCD II. Spatial localisation in lesion core, perilesional and internal-control regions, replication in larger same-disease astrocyte datasets, and transcription-factor perturbation experiments are the next steps to test the spatial distribution and functional role of the NFE2L2 and THRB programs.</w:t>
      </w:r>
    </w:p>
    <w:p>
      <w:pPr>
        <w:spacing w:before="280" w:after="120" w:line="480" w:lineRule="auto"/>
      </w:pPr>
      <w:r>
        <w:rPr>
          <w:rFonts w:ascii="Times New Roman" w:hAnsi="Times New Roman" w:eastAsia="Times New Roman"/>
          <w:b/>
          <w:i w:val="0"/>
          <w:sz w:val="28"/>
        </w:rPr>
        <w:t>List of abbreviations</w:t>
      </w:r>
    </w:p>
    <w:p>
      <w:pPr>
        <w:spacing w:before="0" w:after="120" w:line="480" w:lineRule="auto"/>
        <w:jc w:val="both"/>
      </w:pPr>
      <w:r>
        <w:rPr>
          <w:rFonts w:ascii="Times New Roman" w:hAnsi="Times New Roman" w:eastAsia="Times New Roman"/>
          <w:b w:val="0"/>
          <w:i w:val="0"/>
          <w:sz w:val="22"/>
        </w:rPr>
        <w:t xml:space="preserve">AUCell: activity scoring of regulon expression in single cells; BBB: blood-brain barrier; CP10K: counts per 10,000; DSigDB: Drug Signature Database; FCD II: focal cortical dysplasia type II; FDR: false discovery rate; GEO: Gene Expression Omnibus; GO: Gene Ontology; KEGG: Kyoto Encyclopedia of Genes and Genomes; mTOR: mechanistic target of rapamycin; PCA: principal component analysis; pySCENIC: Python implementation of SCENIC (single-cell regulatory network inference and clustering); TF: transcription factor; TLE: temporal lobe epilepsy; UMAP: uniform manifold approximation and projection.</w:t>
      </w:r>
    </w:p>
    <w:p w14:paraId="52515634">
      <w:pPr>
        <w:spacing w:before="280" w:after="120" w:line="480" w:lineRule="auto"/>
      </w:pPr>
      <w:r>
        <w:rPr>
          <w:rFonts w:ascii="Times New Roman" w:hAnsi="Times New Roman" w:eastAsia="Times New Roman"/>
          <w:b/>
          <w:i w:val="0"/>
          <w:sz w:val="28"/>
        </w:rPr>
        <w:t>Declarations</w:t>
      </w:r>
    </w:p>
    <w:p w14:paraId="5F018207">
      <w:pPr>
        <w:spacing w:before="200" w:after="120" w:line="480" w:lineRule="auto"/>
      </w:pPr>
      <w:r>
        <w:rPr>
          <w:rFonts w:ascii="Times New Roman" w:hAnsi="Times New Roman" w:eastAsia="Times New Roman"/>
          <w:b/>
          <w:i w:val="0"/>
          <w:sz w:val="24"/>
        </w:rPr>
        <w:t>Ethics approval and consent to participate</w:t>
      </w:r>
    </w:p>
    <w:p w14:paraId="445AF649">
      <w:pPr>
        <w:spacing w:before="0" w:after="120" w:line="480" w:lineRule="auto"/>
        <w:jc w:val="both"/>
      </w:pPr>
      <w:r>
        <w:rPr>
          <w:rFonts w:ascii="Times New Roman" w:hAnsi="Times New Roman" w:eastAsia="Times New Roman"/>
          <w:b w:val="0"/>
          <w:i w:val="0"/>
          <w:sz w:val="22"/>
        </w:rPr>
        <w:t>This study is a secondary analysis based entirely on publicly available, de-identified single-cell and single-nucleus transcriptomic data from previously published studies. The original studies report their ethical approval and informed consent procedures. No new participants were recruited, no tissue was collected and no identifiable personal information was accessed, so no additional ethical approval was required.</w:t>
      </w:r>
    </w:p>
    <w:p w14:paraId="1EBCCE98">
      <w:pPr>
        <w:spacing w:before="200" w:after="120" w:line="480" w:lineRule="auto"/>
      </w:pPr>
      <w:r>
        <w:rPr>
          <w:rFonts w:ascii="Times New Roman" w:hAnsi="Times New Roman" w:eastAsia="Times New Roman"/>
          <w:b/>
          <w:i w:val="0"/>
          <w:sz w:val="24"/>
        </w:rPr>
        <w:t>Consent for publication</w:t>
      </w:r>
    </w:p>
    <w:p w14:paraId="5F97FBBE">
      <w:pPr>
        <w:spacing w:before="0" w:after="120" w:line="480" w:lineRule="auto"/>
        <w:jc w:val="both"/>
      </w:pPr>
      <w:r>
        <w:rPr>
          <w:rFonts w:ascii="Times New Roman" w:hAnsi="Times New Roman" w:eastAsia="Times New Roman"/>
          <w:b w:val="0"/>
          <w:i w:val="0"/>
          <w:sz w:val="22"/>
        </w:rPr>
        <w:t>Not applicable. This study contains no individually identifiable data, images, videos or clinical case information.</w:t>
      </w:r>
    </w:p>
    <w:p w14:paraId="14051679">
      <w:pPr>
        <w:spacing w:before="200" w:after="120" w:line="480" w:lineRule="auto"/>
      </w:pPr>
      <w:r>
        <w:rPr>
          <w:rFonts w:ascii="Times New Roman" w:hAnsi="Times New Roman" w:eastAsia="Times New Roman"/>
          <w:b/>
          <w:i w:val="0"/>
          <w:sz w:val="24"/>
        </w:rPr>
        <w:t>Availability of data and materials</w:t>
      </w:r>
    </w:p>
    <w:p w14:paraId="11B6B7A6">
      <w:pPr>
        <w:spacing w:before="0" w:after="120" w:line="480" w:lineRule="auto"/>
        <w:jc w:val="both"/>
      </w:pPr>
      <w:r>
        <w:rPr>
          <w:rFonts w:ascii="Times New Roman" w:hAnsi="Times New Roman" w:eastAsia="Times New Roman"/>
          <w:b w:val="0"/>
          <w:i w:val="0"/>
          <w:sz w:val="22"/>
        </w:rPr>
        <w:t xml:space="preserve">This study used publicly available datasets from the Gene Expression Omnibus: GSE268807 (https://www.ncbi.nlm.nih.gov/geo/query/acc.cgi?acc=GSE268807), GSE140393 (https://www.ncbi.nlm.nih.gov/geo/query/acc.cgi?acc=GSE140393) and GSE190452 (https://www.ncbi.nlm.nih.gov/geo/query/acc.cgi?acc=GSE190452). Processed summary tables, figure-generation input files and the materials needed to reproduce the results are available in the accompanying GitHub repository: https://github.com/vermouth-SVG/fcdii-astrocyte-regulon-perturbation. Large raw single-cell matrices, large intermediate objects, cisTarget ranking databases and motif annotation files are not redistributed, and should be obtained under the access terms of the original repositories.</w:t>
      </w:r>
    </w:p>
    <w:p w14:paraId="2B521C99">
      <w:pPr>
        <w:spacing w:before="200" w:after="120" w:line="480" w:lineRule="auto"/>
      </w:pPr>
      <w:r>
        <w:rPr>
          <w:rFonts w:ascii="Times New Roman" w:hAnsi="Times New Roman" w:eastAsia="Times New Roman"/>
          <w:b/>
          <w:i w:val="0"/>
          <w:sz w:val="24"/>
        </w:rPr>
        <w:t>Code availability</w:t>
      </w:r>
    </w:p>
    <w:p w14:paraId="6F009FC8">
      <w:pPr>
        <w:spacing w:before="0" w:after="120" w:line="480" w:lineRule="auto"/>
        <w:jc w:val="both"/>
      </w:pPr>
      <w:r>
        <w:rPr>
          <w:rFonts w:ascii="Times New Roman" w:hAnsi="Times New Roman" w:eastAsia="Times New Roman"/>
          <w:b w:val="0"/>
          <w:i w:val="0"/>
          <w:sz w:val="22"/>
        </w:rPr>
        <w:t>The analysis code is available in the GitHub repository: https://github.com/vermouth-SVG/fcdii-astrocyte-regulon-perturbation. The repository contains the analysis scripts, configuration files, processed outputs, figure-generation scripts and reproduction instructions.</w:t>
      </w:r>
    </w:p>
    <w:p w14:paraId="539C55D5">
      <w:pPr>
        <w:spacing w:before="200" w:after="120" w:line="480" w:lineRule="auto"/>
      </w:pPr>
      <w:r>
        <w:rPr>
          <w:rFonts w:ascii="Times New Roman" w:hAnsi="Times New Roman" w:eastAsia="Times New Roman"/>
          <w:b/>
          <w:i w:val="0"/>
          <w:sz w:val="24"/>
        </w:rPr>
        <w:t>Competing interests</w:t>
      </w:r>
    </w:p>
    <w:p w14:paraId="5AD79BD6">
      <w:pPr>
        <w:spacing w:before="0" w:after="120" w:line="480" w:lineRule="auto"/>
        <w:jc w:val="both"/>
      </w:pPr>
      <w:r>
        <w:rPr>
          <w:rFonts w:ascii="Times New Roman" w:hAnsi="Times New Roman" w:eastAsia="Times New Roman"/>
          <w:b w:val="0"/>
          <w:i w:val="0"/>
          <w:sz w:val="22"/>
        </w:rPr>
        <w:t>The authors declare that they have no competing interests.</w:t>
      </w:r>
    </w:p>
    <w:p w14:paraId="121BD956">
      <w:pPr>
        <w:spacing w:before="200" w:after="120" w:line="480" w:lineRule="auto"/>
      </w:pPr>
      <w:r>
        <w:rPr>
          <w:rFonts w:ascii="Times New Roman" w:hAnsi="Times New Roman" w:eastAsia="Times New Roman"/>
          <w:b/>
          <w:i w:val="0"/>
          <w:sz w:val="24"/>
        </w:rPr>
        <w:t>Funding</w:t>
      </w:r>
    </w:p>
    <w:p w14:paraId="50B34797">
      <w:pPr>
        <w:spacing w:before="0" w:after="120" w:line="480" w:lineRule="auto"/>
        <w:jc w:val="both"/>
      </w:pPr>
      <w:r>
        <w:rPr>
          <w:rFonts w:ascii="Times New Roman" w:hAnsi="Times New Roman" w:eastAsia="Times New Roman"/>
          <w:b w:val="0"/>
          <w:i w:val="0"/>
          <w:sz w:val="22"/>
        </w:rPr>
        <w:t xml:space="preserve">This study was supported by the National Natural Science Foundation of China (No. 82301672) and the Science and Technology Bureau Project of Wenzhou (No. Y20240023). The funders had no role in the design of the study, data collection, analysis, interpretation, or writing of the manuscript.</w:t>
      </w:r>
    </w:p>
    <w:p w14:paraId="18724CDE">
      <w:pPr>
        <w:spacing w:before="200" w:after="120" w:line="480" w:lineRule="auto"/>
      </w:pPr>
      <w:r>
        <w:rPr>
          <w:rFonts w:ascii="Times New Roman" w:hAnsi="Times New Roman" w:eastAsia="Times New Roman"/>
          <w:b/>
          <w:i w:val="0"/>
          <w:sz w:val="24"/>
        </w:rPr>
        <w:t>Authors' contributions</w:t>
      </w:r>
    </w:p>
    <w:p w14:paraId="311B159B">
      <w:pPr>
        <w:spacing w:before="0" w:after="120" w:line="480" w:lineRule="auto"/>
        <w:jc w:val="both"/>
      </w:pPr>
      <w:r>
        <w:rPr>
          <w:rFonts w:ascii="Times New Roman" w:hAnsi="Times New Roman" w:eastAsia="Times New Roman"/>
          <w:b w:val="0"/>
          <w:i w:val="0"/>
          <w:sz w:val="22"/>
        </w:rPr>
        <w:t>XY: conceptualization, methodology, formal analysis, software, data curation, visualization, writing - original draft and writing - review and editing. WW: methodology, validation and writing - review and editing. YLi: formal analysis, software and writing - review and editing. FH, LH, ZR and YLu: investigation, validation and writing - review and editing. XL: conceptualization, supervision, project administration, funding acquisition and writing - review and editing. All authors read and approved the final manuscript.</w:t>
      </w:r>
    </w:p>
    <w:p w14:paraId="119E30BF">
      <w:pPr>
        <w:spacing w:before="200" w:after="120" w:line="480" w:lineRule="auto"/>
      </w:pPr>
      <w:r>
        <w:rPr>
          <w:rFonts w:ascii="Times New Roman" w:hAnsi="Times New Roman" w:eastAsia="Times New Roman"/>
          <w:b/>
          <w:i w:val="0"/>
          <w:sz w:val="24"/>
        </w:rPr>
        <w:t>Acknowledgements</w:t>
      </w:r>
    </w:p>
    <w:p w14:paraId="1D35237E">
      <w:pPr>
        <w:spacing w:before="0" w:after="120" w:line="480" w:lineRule="auto"/>
        <w:jc w:val="both"/>
      </w:pPr>
      <w:r>
        <w:rPr>
          <w:rFonts w:ascii="Times New Roman" w:hAnsi="Times New Roman" w:eastAsia="Times New Roman"/>
          <w:b w:val="0"/>
          <w:i w:val="0"/>
          <w:sz w:val="22"/>
        </w:rPr>
        <w:t>Not applicable.</w:t>
      </w:r>
    </w:p>
    <w:p w14:paraId="09FD6D90">
      <w:pPr>
        <w:spacing w:before="200" w:after="120" w:line="480" w:lineRule="auto"/>
      </w:pPr>
      <w:r>
        <w:rPr>
          <w:rFonts w:ascii="Times New Roman" w:hAnsi="Times New Roman" w:eastAsia="Times New Roman"/>
          <w:b/>
          <w:i w:val="0"/>
          <w:sz w:val="24"/>
        </w:rPr>
        <w:t>Authors' information</w:t>
      </w:r>
    </w:p>
    <w:p w14:paraId="71D5D999">
      <w:pPr>
        <w:spacing w:before="0" w:after="120" w:line="480" w:lineRule="auto"/>
        <w:jc w:val="both"/>
      </w:pPr>
      <w:r>
        <w:rPr>
          <w:rFonts w:ascii="Times New Roman" w:hAnsi="Times New Roman" w:eastAsia="Times New Roman"/>
          <w:b w:val="0"/>
          <w:i w:val="0"/>
          <w:sz w:val="22"/>
        </w:rPr>
        <w:t>Not applicable.</w:t>
      </w:r>
    </w:p>
    <w:p w14:paraId="29EA5B37">
      <w:pPr>
        <w:spacing w:before="280" w:after="120" w:line="480" w:lineRule="auto"/>
      </w:pPr>
      <w:r>
        <w:rPr>
          <w:rFonts w:ascii="Times New Roman" w:hAnsi="Times New Roman" w:eastAsia="Times New Roman"/>
          <w:b/>
          <w:i w:val="0"/>
          <w:sz w:val="28"/>
        </w:rPr>
        <w:t>Figure legends</w:t>
      </w:r>
    </w:p>
    <w:p w14:paraId="079A5749">
      <w:pPr>
        <w:spacing w:before="0" w:after="80" w:line="480" w:lineRule="auto"/>
        <w:jc w:val="left"/>
        <w:rPr>
          <w:rFonts w:ascii="Times New Roman" w:hAnsi="Times New Roman" w:eastAsia="Times New Roman"/>
          <w:b w:val="0"/>
          <w:i w:val="0"/>
          <w:sz w:val="20"/>
        </w:rPr>
      </w:pPr>
      <w:r>
        <w:drawing>
          <wp:inline distT="0" distB="0" distL="0" distR="0">
            <wp:extent cx="5943600" cy="3740785"/>
            <wp:effectExtent l="0" t="0" r="0" b="8255"/>
            <wp:docPr id="7" name="Fig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 descr="Figure 1"/>
                    <pic:cNvPicPr>
                      <a:picLocks noChangeAspect="1"/>
                    </pic:cNvPicPr>
                  </pic:nvPicPr>
                  <pic:blipFill>
                    <a:blip r:embed="rId7"/>
                    <a:stretch>
                      <a:fillRect/>
                    </a:stretch>
                  </pic:blipFill>
                  <pic:spPr>
                    <a:xfrm>
                      <a:off x="0" y="0"/>
                      <a:ext cx="5943600" cy="3741390"/>
                    </a:xfrm>
                    <a:prstGeom prst="rect">
                      <a:avLst/>
                    </a:prstGeom>
                  </pic:spPr>
                </pic:pic>
              </a:graphicData>
            </a:graphic>
          </wp:inline>
        </w:drawing>
      </w:r>
    </w:p>
    <w:p w14:paraId="6FDCB049">
      <w:pPr>
        <w:spacing w:before="0" w:after="80" w:line="480" w:lineRule="auto"/>
        <w:jc w:val="left"/>
      </w:pPr>
      <w:r>
        <w:rPr>
          <w:rFonts w:ascii="Times New Roman" w:hAnsi="Times New Roman" w:eastAsia="Times New Roman"/>
          <w:b w:val="0"/>
          <w:i w:val="0"/>
          <w:sz w:val="20"/>
        </w:rPr>
        <w:t xml:space="preserve">Figure 1. Study design and analytical workflow. </w:t>
      </w:r>
      <w:r>
        <w:rPr>
          <w:rFonts w:hint="eastAsia" w:eastAsia="宋体"/>
          <w:b w:val="0"/>
          <w:i w:val="0"/>
          <w:sz w:val="20"/>
          <w:lang w:val="en-US" w:eastAsia="zh-CN"/>
        </w:rPr>
        <w:t xml:space="preserve">(a) </w:t>
      </w:r>
      <w:r>
        <w:rPr>
          <w:rFonts w:ascii="Times New Roman" w:hAnsi="Times New Roman" w:eastAsia="Times New Roman"/>
          <w:b w:val="0"/>
          <w:i w:val="0"/>
          <w:sz w:val="20"/>
        </w:rPr>
        <w:t xml:space="preserve">Two GSE268807 donors contributed paired lesion and patient-matched internal-control tissue, giving four samples and a discovery object of 2,322 FCD II astrocytes. </w:t>
      </w:r>
      <w:r>
        <w:rPr>
          <w:rFonts w:hint="eastAsia" w:eastAsia="宋体"/>
          <w:b w:val="0"/>
          <w:i w:val="0"/>
          <w:sz w:val="20"/>
          <w:lang w:val="en-US" w:eastAsia="zh-CN"/>
        </w:rPr>
        <w:t xml:space="preserve">(b) </w:t>
      </w:r>
      <w:r>
        <w:rPr>
          <w:rFonts w:ascii="Times New Roman" w:hAnsi="Times New Roman" w:eastAsia="Times New Roman"/>
          <w:b w:val="0"/>
          <w:i w:val="0"/>
          <w:sz w:val="20"/>
        </w:rPr>
        <w:t xml:space="preserve">pySCENIC and AUCell inferred 105 motif-supported regulons, of which 76 differed between lesion tissue and internal control.</w:t>
      </w:r>
      <w:r>
        <w:rPr>
          <w:rFonts w:hint="eastAsia" w:eastAsia="宋体"/>
          <w:b w:val="0"/>
          <w:i w:val="0"/>
          <w:sz w:val="20"/>
          <w:lang w:val="en-US" w:eastAsia="zh-CN"/>
        </w:rPr>
        <w:t xml:space="preserve">(c) </w:t>
      </w:r>
      <w:r>
        <w:rPr>
          <w:rFonts w:ascii="Times New Roman" w:hAnsi="Times New Roman" w:eastAsia="Times New Roman"/>
          <w:b w:val="0"/>
          <w:i w:val="0"/>
          <w:sz w:val="20"/>
        </w:rPr>
        <w:t>A targeted literature screen qualified nine transcription factors, while uniform numerical criteria qualified 30, including 23 outside the literature-informed pool; their intersection gave the seven prioritised candidates, headed by NFE2L2,</w:t>
      </w:r>
      <w:r>
        <w:rPr>
          <w:rFonts w:hint="eastAsia" w:eastAsia="宋体"/>
          <w:b w:val="0"/>
          <w:i w:val="0"/>
          <w:sz w:val="20"/>
          <w:lang w:val="en-US" w:eastAsia="zh-CN"/>
        </w:rPr>
        <w:t xml:space="preserve"> </w:t>
      </w:r>
      <w:r>
        <w:rPr>
          <w:rFonts w:hint="default" w:eastAsia="Times New Roman"/>
          <w:b w:val="0"/>
          <w:i w:val="0"/>
          <w:sz w:val="20"/>
          <w:lang w:val="en-US" w:eastAsia="zh-CN"/>
        </w:rPr>
        <w:t>up</w:t>
      </w:r>
      <w:r>
        <w:rPr>
          <w:rFonts w:ascii="Times New Roman" w:hAnsi="Times New Roman" w:eastAsia="Times New Roman" w:cstheme="minorBidi"/>
          <w:sz w:val="20"/>
          <w:szCs w:val="22"/>
        </w:rPr>
        <w:t>regulated</w:t>
      </w:r>
      <w:r>
        <w:rPr>
          <w:rFonts w:ascii="Times New Roman" w:hAnsi="Times New Roman" w:eastAsia="Times New Roman"/>
          <w:b w:val="0"/>
          <w:i w:val="0"/>
          <w:sz w:val="20"/>
        </w:rPr>
        <w:t xml:space="preserve"> in lesion tissue, and THRB, </w:t>
      </w:r>
      <w:r>
        <w:rPr>
          <w:rFonts w:ascii="Times New Roman" w:hAnsi="Times New Roman" w:eastAsia="Times New Roman" w:cstheme="minorBidi"/>
          <w:sz w:val="20"/>
          <w:szCs w:val="22"/>
        </w:rPr>
        <w:t>downregulated</w:t>
      </w:r>
      <w:r>
        <w:rPr>
          <w:rFonts w:ascii="Times New Roman" w:hAnsi="Times New Roman" w:eastAsia="Times New Roman"/>
          <w:b w:val="0"/>
          <w:i w:val="0"/>
          <w:sz w:val="20"/>
        </w:rPr>
        <w:t xml:space="preserve"> in lesion tissue, with SATB2, SOX2, SMAD3, SOX10 and CUX1 as supporting candidates. </w:t>
      </w:r>
      <w:r>
        <w:rPr>
          <w:rFonts w:hint="eastAsia" w:eastAsia="宋体"/>
          <w:b w:val="0"/>
          <w:i w:val="0"/>
          <w:sz w:val="20"/>
          <w:lang w:val="en-US" w:eastAsia="zh-CN"/>
        </w:rPr>
        <w:t xml:space="preserve">(d) </w:t>
      </w:r>
      <w:r>
        <w:rPr>
          <w:rFonts w:ascii="Times New Roman" w:hAnsi="Times New Roman" w:eastAsia="Times New Roman"/>
          <w:b w:val="0"/>
          <w:i w:val="0"/>
          <w:sz w:val="20"/>
        </w:rPr>
        <w:t>The downstream analyses assessed all seven candidates by CellOracle in silico perturbation and for expression-scale, donor, threshold and network sensitivity and for functional annotation.</w:t>
      </w:r>
    </w:p>
    <w:p w14:paraId="768BC566">
      <w:pPr>
        <w:suppressLineNumbers/>
        <w:spacing w:before="120" w:after="240" w:line="240" w:lineRule="auto"/>
        <w:jc w:val="center"/>
        <w:rPr>
          <w:rFonts w:hint="eastAsia" w:eastAsia="宋体"/>
          <w:lang w:eastAsia="zh-CN"/>
        </w:rPr>
      </w:pPr>
      <w:r>
        <w:rPr>
          <w:rFonts w:hint="eastAsia" w:eastAsia="宋体"/>
          <w:lang w:eastAsia="zh-CN"/>
        </w:rPr>
        <w:drawing>
          <wp:inline distT="0" distB="0" distL="114300" distR="114300">
            <wp:extent cx="5970905" cy="5852795"/>
            <wp:effectExtent l="0" t="0" r="3175" b="14605"/>
            <wp:docPr id="3" name="图片 3"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2"/>
                    <pic:cNvPicPr>
                      <a:picLocks noChangeAspect="1"/>
                    </pic:cNvPicPr>
                  </pic:nvPicPr>
                  <pic:blipFill>
                    <a:blip r:embed="rId8"/>
                    <a:stretch>
                      <a:fillRect/>
                    </a:stretch>
                  </pic:blipFill>
                  <pic:spPr>
                    <a:xfrm>
                      <a:off x="0" y="0"/>
                      <a:ext cx="5970905" cy="5852795"/>
                    </a:xfrm>
                    <a:prstGeom prst="rect">
                      <a:avLst/>
                    </a:prstGeom>
                  </pic:spPr>
                </pic:pic>
              </a:graphicData>
            </a:graphic>
          </wp:inline>
        </w:drawing>
      </w:r>
    </w:p>
    <w:p w14:paraId="1820D589">
      <w:pPr>
        <w:spacing w:before="0" w:after="80" w:line="480" w:lineRule="auto"/>
        <w:jc w:val="left"/>
      </w:pPr>
      <w:r>
        <w:rPr>
          <w:rFonts w:ascii="Times New Roman" w:hAnsi="Times New Roman" w:eastAsia="Times New Roman"/>
          <w:b w:val="0"/>
          <w:i w:val="0"/>
          <w:sz w:val="20"/>
        </w:rPr>
        <w:t>Figure 2. Regulon activity landscape across the paired samples. (</w:t>
      </w:r>
      <w:r>
        <w:rPr>
          <w:rFonts w:hint="eastAsia" w:eastAsia="宋体"/>
          <w:b w:val="0"/>
          <w:i w:val="0"/>
          <w:sz w:val="20"/>
          <w:lang w:val="en-US" w:eastAsia="zh-CN"/>
        </w:rPr>
        <w:t>a</w:t>
      </w:r>
      <w:r>
        <w:rPr>
          <w:rFonts w:ascii="Times New Roman" w:hAnsi="Times New Roman" w:eastAsia="Times New Roman"/>
          <w:b w:val="0"/>
          <w:i w:val="0"/>
          <w:sz w:val="20"/>
        </w:rPr>
        <w:t>) Row-standardised sample-mean AUCell activity for the seven prioritised candidates across the four samples; Int. ctrl is the patient-matched internal control of the same donor. (</w:t>
      </w:r>
      <w:r>
        <w:rPr>
          <w:rFonts w:hint="eastAsia" w:eastAsia="宋体"/>
          <w:b w:val="0"/>
          <w:i w:val="0"/>
          <w:sz w:val="20"/>
          <w:lang w:val="en-US" w:eastAsia="zh-CN"/>
        </w:rPr>
        <w:t>b</w:t>
      </w:r>
      <w:r>
        <w:rPr>
          <w:rFonts w:ascii="Times New Roman" w:hAnsi="Times New Roman" w:eastAsia="Times New Roman"/>
          <w:b w:val="0"/>
          <w:i w:val="0"/>
          <w:sz w:val="20"/>
        </w:rPr>
        <w:t xml:space="preserve">) Lesion minus internal-control mean AUCell difference against the -log10 cell-level q value (Benjamini–Hochberg FDR) for all 105 motif-supported regulons; teal points mark the seven prioritised candidates, with THRB</w:t>
      </w:r>
      <w:r>
        <w:rPr>
          <w:rFonts w:hint="eastAsia" w:ascii="Times New Roman" w:hAnsi="Times New Roman" w:eastAsia="Times New Roman"/>
          <w:b w:val="0"/>
          <w:i w:val="0"/>
          <w:sz w:val="20"/>
        </w:rPr>
        <w:t>, SATB2, SMAD3, SOX10 and CUX1</w:t>
      </w:r>
      <w:r>
        <w:rPr>
          <w:rFonts w:ascii="Times New Roman" w:hAnsi="Times New Roman" w:eastAsia="Times New Roman"/>
          <w:b w:val="0"/>
          <w:i w:val="0"/>
          <w:sz w:val="20"/>
        </w:rPr>
        <w:t xml:space="preserve"> reduced in lesion tissue (negative difference) and NFE2L2 and SOX2 increased in lesion tissue (positive difference). (</w:t>
      </w:r>
      <w:r>
        <w:rPr>
          <w:rFonts w:hint="eastAsia" w:eastAsia="宋体"/>
          <w:b w:val="0"/>
          <w:i w:val="0"/>
          <w:sz w:val="20"/>
          <w:lang w:val="en-US" w:eastAsia="zh-CN"/>
        </w:rPr>
        <w:t>c</w:t>
      </w:r>
      <w:r>
        <w:rPr>
          <w:rFonts w:ascii="Times New Roman" w:hAnsi="Times New Roman" w:eastAsia="Times New Roman"/>
          <w:b w:val="0"/>
          <w:i w:val="0"/>
          <w:sz w:val="20"/>
        </w:rPr>
        <w:t>,</w:t>
      </w:r>
      <w:r>
        <w:rPr>
          <w:rFonts w:hint="eastAsia" w:eastAsia="宋体"/>
          <w:b w:val="0"/>
          <w:i w:val="0"/>
          <w:sz w:val="20"/>
          <w:lang w:val="en-US" w:eastAsia="zh-CN"/>
        </w:rPr>
        <w:t>d</w:t>
      </w:r>
      <w:r>
        <w:rPr>
          <w:rFonts w:ascii="Times New Roman" w:hAnsi="Times New Roman" w:eastAsia="Times New Roman"/>
          <w:b w:val="0"/>
          <w:i w:val="0"/>
          <w:sz w:val="20"/>
        </w:rPr>
        <w:t>) Sample-mean AUCell activity of NFE2L2 and THRB; each bar is the mean of the two samples of one condition, the overlaid points are the individual samples (blue, internal control; orange, lesion; circles, donor G120; diamonds, donor G133) and the error bars are the standard deviation across the two samples, with the y-axis truncated to the observed range. (e) NFE2L2 regulon activity on the shared UMAP embedding of the 2,322 astrocytes, coloured by AUCell activity. (f) THRB regulon activity on the same embedding. (g) Principal component analysis of the full 105-regulon AUCell matrix; PC1 separates the two conditions and PC2 the two donors, and 2-standard-deviation covariance ellipses are drawn for each condition (colour, condition; marker shape, donor).</w:t>
      </w:r>
    </w:p>
    <w:p w14:paraId="4D260156">
      <w:pPr>
        <w:suppressLineNumbers/>
        <w:spacing w:before="120" w:after="240" w:line="240" w:lineRule="auto"/>
        <w:jc w:val="center"/>
        <w:rPr>
          <w:rFonts w:hint="eastAsia" w:eastAsia="宋体"/>
          <w:lang w:eastAsia="zh-CN"/>
        </w:rPr>
      </w:pPr>
      <w:r>
        <w:rPr>
          <w:rFonts w:hint="eastAsia" w:eastAsia="宋体"/>
          <w:lang w:eastAsia="zh-CN"/>
        </w:rPr>
        <w:drawing>
          <wp:inline distT="0" distB="0" distL="114300" distR="114300">
            <wp:extent cx="5970905" cy="4758055"/>
            <wp:effectExtent l="0" t="0" r="3175" b="12065"/>
            <wp:docPr id="6" name="图片 6"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3"/>
                    <pic:cNvPicPr>
                      <a:picLocks noChangeAspect="1"/>
                    </pic:cNvPicPr>
                  </pic:nvPicPr>
                  <pic:blipFill>
                    <a:blip r:embed="rId9"/>
                    <a:stretch>
                      <a:fillRect/>
                    </a:stretch>
                  </pic:blipFill>
                  <pic:spPr>
                    <a:xfrm>
                      <a:off x="0" y="0"/>
                      <a:ext cx="5970905" cy="4758055"/>
                    </a:xfrm>
                    <a:prstGeom prst="rect">
                      <a:avLst/>
                    </a:prstGeom>
                  </pic:spPr>
                </pic:pic>
              </a:graphicData>
            </a:graphic>
          </wp:inline>
        </w:drawing>
      </w:r>
    </w:p>
    <w:p w14:paraId="0AC46841">
      <w:pPr>
        <w:spacing w:before="0" w:after="80" w:line="480" w:lineRule="auto"/>
        <w:jc w:val="left"/>
      </w:pPr>
      <w:r>
        <w:rPr>
          <w:rFonts w:ascii="Times New Roman" w:hAnsi="Times New Roman" w:eastAsia="Times New Roman"/>
          <w:b w:val="0"/>
          <w:i w:val="0"/>
          <w:sz w:val="20"/>
        </w:rPr>
        <w:t>Figure 3. In silico perturbation, network-edge sensitivity and a local vector field. (</w:t>
      </w:r>
      <w:r>
        <w:rPr>
          <w:rFonts w:hint="eastAsia" w:eastAsia="宋体"/>
          <w:b w:val="0"/>
          <w:i w:val="0"/>
          <w:sz w:val="20"/>
          <w:lang w:val="en-US" w:eastAsia="zh-CN"/>
        </w:rPr>
        <w:t>a</w:t>
      </w:r>
      <w:r>
        <w:rPr>
          <w:rFonts w:ascii="Times New Roman" w:hAnsi="Times New Roman" w:eastAsia="Times New Roman"/>
          <w:b w:val="0"/>
          <w:i w:val="0"/>
          <w:sz w:val="20"/>
        </w:rPr>
        <w:t>) Mean perturbation displacement for each of the seven prioritised candidates on the extended network that contains all seven candidates, compared with the mean and range of the randomised-control displacement across three seeds; NFE2L2 gives the largest displacement and THRB the second largest. (</w:t>
      </w:r>
      <w:r>
        <w:rPr>
          <w:rFonts w:hint="eastAsia" w:eastAsia="宋体"/>
          <w:b w:val="0"/>
          <w:i w:val="0"/>
          <w:sz w:val="20"/>
          <w:lang w:val="en-US" w:eastAsia="zh-CN"/>
        </w:rPr>
        <w:t>b</w:t>
      </w:r>
      <w:r>
        <w:rPr>
          <w:rFonts w:ascii="Times New Roman" w:hAnsi="Times New Roman" w:eastAsia="Times New Roman"/>
          <w:b w:val="0"/>
          <w:i w:val="0"/>
          <w:sz w:val="20"/>
        </w:rPr>
        <w:t>) Within-donor lesion minus internal-control net displacement. (</w:t>
      </w:r>
      <w:r>
        <w:rPr>
          <w:rFonts w:hint="eastAsia" w:eastAsia="宋体"/>
          <w:b w:val="0"/>
          <w:i w:val="0"/>
          <w:sz w:val="20"/>
          <w:lang w:val="en-US" w:eastAsia="zh-CN"/>
        </w:rPr>
        <w:t>c</w:t>
      </w:r>
      <w:r>
        <w:rPr>
          <w:rFonts w:ascii="Times New Roman" w:hAnsi="Times New Roman" w:eastAsia="Times New Roman"/>
          <w:b w:val="0"/>
          <w:i w:val="0"/>
          <w:sz w:val="20"/>
        </w:rPr>
        <w:t>) Mean displacement on the original network against the same perturbation restricted to motif-supported edges with the embedding held fixed; the percentage change is annotated for each candidate, and NFE2L2 changes least while CUX1 changes most. (</w:t>
      </w:r>
      <w:r>
        <w:rPr>
          <w:rFonts w:hint="eastAsia" w:eastAsia="宋体"/>
          <w:b w:val="0"/>
          <w:i w:val="0"/>
          <w:sz w:val="20"/>
          <w:lang w:val="en-US" w:eastAsia="zh-CN"/>
        </w:rPr>
        <w:t>d</w:t>
      </w:r>
      <w:r>
        <w:rPr>
          <w:rFonts w:ascii="Times New Roman" w:hAnsi="Times New Roman" w:eastAsia="Times New Roman"/>
          <w:b w:val="0"/>
          <w:i w:val="0"/>
          <w:sz w:val="20"/>
        </w:rPr>
        <w:t>) Local vector field for NFE2L2 on the shared UMAP embedding of 2,322 astrocytes, with arrows showing the local mean observed displacement minus the paired randomised-control displacement. The corresponding THRB field is provided in Additional file 1, Figure S3. All panels are outputs of the same simulation framework. (e) Per-nucleus displacement magnitude of the seven candidates split by condition, with the median of each group marked; the grey dashed line is the median of the randomised-control displacement, which the specific displacement exceeds in almost every nucleus.</w:t>
      </w:r>
    </w:p>
    <w:p w14:paraId="0A2353DF">
      <w:pPr>
        <w:suppressLineNumbers/>
        <w:spacing w:before="120" w:after="240" w:line="240" w:lineRule="auto"/>
        <w:jc w:val="both"/>
      </w:pPr>
    </w:p>
    <w:p w14:paraId="0E6A15EC">
      <w:pPr>
        <w:spacing w:before="0" w:after="80" w:line="480" w:lineRule="auto"/>
        <w:jc w:val="left"/>
      </w:pPr>
      <w:r>
        <w:drawing>
          <wp:inline distT="0" distB="0" distL="0" distR="0">
            <wp:extent cx="5943600" cy="2531110"/>
            <wp:effectExtent l="0" t="0" r="0" b="13970"/>
            <wp:docPr id="5" name="Fig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descr="Figure 4"/>
                    <pic:cNvPicPr>
                      <a:picLocks noChangeAspect="1"/>
                    </pic:cNvPicPr>
                  </pic:nvPicPr>
                  <pic:blipFill>
                    <a:blip r:embed="rId10"/>
                    <a:stretch>
                      <a:fillRect/>
                    </a:stretch>
                  </pic:blipFill>
                  <pic:spPr>
                    <a:xfrm>
                      <a:off x="0" y="0"/>
                      <a:ext cx="5943600" cy="2531689"/>
                    </a:xfrm>
                    <a:prstGeom prst="rect">
                      <a:avLst/>
                    </a:prstGeom>
                  </pic:spPr>
                </pic:pic>
              </a:graphicData>
            </a:graphic>
          </wp:inline>
        </w:drawing>
      </w:r>
    </w:p>
    <w:p>
      <w:pPr>
        <w:spacing w:before="0" w:after="80" w:line="480" w:lineRule="auto"/>
        <w:jc w:val="left"/>
      </w:pPr>
      <w:r>
        <w:rPr>
          <w:rFonts w:ascii="Times New Roman" w:hAnsi="Times New Roman" w:eastAsia="Times New Roman"/>
          <w:b w:val="0"/>
          <w:i w:val="0"/>
          <w:sz w:val="20"/>
        </w:rPr>
        <w:t>Figure 4. Expression-scale and donor-pseudobulk robustness of the prioritised candidates. (</w:t>
      </w:r>
      <w:r>
        <w:rPr>
          <w:rFonts w:hint="eastAsia" w:eastAsia="宋体"/>
          <w:b w:val="0"/>
          <w:i w:val="0"/>
          <w:sz w:val="20"/>
          <w:lang w:val="en-US" w:eastAsia="zh-CN"/>
        </w:rPr>
        <w:t>a</w:t>
      </w:r>
      <w:r>
        <w:rPr>
          <w:rFonts w:ascii="Times New Roman" w:hAnsi="Times New Roman" w:eastAsia="Times New Roman"/>
          <w:b w:val="0"/>
          <w:i w:val="0"/>
          <w:sz w:val="20"/>
        </w:rPr>
        <w:t>) Screening-scale log2 ratio of mean log1p(CP10K), R. (</w:t>
      </w:r>
      <w:r>
        <w:rPr>
          <w:rFonts w:hint="eastAsia" w:eastAsia="宋体"/>
          <w:b w:val="0"/>
          <w:i w:val="0"/>
          <w:sz w:val="20"/>
          <w:lang w:val="en-US" w:eastAsia="zh-CN"/>
        </w:rPr>
        <w:t>b</w:t>
      </w:r>
      <w:r>
        <w:rPr>
          <w:rFonts w:ascii="Times New Roman" w:hAnsi="Times New Roman" w:eastAsia="Times New Roman"/>
          <w:b w:val="0"/>
          <w:i w:val="0"/>
          <w:sz w:val="20"/>
        </w:rPr>
        <w:t>) Linear-scale log2 fold change of mean CP10K, L; SMAD3 falls inside the 0.25 threshold band. (</w:t>
      </w:r>
      <w:r>
        <w:rPr>
          <w:rFonts w:hint="eastAsia" w:eastAsia="宋体"/>
          <w:b w:val="0"/>
          <w:i w:val="0"/>
          <w:sz w:val="20"/>
          <w:lang w:val="en-US" w:eastAsia="zh-CN"/>
        </w:rPr>
        <w:t>c</w:t>
      </w:r>
      <w:r>
        <w:rPr>
          <w:rFonts w:ascii="Times New Roman" w:hAnsi="Times New Roman" w:eastAsia="Times New Roman"/>
          <w:b w:val="0"/>
          <w:i w:val="0"/>
          <w:sz w:val="20"/>
        </w:rPr>
        <w:t>) Donor-paired pseudobulk log2 fold change from CPM + 1; lines join the values from donors G120 and G133 for the same transcription factor, and SMAD3 is the only candidate whose donors disagree in direction.</w:t>
      </w:r>
    </w:p>
    <w:p w14:paraId="073F9A2F">
      <w:pPr>
        <w:suppressLineNumbers/>
        <w:spacing w:before="120" w:after="240" w:line="240" w:lineRule="auto"/>
        <w:jc w:val="both"/>
      </w:pPr>
    </w:p>
    <w:p w14:paraId="079D658A">
      <w:pPr>
        <w:spacing w:before="0" w:after="80" w:line="480" w:lineRule="auto"/>
        <w:jc w:val="center"/>
        <w:rPr>
          <w:rFonts w:ascii="Times New Roman" w:hAnsi="Times New Roman" w:eastAsia="Times New Roman"/>
          <w:b w:val="0"/>
          <w:i w:val="0"/>
          <w:sz w:val="20"/>
        </w:rPr>
      </w:pPr>
      <w:r>
        <w:drawing>
          <wp:inline distT="0" distB="0" distL="0" distR="0">
            <wp:extent cx="5943600" cy="6454775"/>
            <wp:effectExtent l="0" t="0" r="0" b="6985"/>
            <wp:docPr id="4" name="Figure 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5" descr="Figure 5"/>
                    <pic:cNvPicPr>
                      <a:picLocks noChangeAspect="1"/>
                    </pic:cNvPicPr>
                  </pic:nvPicPr>
                  <pic:blipFill>
                    <a:blip r:embed="rId11"/>
                    <a:stretch>
                      <a:fillRect/>
                    </a:stretch>
                  </pic:blipFill>
                  <pic:spPr>
                    <a:xfrm>
                      <a:off x="0" y="0"/>
                      <a:ext cx="5943600" cy="6454968"/>
                    </a:xfrm>
                    <a:prstGeom prst="rect">
                      <a:avLst/>
                    </a:prstGeom>
                  </pic:spPr>
                </pic:pic>
              </a:graphicData>
            </a:graphic>
          </wp:inline>
        </w:drawing>
      </w:r>
    </w:p>
    <w:p w14:paraId="7AD9C94E">
      <w:pPr>
        <w:suppressLineNumbers w:val="0"/>
        <w:spacing w:before="0" w:after="80" w:line="480" w:lineRule="auto"/>
        <w:jc w:val="left"/>
      </w:pPr>
      <w:r>
        <w:rPr>
          <w:rFonts w:ascii="Times New Roman" w:hAnsi="Times New Roman" w:eastAsia="Times New Roman"/>
          <w:b w:val="0"/>
          <w:i w:val="0"/>
          <w:sz w:val="20"/>
        </w:rPr>
        <w:t>Figure 5. Functional enrichment of the seven prioritised candidates. (</w:t>
      </w:r>
      <w:r>
        <w:rPr>
          <w:rFonts w:hint="eastAsia" w:eastAsia="宋体"/>
          <w:b w:val="0"/>
          <w:i w:val="0"/>
          <w:sz w:val="20"/>
          <w:lang w:val="en-US" w:eastAsia="zh-CN"/>
        </w:rPr>
        <w:t>a</w:t>
      </w:r>
      <w:r>
        <w:rPr>
          <w:rFonts w:ascii="Times New Roman" w:hAnsi="Times New Roman" w:eastAsia="Times New Roman"/>
          <w:b w:val="0"/>
          <w:i w:val="0"/>
          <w:sz w:val="20"/>
        </w:rPr>
        <w:t>) Number of significant GO and KEGG terms after full-family FDR correction for the regulon-target query and the direction-consistent intersection; both queries were run for all seven candidates, SOX2 had no significant regulon-target term but two significant GO terms in its intersection, and SOX10 and CUX1 had none in either query. (</w:t>
      </w:r>
      <w:r>
        <w:rPr>
          <w:rFonts w:hint="eastAsia" w:eastAsia="宋体"/>
          <w:b w:val="0"/>
          <w:i w:val="0"/>
          <w:sz w:val="20"/>
          <w:lang w:val="en-US" w:eastAsia="zh-CN"/>
        </w:rPr>
        <w:t>b,c</w:t>
      </w:r>
      <w:r>
        <w:rPr>
          <w:rFonts w:ascii="Times New Roman" w:hAnsi="Times New Roman" w:eastAsia="Times New Roman"/>
          <w:b w:val="0"/>
          <w:i w:val="0"/>
          <w:sz w:val="20"/>
        </w:rPr>
        <w:t>) Up to three representative significant GO or KEGG terms per candidate and annotation source, selected by corrected FDR within the regulon-target query, with dot area showing overlapping genes and colour showing the corrected significance.</w:t>
      </w:r>
    </w:p>
    <w:p w14:paraId="082A9522">
      <w:pPr>
        <w:spacing w:before="280" w:after="120" w:line="480" w:lineRule="auto"/>
      </w:pPr>
      <w:r>
        <w:rPr>
          <w:rFonts w:ascii="Times New Roman" w:hAnsi="Times New Roman" w:eastAsia="Times New Roman"/>
          <w:b/>
          <w:i w:val="0"/>
          <w:sz w:val="28"/>
        </w:rPr>
        <w:t>Additional files</w:t>
      </w:r>
    </w:p>
    <w:p w14:paraId="7B31C2E7">
      <w:pPr>
        <w:spacing w:before="0" w:after="120" w:line="480" w:lineRule="auto"/>
        <w:jc w:val="both"/>
      </w:pPr>
      <w:r>
        <w:rPr>
          <w:rFonts w:ascii="Times New Roman" w:hAnsi="Times New Roman" w:eastAsia="Times New Roman"/>
          <w:b w:val="0"/>
          <w:i w:val="0"/>
          <w:sz w:val="22"/>
        </w:rPr>
        <w:t>Additional file 1. File name: Additional file 1. File format: .zip archive containing six .tiff images and one .md file. Title: Supplementary Figures S1-S6. Description: Figure S1, discovery object construction and quality control; Figure S2, full differential regulon landscape; Figure S3, CellOracle supplementary perturbation view (permutation reference distributions, the THRB transcription-factor-specific residual field, and the per-donor NFE2L2 network-specific fields); Figure S4, supportive external evidence for all seven prioritized candidates; Figure S5, functional enrichment and convergence; Figure S6, drug-signature enrichment of the candidate programs. The complete legends for Figures S1-S6 are provided in Supplementary_Figure_Legends.md.</w:t>
      </w:r>
    </w:p>
    <w:p w14:paraId="1A335938">
      <w:pPr>
        <w:spacing w:before="0" w:after="120" w:line="480" w:lineRule="auto"/>
        <w:jc w:val="both"/>
      </w:pPr>
      <w:r>
        <w:rPr>
          <w:rFonts w:ascii="Times New Roman" w:hAnsi="Times New Roman" w:eastAsia="Times New Roman"/>
          <w:b w:val="0"/>
          <w:i w:val="0"/>
          <w:sz w:val="22"/>
        </w:rPr>
        <w:t>Additional file 2. File name: Additional file 2. File format: .zip archive containing one .xlsx workbook and one .md file. Title: Supplementary Tables ST01-ST09. Description: ST01, dataset roles; ST02, candidate transcription-factor shortlist; ST03, integrated transcription-factor prioritisation; ST04, differential regulon statistics for all 105 regulons; ST05, CellOracle perturbation metrics; ST06, expression-scale, donor, threshold and network sensitivity; ST07, supportive external expression analysis; ST08, functional enrichment; ST09, drug-signature enrichment, lead compounds and blood-brain barrier annotation. The complete legends for ST01-ST09 are provided in Supplementary_Table_Legends.md.</w:t>
      </w:r>
    </w:p>
    <w:p w14:paraId="77A41932">
      <w:pPr>
        <w:spacing w:before="280" w:after="120" w:line="480" w:lineRule="auto"/>
      </w:pPr>
      <w:r>
        <w:rPr>
          <w:rFonts w:ascii="Times New Roman" w:hAnsi="Times New Roman" w:eastAsia="Times New Roman"/>
          <w:b/>
          <w:i w:val="0"/>
          <w:sz w:val="28"/>
        </w:rPr>
        <w:t>References</w:t>
      </w:r>
    </w:p>
    <w:p w14:paraId="32F5524E">
      <w:pPr>
        <w:spacing w:before="0" w:after="80" w:line="480" w:lineRule="auto"/>
        <w:jc w:val="left"/>
      </w:pPr>
      <w:r>
        <w:rPr>
          <w:rFonts w:ascii="Times New Roman" w:hAnsi="Times New Roman" w:eastAsia="Times New Roman"/>
          <w:b w:val="0"/>
          <w:i w:val="0"/>
          <w:sz w:val="20"/>
        </w:rPr>
        <w:t>1. Najm I, Lal D, Alonso Vanegas M, Cendes F, Lopes-Cendes I, Palmini A, et al. The ILAE consensus classification of focal cortical dysplasia: an update proposed by an ad hoc task force of the ILAE Diagnostic Methods Commission. Epilepsia. 2022;63(8):1899-1919. doi:10.1111/epi.17301.</w:t>
      </w:r>
    </w:p>
    <w:p w14:paraId="3F0B02CF">
      <w:pPr>
        <w:spacing w:before="0" w:after="80" w:line="480" w:lineRule="auto"/>
        <w:jc w:val="left"/>
      </w:pPr>
      <w:r>
        <w:rPr>
          <w:rFonts w:ascii="Times New Roman" w:hAnsi="Times New Roman" w:eastAsia="Times New Roman"/>
          <w:b w:val="0"/>
          <w:i w:val="0"/>
          <w:sz w:val="20"/>
        </w:rPr>
        <w:t>2. Blumcke I, Thom M, Aronica E, Armstrong DD, Vinters HV, Palmini A, et al. The clinicopathologic spectrum of focal cortical dysplasias: a consensus classification proposed by an ad hoc Task Force of the ILAE Diagnostic Methods Commission. Epilepsia. 2011;52(1):158-174. doi:10.1111/j.1528-1167.2010.02777.x.</w:t>
      </w:r>
    </w:p>
    <w:p w14:paraId="33337CD2">
      <w:pPr>
        <w:spacing w:before="0" w:after="80" w:line="480" w:lineRule="auto"/>
        <w:jc w:val="left"/>
      </w:pPr>
      <w:r>
        <w:rPr>
          <w:rFonts w:ascii="Times New Roman" w:hAnsi="Times New Roman" w:eastAsia="Times New Roman"/>
          <w:b w:val="0"/>
          <w:i w:val="0"/>
          <w:sz w:val="20"/>
        </w:rPr>
        <w:t>3. Crino PB. Focal cortical dysplasia. Semin Neurol. 2015;35(3):201-208. doi:10.1055/s-0035-1552617.</w:t>
      </w:r>
    </w:p>
    <w:p w14:paraId="17518543">
      <w:pPr>
        <w:spacing w:before="0" w:after="80" w:line="480" w:lineRule="auto"/>
        <w:jc w:val="left"/>
      </w:pPr>
      <w:r>
        <w:rPr>
          <w:rFonts w:ascii="Times New Roman" w:hAnsi="Times New Roman" w:eastAsia="Times New Roman"/>
          <w:b w:val="0"/>
          <w:i w:val="0"/>
          <w:sz w:val="20"/>
        </w:rPr>
        <w:t>4. Lim JS, Kim WI, Kang HC, Kim SH, Park AH, Park EK, et al. Brain somatic mutations in MTOR cause focal cortical dysplasia type II leading to intractable epilepsy. Nat Med. 2015;21(4):395-400. doi:10.1038/nm.3824.</w:t>
      </w:r>
    </w:p>
    <w:p w14:paraId="54C9BDC1">
      <w:pPr>
        <w:spacing w:before="0" w:after="80" w:line="480" w:lineRule="auto"/>
        <w:jc w:val="left"/>
      </w:pPr>
      <w:r>
        <w:rPr>
          <w:rFonts w:ascii="Times New Roman" w:hAnsi="Times New Roman" w:eastAsia="Times New Roman"/>
          <w:b w:val="0"/>
          <w:i w:val="0"/>
          <w:sz w:val="20"/>
        </w:rPr>
        <w:t>5. Moller RS, Weckhuysen S, Chipaux M, Marsan E, Taly V, Bebin EM, et al. Germline and somatic mutations in the MTOR gene in focal cortical dysplasia and epilepsy. Neurol Genet. 2016;2(6):e118. doi:10.1212/NXG.0000000000000118.</w:t>
      </w:r>
    </w:p>
    <w:p w14:paraId="6C1BED3D">
      <w:pPr>
        <w:spacing w:before="0" w:after="80" w:line="480" w:lineRule="auto"/>
        <w:jc w:val="left"/>
      </w:pPr>
      <w:r>
        <w:rPr>
          <w:rFonts w:ascii="Times New Roman" w:hAnsi="Times New Roman" w:eastAsia="Times New Roman"/>
          <w:b w:val="0"/>
          <w:i w:val="0"/>
          <w:sz w:val="20"/>
        </w:rPr>
        <w:t>6. Galvao IC, Lemoine M, Messias LA, Araujo PAORA, Geraldis JC, Yasuda CL, et al. Multimodal single-cell profiling reveals neuronal vulnerability and pathological cell states in focal cortical dysplasia. iScience. 2024;27(12):111337. doi:10.1016/j.isci.2024.111337.</w:t>
      </w:r>
    </w:p>
    <w:p w14:paraId="49ADA1BB">
      <w:pPr>
        <w:spacing w:before="0" w:after="80" w:line="480" w:lineRule="auto"/>
        <w:jc w:val="left"/>
      </w:pPr>
      <w:r>
        <w:rPr>
          <w:rFonts w:ascii="Times New Roman" w:hAnsi="Times New Roman" w:eastAsia="Times New Roman"/>
          <w:b w:val="0"/>
          <w:i w:val="0"/>
          <w:sz w:val="20"/>
        </w:rPr>
        <w:t>7. Galvao IC, Kandratavicius L, Messias LA, Athie MCP, Assis-Mendonca GR, Alvim MKM, et al. Identifying cellular markers of focal cortical dysplasia type II with cell-type deconvolution and single-cell signatures. Sci Rep. 2023;13(1):13321. doi:10.1038/s41598-023-40240-3.</w:t>
      </w:r>
    </w:p>
    <w:p w14:paraId="1E5E12CF">
      <w:pPr>
        <w:spacing w:before="0" w:after="80" w:line="480" w:lineRule="auto"/>
        <w:jc w:val="left"/>
      </w:pPr>
      <w:r>
        <w:rPr>
          <w:rFonts w:ascii="Times New Roman" w:hAnsi="Times New Roman" w:eastAsia="Times New Roman"/>
          <w:b w:val="0"/>
          <w:i w:val="0"/>
          <w:sz w:val="20"/>
        </w:rPr>
        <w:t>8. Wang Y, Wang Y, Guo L, Shen C, Fu Y, Wei P, et al. Spatial transcriptomics in focal cortical dysplasia type IIb. Acta Neuropathol Commun. 2024;12(1):185. doi:10.1186/s40478-024-01897-7.</w:t>
      </w:r>
    </w:p>
    <w:p w14:paraId="1FEE89B1">
      <w:pPr>
        <w:spacing w:before="0" w:after="80" w:line="480" w:lineRule="auto"/>
        <w:jc w:val="left"/>
      </w:pPr>
      <w:r>
        <w:rPr>
          <w:rFonts w:ascii="Times New Roman" w:hAnsi="Times New Roman" w:eastAsia="Times New Roman"/>
          <w:b w:val="0"/>
          <w:i w:val="0"/>
          <w:sz w:val="20"/>
        </w:rPr>
        <w:t>9. Vermeulen I, Rodriguez-Alvarez N, Francois L, Viot D, Poosti F, Aronica E, et al. Spatial omics reveals molecular changes in focal cortical dysplasia type II. Neurobiol Dis. 2024;195:106491. doi:10.1016/j.nbd.2024.106491.</w:t>
      </w:r>
    </w:p>
    <w:p w14:paraId="75A2BF06">
      <w:pPr>
        <w:spacing w:before="0" w:after="80" w:line="480" w:lineRule="auto"/>
        <w:jc w:val="left"/>
      </w:pPr>
      <w:r>
        <w:rPr>
          <w:rFonts w:ascii="Times New Roman" w:hAnsi="Times New Roman" w:eastAsia="Times New Roman"/>
          <w:b w:val="0"/>
          <w:i w:val="0"/>
          <w:sz w:val="20"/>
        </w:rPr>
        <w:t>10. Seifert G, Carmignoto G, Steinhauser C. Astrocyte dysfunction in epilepsy. Brain Res Rev. 2010;63(1-2):212-221. doi:10.1016/j.brainresrev.2009.10.004.</w:t>
      </w:r>
    </w:p>
    <w:p w14:paraId="7279132E">
      <w:pPr>
        <w:spacing w:before="0" w:after="80" w:line="480" w:lineRule="auto"/>
        <w:jc w:val="left"/>
      </w:pPr>
      <w:r>
        <w:rPr>
          <w:rFonts w:ascii="Times New Roman" w:hAnsi="Times New Roman" w:eastAsia="Times New Roman"/>
          <w:b w:val="0"/>
          <w:i w:val="0"/>
          <w:sz w:val="20"/>
        </w:rPr>
        <w:t>11. Coulter DA, Eid T. Astrocytic regulation of glutamate homeostasis in epilepsy. Glia. 2012;60(8):1215-1226. doi:10.1002/glia.22341.</w:t>
      </w:r>
    </w:p>
    <w:p w14:paraId="7D17203A">
      <w:pPr>
        <w:spacing w:before="0" w:after="80" w:line="480" w:lineRule="auto"/>
        <w:jc w:val="left"/>
      </w:pPr>
      <w:r>
        <w:rPr>
          <w:rFonts w:ascii="Times New Roman" w:hAnsi="Times New Roman" w:eastAsia="Times New Roman"/>
          <w:b w:val="0"/>
          <w:i w:val="0"/>
          <w:sz w:val="20"/>
        </w:rPr>
        <w:t>12. Boison D, Steinhauser C. Epilepsy and astrocyte energy metabolism. Glia. 2018;66(6):1235-1243. doi:10.1002/glia.23247.</w:t>
      </w:r>
    </w:p>
    <w:p w14:paraId="1FCF78CA">
      <w:pPr>
        <w:spacing w:before="0" w:after="80" w:line="480" w:lineRule="auto"/>
        <w:jc w:val="left"/>
      </w:pPr>
      <w:r>
        <w:rPr>
          <w:rFonts w:ascii="Times New Roman" w:hAnsi="Times New Roman" w:eastAsia="Times New Roman"/>
          <w:b w:val="0"/>
          <w:i w:val="0"/>
          <w:sz w:val="20"/>
        </w:rPr>
        <w:t>13. Carmignoto G, Haydon PG. Astrocyte calcium signaling and epilepsy. Glia. 2012;60(8):1227-1233. doi:10.1002/glia.22318.</w:t>
      </w:r>
    </w:p>
    <w:p w14:paraId="797C8959">
      <w:pPr>
        <w:spacing w:before="0" w:after="80" w:line="480" w:lineRule="auto"/>
        <w:jc w:val="left"/>
      </w:pPr>
      <w:r>
        <w:rPr>
          <w:rFonts w:ascii="Times New Roman" w:hAnsi="Times New Roman" w:eastAsia="Times New Roman"/>
          <w:b w:val="0"/>
          <w:i w:val="0"/>
          <w:sz w:val="20"/>
        </w:rPr>
        <w:t>14. Aibar S, Gonzalez-Blas CB, Moerman T, Huynh-Thu VA, Imrichova H, Hulselmans G, et al. SCENIC: single-cell regulatory network inference and clustering. Nat Methods. 2017;14(11):1083-1086. doi:10.1038/nmeth.4463.</w:t>
      </w:r>
    </w:p>
    <w:p w14:paraId="5EA7806E">
      <w:pPr>
        <w:spacing w:before="0" w:after="80" w:line="480" w:lineRule="auto"/>
        <w:jc w:val="left"/>
      </w:pPr>
      <w:r>
        <w:rPr>
          <w:rFonts w:ascii="Times New Roman" w:hAnsi="Times New Roman" w:eastAsia="Times New Roman"/>
          <w:b w:val="0"/>
          <w:i w:val="0"/>
          <w:sz w:val="20"/>
        </w:rPr>
        <w:t>15. Van de Sande B, Flerin C, Davie K, De Waegeneer M, Hulselmans G, Aibar S, et al. A scalable SCENIC workflow for single-cell gene regulatory network analysis. Nat Protoc. 2020;15(7):2247-2276. doi:10.1038/s41596-020-0336-2.</w:t>
      </w:r>
    </w:p>
    <w:p w14:paraId="60642559">
      <w:pPr>
        <w:spacing w:before="0" w:after="80" w:line="480" w:lineRule="auto"/>
        <w:jc w:val="left"/>
      </w:pPr>
      <w:r>
        <w:rPr>
          <w:rFonts w:ascii="Times New Roman" w:hAnsi="Times New Roman" w:eastAsia="Times New Roman"/>
          <w:b w:val="0"/>
          <w:i w:val="0"/>
          <w:sz w:val="20"/>
        </w:rPr>
        <w:t>16. Kamimoto K, Stringa B, Hoffmann CM, Jindal K, Solnica-Krezel L, Morris SA. Dissecting cell identity via network inference and in silico gene perturbation. Nature. 2023;614(7949):742-751. doi:10.1038/s41586-022-05688-9.</w:t>
      </w:r>
    </w:p>
    <w:p w14:paraId="0F656276">
      <w:pPr>
        <w:spacing w:before="0" w:after="80" w:line="480" w:lineRule="auto"/>
        <w:jc w:val="left"/>
      </w:pPr>
      <w:r>
        <w:rPr>
          <w:rFonts w:ascii="Times New Roman" w:hAnsi="Times New Roman" w:eastAsia="Times New Roman"/>
          <w:b w:val="0"/>
          <w:i w:val="0"/>
          <w:sz w:val="20"/>
        </w:rPr>
        <w:t>17. Gene Expression Omnibus. GSE268807. https://www.ncbi.nlm.nih.gov/geo/query/acc.cgi?acc=GSE268807. Accessed 11 October 2026.</w:t>
      </w:r>
    </w:p>
    <w:p w14:paraId="4F0246F8">
      <w:pPr>
        <w:spacing w:before="0" w:after="80" w:line="480" w:lineRule="auto"/>
        <w:jc w:val="left"/>
      </w:pPr>
      <w:r>
        <w:rPr>
          <w:rFonts w:ascii="Times New Roman" w:hAnsi="Times New Roman" w:eastAsia="Times New Roman"/>
          <w:b w:val="0"/>
          <w:i w:val="0"/>
          <w:sz w:val="20"/>
        </w:rPr>
        <w:t>18. Gene Expression Omnibus. GSE140393. https://www.ncbi.nlm.nih.gov/geo/query/acc.cgi?acc=GSE140393. Accessed 11 October 2026.</w:t>
      </w:r>
    </w:p>
    <w:p w14:paraId="43C89834">
      <w:pPr>
        <w:spacing w:before="0" w:after="80" w:line="480" w:lineRule="auto"/>
        <w:jc w:val="left"/>
      </w:pPr>
      <w:r>
        <w:rPr>
          <w:rFonts w:ascii="Times New Roman" w:hAnsi="Times New Roman" w:eastAsia="Times New Roman"/>
          <w:b w:val="0"/>
          <w:i w:val="0"/>
          <w:sz w:val="20"/>
        </w:rPr>
        <w:t>19. Pai B, Tome-Garcia J, Cheng WS, Ozguler Y, Andrews N, Alvarez-Carbonell D, et al. High-resolution transcriptomics informs glial pathology in human temporal lobe epilepsy. Acta Neuropathol Commun. 2022;10(1):149. doi:10.1186/s40478-022-01453-1.</w:t>
      </w:r>
    </w:p>
    <w:p w14:paraId="7E07FD7D">
      <w:pPr>
        <w:spacing w:before="0" w:after="80" w:line="480" w:lineRule="auto"/>
        <w:jc w:val="left"/>
      </w:pPr>
      <w:r>
        <w:rPr>
          <w:rFonts w:ascii="Times New Roman" w:hAnsi="Times New Roman" w:eastAsia="Times New Roman"/>
          <w:b w:val="0"/>
          <w:i w:val="0"/>
          <w:sz w:val="20"/>
        </w:rPr>
        <w:t>20. Gene Expression Omnibus. GSE190452. https://www.ncbi.nlm.nih.gov/geo/query/acc.cgi?acc=GSE190452. Accessed 11 October 2026.</w:t>
      </w:r>
    </w:p>
    <w:p w14:paraId="3DFD1BDB">
      <w:pPr>
        <w:spacing w:before="0" w:after="80" w:line="480" w:lineRule="auto"/>
        <w:jc w:val="left"/>
      </w:pPr>
      <w:r>
        <w:rPr>
          <w:rFonts w:ascii="Times New Roman" w:hAnsi="Times New Roman" w:eastAsia="Times New Roman"/>
          <w:b w:val="0"/>
          <w:i w:val="0"/>
          <w:sz w:val="20"/>
        </w:rPr>
        <w:t>21. Moerman T, Aibar Santos S, Gonzalez-Blas CB, Simm J, Moreau Y, Aerts J, et al. GRNBoost2 and Arboreto: efficient and scalable inference of gene regulatory networks. Bioinformatics. 2019;35(12):2159-2161. doi:10.1093/bioinformatics/bty916.</w:t>
      </w:r>
    </w:p>
    <w:p w14:paraId="746D2363">
      <w:pPr>
        <w:spacing w:before="0" w:after="80" w:line="480" w:lineRule="auto"/>
        <w:jc w:val="left"/>
      </w:pPr>
      <w:r>
        <w:rPr>
          <w:rFonts w:ascii="Times New Roman" w:hAnsi="Times New Roman" w:eastAsia="Times New Roman"/>
          <w:b w:val="0"/>
          <w:i w:val="0"/>
          <w:sz w:val="20"/>
        </w:rPr>
        <w:t>22. Chen EY, Tan CM, Kou Y, Duan Q, Wang Z, Meirelles GV, et al. Enrichr: interactive and collaborative HTML5 gene list enrichment analysis tool. BMC Bioinformatics. 2013;14:128. doi:10.1186/1471-2105-14-128.</w:t>
      </w:r>
    </w:p>
    <w:p w14:paraId="533CE6D2">
      <w:pPr>
        <w:spacing w:before="0" w:after="80" w:line="480" w:lineRule="auto"/>
        <w:jc w:val="left"/>
      </w:pPr>
      <w:r>
        <w:rPr>
          <w:rFonts w:ascii="Times New Roman" w:hAnsi="Times New Roman" w:eastAsia="Times New Roman"/>
          <w:b w:val="0"/>
          <w:i w:val="0"/>
          <w:sz w:val="20"/>
        </w:rPr>
        <w:t>23. Kuleshov MV, Jones MR, Rouillard AD, Fernandez NF, Duan Q, Wang Z, et al. Enrichr: a comprehensive gene set enrichment analysis web server 2016 update. Nucleic Acids Res. 2016;44(W1):W90-W97. doi:10.1093/nar/gkw377.</w:t>
      </w:r>
    </w:p>
    <w:p w14:paraId="4E69D1DF">
      <w:pPr>
        <w:spacing w:before="0" w:after="80" w:line="480" w:lineRule="auto"/>
        <w:jc w:val="left"/>
      </w:pPr>
      <w:r>
        <w:rPr>
          <w:rFonts w:ascii="Times New Roman" w:hAnsi="Times New Roman" w:eastAsia="Times New Roman"/>
          <w:b w:val="0"/>
          <w:i w:val="0"/>
          <w:sz w:val="20"/>
        </w:rPr>
        <w:t>24. Yoo M, Shin J, Kim J, Ryall KA, Lee K, Lee S, et al. DSigDB: drug signatures database for gene set analysis. Bioinformatics. 2015;31(18):3069-3071. doi:10.1093/bioinformatics/btv313.</w:t>
      </w:r>
    </w:p>
    <w:p w14:paraId="045D2FF6">
      <w:pPr>
        <w:spacing w:before="0" w:after="80" w:line="480" w:lineRule="auto"/>
        <w:jc w:val="left"/>
      </w:pPr>
      <w:r>
        <w:rPr>
          <w:rFonts w:ascii="Times New Roman" w:hAnsi="Times New Roman" w:eastAsia="Times New Roman"/>
          <w:b w:val="0"/>
          <w:i w:val="0"/>
          <w:sz w:val="20"/>
        </w:rPr>
        <w:t>25. Daina A, Michielin O, Zoete V. SwissADME: a free web tool to evaluate pharmacokinetics, drug-likeness and medicinal chemistry friendliness of small molecules. Sci Rep. 2017;7:42717. doi:10.1038/srep42717.</w:t>
      </w:r>
    </w:p>
    <w:p w14:paraId="23858196">
      <w:pPr>
        <w:spacing w:before="0" w:after="80" w:line="480" w:lineRule="auto"/>
        <w:jc w:val="left"/>
      </w:pPr>
      <w:r>
        <w:rPr>
          <w:rFonts w:ascii="Times New Roman" w:hAnsi="Times New Roman" w:eastAsia="Times New Roman"/>
          <w:b w:val="0"/>
          <w:i w:val="0"/>
          <w:sz w:val="20"/>
        </w:rPr>
        <w:t>26. Sandouka S, Saadi A, Olowe R, Singh PK, Shekh-Ahmad T. Nrf2 is expressed more extensively in neurons than in astrocytes following an acute epileptic seizure in rats. J Neurochem. 2023;165(4):550-562. doi:10.1111/jnc.15786.</w:t>
      </w:r>
    </w:p>
    <w:p w14:paraId="50531D80">
      <w:pPr>
        <w:spacing w:before="0" w:after="80" w:line="480" w:lineRule="auto"/>
        <w:jc w:val="left"/>
      </w:pPr>
      <w:r>
        <w:rPr>
          <w:rFonts w:ascii="Times New Roman" w:hAnsi="Times New Roman" w:eastAsia="Times New Roman"/>
          <w:b w:val="0"/>
          <w:i w:val="0"/>
          <w:sz w:val="20"/>
        </w:rPr>
        <w:t>27. Liddell JR. Are astrocytes the predominant cell type for activation of Nrf2 in aging and neurodegeneration? Antioxidants (Basel). 2017;6(3):65. doi:10.3390/antiox6030065.</w:t>
      </w:r>
    </w:p>
    <w:p w14:paraId="719AA3D2">
      <w:pPr>
        <w:spacing w:before="0" w:after="80" w:line="480" w:lineRule="auto"/>
        <w:jc w:val="left"/>
      </w:pPr>
      <w:r>
        <w:rPr>
          <w:rFonts w:ascii="Times New Roman" w:hAnsi="Times New Roman" w:eastAsia="Times New Roman"/>
          <w:b w:val="0"/>
          <w:i w:val="0"/>
          <w:sz w:val="20"/>
        </w:rPr>
        <w:t>28. Ngo V, Duennwald ML. Nrf2 and oxidative stress: a general overview of mechanisms and implications in human disease. Antioxidants (Basel). 2022;11(12):2345. doi:10.3390/antiox11122345.</w:t>
      </w:r>
    </w:p>
    <w:p w14:paraId="3A7B7311">
      <w:pPr>
        <w:spacing w:before="0" w:after="80" w:line="480" w:lineRule="auto"/>
        <w:jc w:val="left"/>
      </w:pPr>
      <w:r>
        <w:rPr>
          <w:rFonts w:ascii="Times New Roman" w:hAnsi="Times New Roman" w:eastAsia="Times New Roman"/>
          <w:b w:val="0"/>
          <w:i w:val="0"/>
          <w:sz w:val="20"/>
        </w:rPr>
        <w:t>29. Bernal J. Thyroid hormones in brain development and function. In: Feingold KR, Anawalt B, Blackman MR, et al., editors. Endotext [Internet]. South Dartmouth (MA): MDText.com, Inc.; 2000.</w:t>
      </w:r>
    </w:p>
    <w:p w14:paraId="1A20C3C1">
      <w:pPr>
        <w:spacing w:before="0" w:after="80" w:line="480" w:lineRule="auto"/>
        <w:jc w:val="left"/>
      </w:pPr>
      <w:r>
        <w:rPr>
          <w:rFonts w:ascii="Times New Roman" w:hAnsi="Times New Roman" w:eastAsia="Times New Roman"/>
          <w:b w:val="0"/>
          <w:i w:val="0"/>
          <w:sz w:val="20"/>
        </w:rPr>
        <w:t>30. Dezonne RS, Stipursky J, Araujo APB, Nones J, Pavao MSG, Porcionatto M, et al. Thyroid hormone treated astrocytes induce maturation of cerebral cortical neurons through modulation of proteoglycan levels. Front Cell Neurosci. 2013;7:125. doi:10.3389/fncel.2013.00125.</w:t>
      </w:r>
    </w:p>
    <w:p w14:paraId="6D8B0EB1">
      <w:pPr>
        <w:spacing w:before="0" w:after="80" w:line="480" w:lineRule="auto"/>
        <w:jc w:val="left"/>
      </w:pPr>
      <w:r>
        <w:rPr>
          <w:rFonts w:ascii="Times New Roman" w:hAnsi="Times New Roman" w:eastAsia="Times New Roman"/>
          <w:b w:val="0"/>
          <w:i w:val="0"/>
          <w:sz w:val="20"/>
        </w:rPr>
        <w:t>31. Talhada D, Santos CRA, Goncalves I, Ruscher K. Thyroid hormones in the brain and their impact in recovery mechanisms after stroke. Front Neurol. 2019;10:1103. doi:10.3389/fneur.2019.01103.</w:t>
      </w:r>
    </w:p>
    <w:p w14:paraId="25FFA7A8">
      <w:pPr>
        <w:spacing w:before="0" w:after="80" w:line="480" w:lineRule="auto"/>
        <w:jc w:val="left"/>
      </w:pPr>
      <w:r>
        <w:rPr>
          <w:rFonts w:ascii="Times New Roman" w:hAnsi="Times New Roman" w:eastAsia="Times New Roman"/>
          <w:b w:val="0"/>
          <w:i w:val="0"/>
          <w:sz w:val="20"/>
        </w:rPr>
        <w:t>32. Mercurio S, Serra L, Pagin M, Nicolis SK. Deconstructing Sox2 function in brain development and disease. Cells. 2022;11(10):1604. doi:10.3390/cells11101604.</w:t>
      </w:r>
    </w:p>
    <w:p w14:paraId="50BB6398">
      <w:pPr>
        <w:spacing w:before="0" w:after="80" w:line="480" w:lineRule="auto"/>
        <w:jc w:val="left"/>
      </w:pPr>
      <w:r>
        <w:rPr>
          <w:rFonts w:ascii="Times New Roman" w:hAnsi="Times New Roman" w:eastAsia="Times New Roman"/>
          <w:b w:val="0"/>
          <w:i w:val="0"/>
          <w:sz w:val="20"/>
        </w:rPr>
        <w:t>33. Chen C, Zhong X, Smith DK, Tai W, Yang J, Zou Y, et al. Astrocyte-specific deletion of Sox2 promotes functional recovery after traumatic brain injury. Cereb Cortex. 2019;29(1):54-69. doi:10.1093/cercor/bhx303.</w:t>
      </w:r>
    </w:p>
    <w:p w14:paraId="5822E72C">
      <w:pPr>
        <w:spacing w:before="0" w:after="80" w:line="480" w:lineRule="auto"/>
        <w:jc w:val="left"/>
      </w:pPr>
      <w:r>
        <w:rPr>
          <w:rFonts w:ascii="Times New Roman" w:hAnsi="Times New Roman" w:eastAsia="Times New Roman"/>
          <w:b w:val="0"/>
          <w:i w:val="0"/>
          <w:sz w:val="20"/>
        </w:rPr>
        <w:t>34. Niu W, Zang T, Zou Y, Fang S, Smith DK, Bachoo R, et al. In vivo reprogramming of astrocytes to neuroblasts in the adult brain. Nat Cell Biol. 2013;15(10):1164-1175. doi:10.1038/ncb2843.</w:t>
      </w:r>
    </w:p>
    <w:p w14:paraId="1CF66F45">
      <w:pPr>
        <w:spacing w:before="0" w:after="80" w:line="480" w:lineRule="auto"/>
        <w:jc w:val="left"/>
      </w:pPr>
      <w:r>
        <w:rPr>
          <w:rFonts w:ascii="Times New Roman" w:hAnsi="Times New Roman" w:eastAsia="Times New Roman"/>
          <w:b w:val="0"/>
          <w:i w:val="0"/>
          <w:sz w:val="20"/>
        </w:rPr>
        <w:t>35. Fang C, Zhang X, Yang L, Sun L, Lu Y, Liu Y, et al. Transcriptomic and morphologic vascular aberrations underlying FCDIIb etiology. Nat Commun. 2025;16(1):3320. doi:10.1038/s41467-025-58535-6.</w:t>
      </w:r>
    </w:p>
    <w:p w14:paraId="2AC9A8CC">
      <w:pPr>
        <w:spacing w:before="0" w:after="80" w:line="480" w:lineRule="auto"/>
        <w:jc w:val="left"/>
      </w:pPr>
      <w:r>
        <w:rPr>
          <w:rFonts w:ascii="Times New Roman" w:hAnsi="Times New Roman" w:eastAsia="Times New Roman"/>
          <w:b w:val="0"/>
          <w:i w:val="0"/>
          <w:sz w:val="20"/>
        </w:rPr>
        <w:t>36. French JA, Lawson JA, Yapici Z, Ikeda H, Polster T, Nabbout R, et al. Adjunctive everolimus therapy for treatment-resistant focal-onset seizures associated with tuberous sclerosis (EXIST-3): a phase 3, randomised, double-blind, placebo-controlled study. Lancet. 2016;388(10056):2153-2163. doi:10.1016/S0140-6736(16)31419-2.</w:t>
      </w:r>
    </w:p>
    <w:p w14:paraId="57345016">
      <w:pPr>
        <w:spacing w:before="0" w:after="80" w:line="480" w:lineRule="auto"/>
        <w:jc w:val="left"/>
      </w:pPr>
      <w:r>
        <w:rPr>
          <w:rFonts w:ascii="Times New Roman" w:hAnsi="Times New Roman" w:eastAsia="Times New Roman"/>
          <w:b w:val="0"/>
          <w:i w:val="0"/>
          <w:sz w:val="20"/>
        </w:rPr>
        <w:t>37. Gureev AP, Popov VN, Starkov AA. Crosstalk between the mTOR and Nrf2/ARE signaling pathways as a target in the improvement of long-term potentiation. Exp Neurol. 2020;328:113285. doi:10.1016/j.expneurol.2020.113285.</w:t>
      </w:r>
    </w:p>
    <w:p w14:paraId="5F9280E3">
      <w:pPr>
        <w:spacing w:before="0" w:after="80" w:line="480" w:lineRule="auto"/>
        <w:jc w:val="left"/>
      </w:pPr>
      <w:r>
        <w:rPr>
          <w:rFonts w:ascii="Times New Roman" w:hAnsi="Times New Roman" w:eastAsia="Times New Roman"/>
          <w:b w:val="0"/>
          <w:i w:val="0"/>
          <w:sz w:val="20"/>
        </w:rPr>
        <w:t>38. Kim SH, Kang HC, Roh YH, Hahn J, Min KL, Lee SJ, et al. Efficacy and safety of everolimus for patients with focal cortical dysplasia type 2. Epilepsia Open. 2025;10(1):243-257. doi:10.1002/epi4.13104.</w:t>
      </w:r>
    </w:p>
    <w:p w14:paraId="2065BF10">
      <w:pPr>
        <w:spacing w:before="0" w:after="80" w:line="480" w:lineRule="auto"/>
        <w:jc w:val="left"/>
      </w:pPr>
      <w:r>
        <w:rPr>
          <w:rFonts w:ascii="Times New Roman" w:hAnsi="Times New Roman" w:eastAsia="Times New Roman"/>
          <w:b w:val="0"/>
          <w:i w:val="0"/>
          <w:sz w:val="20"/>
        </w:rPr>
        <w:t>39. Orlova KA, Tsai V, Baybis M, Heuer GG, Sisodiya S, Thom M, et al. Early progenitor cell marker expression distinguishes type II from type I focal cortical dysplasias. J Neuropathol Exp Neurol. 2010;69(8):850-863. doi:10.1097/NEN.0b013e3181eac1f5.</w:t>
      </w:r>
    </w:p>
    <w:p w14:paraId="70676DEE">
      <w:pPr>
        <w:spacing w:before="0" w:after="80" w:line="480" w:lineRule="auto"/>
        <w:jc w:val="left"/>
      </w:pPr>
      <w:r>
        <w:rPr>
          <w:rFonts w:ascii="Times New Roman" w:hAnsi="Times New Roman" w:eastAsia="Times New Roman"/>
          <w:b w:val="0"/>
          <w:i w:val="0"/>
          <w:sz w:val="20"/>
        </w:rPr>
        <w:t>40. Yao K, Duan Z, Zhou J, Li L, Zhai F, Dong Y, et al. Clinical and immunohistochemical characteristics of type II and type I focal cortical dysplasia. Oncotarget. 2016;7(47):76415-76422. doi:10.18632/oncotarget.13001.</w:t>
      </w:r>
    </w:p>
    <w:p w14:paraId="243E3D81">
      <w:pPr>
        <w:spacing w:before="0" w:after="80" w:line="480" w:lineRule="auto"/>
        <w:jc w:val="left"/>
      </w:pPr>
      <w:r>
        <w:rPr>
          <w:rFonts w:ascii="Times New Roman" w:hAnsi="Times New Roman" w:eastAsia="Times New Roman"/>
          <w:b w:val="0"/>
          <w:i w:val="0"/>
          <w:sz w:val="20"/>
        </w:rPr>
        <w:t>41. Arai A, Saito T, Hanai S, Sukigara S, Nabatame S, Otsuki T, et al. Abnormal maturation and differentiation of neocortical neurons in epileptogenic cortical malformation: unique distribution of layer-specific marker cells of focal cortical dysplasia and hemimegalencephaly. Brain Res. 2012;1470:89-97. doi:10.1016/j.brainres.2012.06.009.</w:t>
      </w:r>
    </w:p>
    <w:p w14:paraId="4E87A661">
      <w:pPr>
        <w:spacing w:before="0" w:after="80" w:line="480" w:lineRule="auto"/>
        <w:jc w:val="left"/>
      </w:pPr>
      <w:r>
        <w:rPr>
          <w:rFonts w:ascii="Times New Roman" w:hAnsi="Times New Roman" w:eastAsia="Times New Roman"/>
          <w:b w:val="0"/>
          <w:i w:val="0"/>
          <w:sz w:val="20"/>
        </w:rPr>
        <w:t>42. Sakakibara T, Sukigara S, Saito T, Otsuki T, Takahashi A, Kaneko Y, et al. Delayed maturation and differentiation of neurons in focal cortical dysplasia with the transmantle sign: analysis of layer-specific marker expression. J Neuropathol Exp Neurol. 2012;71(8):741-749. doi:10.1097/NEN.0b013e318262e41a.</w:t>
      </w:r>
    </w:p>
    <w:p w14:paraId="4EF569B5">
      <w:pPr>
        <w:spacing w:before="0" w:after="80" w:line="480" w:lineRule="auto"/>
        <w:jc w:val="left"/>
      </w:pPr>
      <w:r>
        <w:rPr>
          <w:rFonts w:ascii="Times New Roman" w:hAnsi="Times New Roman" w:eastAsia="Times New Roman"/>
          <w:b w:val="0"/>
          <w:i w:val="0"/>
          <w:sz w:val="20"/>
        </w:rPr>
        <w:t>43. Hadjivassiliou G, Martinian L, Squier W, Blumcke I, Aronica E, Sisodiya SM, et al. The application of cortical layer markers in the evaluation of cortical dysplasias in epilepsy. Acta Neuropathol. 2010;120(4):517-528. doi:10.1007/s00401-010-0686-x.</w:t>
      </w:r>
    </w:p>
    <w:p w14:paraId="69C4935F">
      <w:pPr>
        <w:spacing w:before="0" w:after="80" w:line="480" w:lineRule="auto"/>
        <w:jc w:val="left"/>
      </w:pPr>
      <w:r>
        <w:rPr>
          <w:rFonts w:ascii="Times New Roman" w:hAnsi="Times New Roman" w:eastAsia="Times New Roman"/>
          <w:b w:val="0"/>
          <w:i w:val="0"/>
          <w:sz w:val="20"/>
        </w:rPr>
        <w:t>44. Elsayed NA, Naftel RP, Mobley BC, Alexander AL, Toland AM, Brockman AA, et al. Single cell protein profiling of focal cortical dysplasia in a patient requiring multiple resections. Acta Neuropathol Commun. 2026;14:97. doi:10.1186/s40478-026-02273-3.</w:t>
      </w:r>
    </w:p>
    <w:p w14:paraId="6A8F0823">
      <w:pPr>
        <w:spacing w:before="0" w:after="80" w:line="480" w:lineRule="auto"/>
        <w:jc w:val="left"/>
      </w:pPr>
      <w:r>
        <w:rPr>
          <w:rFonts w:ascii="Times New Roman" w:hAnsi="Times New Roman" w:eastAsia="Times New Roman"/>
          <w:b w:val="0"/>
          <w:i w:val="0"/>
          <w:sz w:val="20"/>
        </w:rPr>
        <w:t>45. Liu Z, Yin X, Liu L, Tao H, Zhou H, Ma G, et al. Association of KEAP1 and NFE2L2 polymorphisms with temporal lobe epilepsy and drug resistant epilepsy. Gene. 2015;571(2):231-236. doi:10.1016/j.gene.2015.06.055.</w:t>
      </w:r>
    </w:p>
    <w:p w14:paraId="0641EF7E">
      <w:pPr>
        <w:spacing w:before="0" w:after="80" w:line="480" w:lineRule="auto"/>
        <w:jc w:val="left"/>
      </w:pPr>
      <w:r>
        <w:rPr>
          <w:rFonts w:ascii="Times New Roman" w:hAnsi="Times New Roman" w:eastAsia="Times New Roman"/>
          <w:b w:val="0"/>
          <w:i w:val="0"/>
          <w:sz w:val="20"/>
        </w:rPr>
        <w:t>46. Mazzuferi M, Kumar G, van Eyll J, Danis B, Foerch P, Kaminski RM. Nrf2 defense pathway: experimental evidence for its protective role in epilepsy. Ann Neurol. 2013;74(4):560-568. doi:10.1002/ana.23940.</w:t>
      </w:r>
    </w:p>
    <w:p w14:paraId="509CC59D">
      <w:pPr>
        <w:spacing w:before="0" w:after="80" w:line="480" w:lineRule="auto"/>
        <w:jc w:val="left"/>
      </w:pPr>
      <w:r>
        <w:rPr>
          <w:rFonts w:ascii="Times New Roman" w:hAnsi="Times New Roman" w:eastAsia="Times New Roman"/>
          <w:b w:val="0"/>
          <w:i w:val="0"/>
          <w:sz w:val="20"/>
        </w:rPr>
        <w:t>47. Ng L, Pedraza PE, Faris JS, Vennstrom B, Curran T, Morreale de Escobar G, et al. Audiogenic seizure susceptibility in thyroid hormone receptor beta-deficient mice. Neuroreport. 2001;12(11):2359-2362. doi:10.1097/00001756-200108080-00015.</w:t>
      </w:r>
    </w:p>
    <w:p w14:paraId="4CDA1644">
      <w:pPr>
        <w:spacing w:before="0" w:after="80" w:line="480" w:lineRule="auto"/>
        <w:jc w:val="left"/>
      </w:pPr>
      <w:r>
        <w:rPr>
          <w:rFonts w:ascii="Times New Roman" w:hAnsi="Times New Roman" w:eastAsia="Times New Roman"/>
          <w:b w:val="0"/>
          <w:i w:val="0"/>
          <w:sz w:val="20"/>
        </w:rPr>
        <w:t>48. Lebel JM, L'Herault S, Dussault JH, Puymirat J. Thyroid hormone up-regulates thyroid hormone receptor beta gene expression in rat cerebral hemisphere astrocyte cultures. Glia. 1993;9(2):105-112. doi:10.1002/glia.440090203.</w:t>
      </w:r>
    </w:p>
    <w:p w14:paraId="6FD2F917">
      <w:pPr>
        <w:spacing w:before="0" w:after="80" w:line="480" w:lineRule="auto"/>
        <w:jc w:val="left"/>
      </w:pPr>
      <w:r>
        <w:rPr>
          <w:rFonts w:ascii="Times New Roman" w:hAnsi="Times New Roman" w:eastAsia="Times New Roman"/>
          <w:b w:val="0"/>
          <w:i w:val="0"/>
          <w:sz w:val="20"/>
        </w:rPr>
        <w:t>49. Zhang W, Du Y, Zou Y, Luo J, Lu Y, Yu W. Smad anchor for receptor activation and phospho-Smad3 were upregulated in patients with temporal lobe epilepsy. J Mol Neurosci. 2019;68(1):91-98. doi:10.1007/s12031-019-01285-0.</w:t>
      </w:r>
    </w:p>
    <w:p w14:paraId="34378EC6">
      <w:pPr>
        <w:spacing w:before="0" w:after="80" w:line="480" w:lineRule="auto"/>
        <w:jc w:val="left"/>
      </w:pPr>
      <w:r>
        <w:rPr>
          <w:rFonts w:ascii="Times New Roman" w:hAnsi="Times New Roman" w:eastAsia="Times New Roman"/>
          <w:b w:val="0"/>
          <w:i w:val="0"/>
          <w:sz w:val="20"/>
        </w:rPr>
        <w:t>50. Levy N, Milikovsky DZ, Baranauskas G, Vinogradov E, David Y, Ketzef M, et al. Differential TGF-beta signaling in glial subsets underlies IL-6-mediated epileptogenesis in mice. J Immunol. 2015;195(4):1713-1722. doi:10.4049/jimmunol.1401446.</w:t>
      </w:r>
    </w:p>
    <w:p w14:paraId="2F7B1C06">
      <w:pPr>
        <w:spacing w:before="0" w:after="80" w:line="480" w:lineRule="auto"/>
        <w:jc w:val="left"/>
      </w:pPr>
      <w:r>
        <w:rPr>
          <w:rFonts w:ascii="Times New Roman" w:hAnsi="Times New Roman" w:eastAsia="Times New Roman"/>
          <w:b w:val="0"/>
          <w:i w:val="0"/>
          <w:sz w:val="20"/>
        </w:rPr>
        <w:t>51. Craciun L, DeNittis VR, Davis MT, Paz JT, Saijo K. Tcf4 deficiency causes recurrent seizures in mice. Prog Neurobiol. 2025;251:102805. doi:10.1016/j.pneurobio.2025.102805.</w:t>
      </w:r>
    </w:p>
    <w:p w14:paraId="6CA10E02">
      <w:pPr>
        <w:spacing w:before="0" w:after="80" w:line="480" w:lineRule="auto"/>
        <w:jc w:val="left"/>
      </w:pPr>
      <w:r>
        <w:rPr>
          <w:rFonts w:ascii="Times New Roman" w:hAnsi="Times New Roman" w:eastAsia="Times New Roman"/>
          <w:b w:val="0"/>
          <w:i w:val="0"/>
          <w:sz w:val="20"/>
        </w:rPr>
        <w:t>52. Amiel J, Rio M, de Pontual L, Redon R, Malan V, Boddaert N, et al. Mutations in TCF4, encoding a class I basic helix-loop-helix transcription factor, are responsible for Pitt-Hopkins syndrome, a severe epileptic encephalopathy associated with autonomic dysfunction. Am J Hum Genet. 2007;80(5):988-993. doi:10.1086/515582.</w:t>
      </w:r>
    </w:p>
    <w:p w14:paraId="19FCDCA4">
      <w:pPr>
        <w:spacing w:before="0" w:after="80" w:line="480" w:lineRule="auto"/>
        <w:jc w:val="left"/>
      </w:pPr>
      <w:r>
        <w:rPr>
          <w:rFonts w:ascii="Times New Roman" w:hAnsi="Times New Roman" w:eastAsia="Times New Roman"/>
          <w:b w:val="0"/>
          <w:i w:val="0"/>
          <w:sz w:val="20"/>
        </w:rPr>
        <w:t>53. Francois L, Romagnolo A, Luinenburg MJ, Anink JJ, Godard P, Rajman M, et al. Identification of gene regulatory networks affected across drug-resistant epilepsies. Nat Commun. 2024;15(1):2180. doi:10.1038/s41467-024-46592-2.</w:t>
      </w:r>
    </w:p>
    <w:p w14:paraId="2E0C0820">
      <w:pPr>
        <w:spacing w:before="0" w:after="80" w:line="480" w:lineRule="auto"/>
        <w:jc w:val="left"/>
      </w:pPr>
      <w:r>
        <w:rPr>
          <w:rFonts w:ascii="Times New Roman" w:hAnsi="Times New Roman" w:eastAsia="Times New Roman"/>
          <w:b w:val="0"/>
          <w:i w:val="0"/>
          <w:sz w:val="20"/>
        </w:rPr>
        <w:t>54. Srivastava A, Kumar K, Banerjee J, Tripathi M, Dubey V, Sharma D, et al. Transcriptomic profiling of high- and low-spiking regions reveals novel epileptogenic mechanisms in focal cortical dysplasia type II patients. Mol Brain. 2021;14(1):120. doi:10.1186/s13041-021-00832-4.</w:t>
      </w:r>
    </w:p>
    <w:p w14:paraId="37806F30">
      <w:pPr>
        <w:sectPr>
          <w:footerReference r:id="rId5" w:type="default"/>
          <w:pgSz w:w="12240" w:h="15840"/>
          <w:pgMar w:top="1417" w:right="1417" w:bottom="1417" w:left="1417" w:header="720" w:footer="720" w:gutter="0"/>
          <w:lnNumType w:countBy="1" w:restart="continuous"/>
          <w:pgNumType w:fmt="decimal"/>
          <w:cols w:space="720" w:num="1"/>
          <w:docGrid w:linePitch="360" w:charSpace="0"/>
        </w:sectPr>
      </w:pPr>
    </w:p>
    <w:p w14:paraId="6338CACE">
      <w:pPr>
        <w:spacing w:before="280" w:after="120" w:line="276" w:lineRule="auto"/>
      </w:pPr>
      <w:r>
        <w:rPr>
          <w:rFonts w:ascii="Times New Roman" w:hAnsi="Times New Roman" w:eastAsia="Times New Roman"/>
          <w:b/>
          <w:i w:val="0"/>
          <w:sz w:val="28"/>
        </w:rPr>
        <w:t>Tables</w:t>
      </w:r>
    </w:p>
    <w:p w14:paraId="68C14542">
      <w:pPr>
        <w:spacing w:before="120" w:after="80" w:line="276" w:lineRule="auto"/>
      </w:pPr>
      <w:r>
        <w:rPr>
          <w:rFonts w:ascii="Times New Roman" w:hAnsi="Times New Roman" w:eastAsia="Times New Roman"/>
          <w:b/>
          <w:i w:val="0"/>
          <w:sz w:val="20"/>
        </w:rPr>
        <w:t>Table 1. Analytical datasets and their roles in this study.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7"/>
        <w:gridCol w:w="2357"/>
        <w:gridCol w:w="2357"/>
        <w:gridCol w:w="2357"/>
        <w:gridCol w:w="2357"/>
        <w:gridCol w:w="2357"/>
      </w:tblGrid>
      <w:tr w14:paraId="22B8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4AC4FB6">
            <w:pPr>
              <w:spacing w:after="0" w:line="240" w:lineRule="auto"/>
            </w:pPr>
            <w:r>
              <w:rPr>
                <w:rFonts w:ascii="Times New Roman" w:hAnsi="Times New Roman" w:eastAsia="Times New Roman"/>
                <w:b/>
                <w:i w:val="0"/>
                <w:sz w:val="16"/>
              </w:rPr>
              <w:t>Dataset</w:t>
            </w:r>
          </w:p>
        </w:tc>
        <w:tc>
          <w:tcPr>
            <w:tcW w:w="2041" w:type="dxa"/>
          </w:tcPr>
          <w:p w14:paraId="300D3DAA">
            <w:pPr>
              <w:spacing w:after="0" w:line="240" w:lineRule="auto"/>
            </w:pPr>
            <w:r>
              <w:rPr>
                <w:rFonts w:ascii="Times New Roman" w:hAnsi="Times New Roman" w:eastAsia="Times New Roman"/>
                <w:b/>
                <w:i w:val="0"/>
                <w:sz w:val="16"/>
              </w:rPr>
              <w:t>Role</w:t>
            </w:r>
          </w:p>
        </w:tc>
        <w:tc>
          <w:tcPr>
            <w:tcW w:w="2494" w:type="dxa"/>
          </w:tcPr>
          <w:p w14:paraId="48484284">
            <w:pPr>
              <w:spacing w:after="0" w:line="240" w:lineRule="auto"/>
            </w:pPr>
            <w:r>
              <w:rPr>
                <w:rFonts w:ascii="Times New Roman" w:hAnsi="Times New Roman" w:eastAsia="Times New Roman"/>
                <w:b/>
                <w:i w:val="0"/>
                <w:sz w:val="16"/>
              </w:rPr>
              <w:t>Analysis object</w:t>
            </w:r>
          </w:p>
        </w:tc>
        <w:tc>
          <w:tcPr>
            <w:tcW w:w="1020" w:type="dxa"/>
          </w:tcPr>
          <w:p w14:paraId="490AC17B">
            <w:pPr>
              <w:spacing w:after="0" w:line="240" w:lineRule="auto"/>
            </w:pPr>
            <w:r>
              <w:rPr>
                <w:rFonts w:ascii="Times New Roman" w:hAnsi="Times New Roman" w:eastAsia="Times New Roman"/>
                <w:b/>
                <w:i w:val="0"/>
                <w:sz w:val="16"/>
              </w:rPr>
              <w:t>Cells</w:t>
            </w:r>
          </w:p>
        </w:tc>
        <w:tc>
          <w:tcPr>
            <w:tcW w:w="1814" w:type="dxa"/>
          </w:tcPr>
          <w:p w14:paraId="0525E6AD">
            <w:pPr>
              <w:spacing w:after="0" w:line="240" w:lineRule="auto"/>
            </w:pPr>
            <w:r>
              <w:rPr>
                <w:rFonts w:ascii="Times New Roman" w:hAnsi="Times New Roman" w:eastAsia="Times New Roman"/>
                <w:b/>
                <w:i w:val="0"/>
                <w:sz w:val="16"/>
              </w:rPr>
              <w:t>Comparison</w:t>
            </w:r>
          </w:p>
        </w:tc>
        <w:tc>
          <w:tcPr>
            <w:tcW w:w="4535" w:type="dxa"/>
          </w:tcPr>
          <w:p w14:paraId="2773F9C3">
            <w:pPr>
              <w:spacing w:after="0" w:line="240" w:lineRule="auto"/>
            </w:pPr>
            <w:r>
              <w:rPr>
                <w:rFonts w:ascii="Times New Roman" w:hAnsi="Times New Roman" w:eastAsia="Times New Roman"/>
                <w:b/>
                <w:i w:val="0"/>
                <w:sz w:val="16"/>
              </w:rPr>
              <w:t>Use in this study</w:t>
            </w:r>
          </w:p>
        </w:tc>
      </w:tr>
      <w:tr w14:paraId="49C7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1741D25">
            <w:pPr>
              <w:spacing w:after="0" w:line="240" w:lineRule="auto"/>
            </w:pPr>
            <w:r>
              <w:rPr>
                <w:rFonts w:ascii="Times New Roman" w:hAnsi="Times New Roman" w:eastAsia="Times New Roman"/>
                <w:b w:val="0"/>
                <w:i w:val="0"/>
                <w:sz w:val="16"/>
              </w:rPr>
              <w:t>GSE268807 astrocyte object</w:t>
            </w:r>
          </w:p>
        </w:tc>
        <w:tc>
          <w:tcPr>
            <w:tcW w:w="2041" w:type="dxa"/>
          </w:tcPr>
          <w:p w14:paraId="721AB5FD">
            <w:pPr>
              <w:spacing w:after="0" w:line="240" w:lineRule="auto"/>
            </w:pPr>
            <w:r>
              <w:rPr>
                <w:rFonts w:ascii="Times New Roman" w:hAnsi="Times New Roman" w:eastAsia="Times New Roman"/>
                <w:b w:val="0"/>
                <w:i w:val="0"/>
                <w:sz w:val="16"/>
              </w:rPr>
              <w:t>Discovery dataset</w:t>
            </w:r>
          </w:p>
        </w:tc>
        <w:tc>
          <w:tcPr>
            <w:tcW w:w="2494" w:type="dxa"/>
          </w:tcPr>
          <w:p w14:paraId="5F3EF5FF">
            <w:pPr>
              <w:spacing w:after="0" w:line="240" w:lineRule="auto"/>
            </w:pPr>
            <w:r>
              <w:rPr>
                <w:rFonts w:ascii="Times New Roman" w:hAnsi="Times New Roman" w:eastAsia="Times New Roman"/>
                <w:b w:val="0"/>
                <w:i w:val="0"/>
                <w:sz w:val="16"/>
              </w:rPr>
              <w:t>AUCell-matched FCD II astrocyte object</w:t>
            </w:r>
          </w:p>
        </w:tc>
        <w:tc>
          <w:tcPr>
            <w:tcW w:w="1020" w:type="dxa"/>
          </w:tcPr>
          <w:p w14:paraId="5D0847E9">
            <w:pPr>
              <w:spacing w:after="0" w:line="240" w:lineRule="auto"/>
            </w:pPr>
            <w:r>
              <w:rPr>
                <w:rFonts w:ascii="Times New Roman" w:hAnsi="Times New Roman" w:eastAsia="Times New Roman"/>
                <w:b w:val="0"/>
                <w:i w:val="0"/>
                <w:sz w:val="16"/>
              </w:rPr>
              <w:t>2,322 (888 lesion; 1,434 internal control)</w:t>
            </w:r>
          </w:p>
        </w:tc>
        <w:tc>
          <w:tcPr>
            <w:tcW w:w="1814" w:type="dxa"/>
          </w:tcPr>
          <w:p w14:paraId="7CFC88BA">
            <w:pPr>
              <w:spacing w:after="0" w:line="240" w:lineRule="auto"/>
            </w:pPr>
            <w:r>
              <w:rPr>
                <w:rFonts w:ascii="Times New Roman" w:hAnsi="Times New Roman" w:eastAsia="Times New Roman"/>
                <w:b w:val="0"/>
                <w:i w:val="0"/>
                <w:sz w:val="16"/>
              </w:rPr>
              <w:t>Lesion vs internal control</w:t>
            </w:r>
          </w:p>
        </w:tc>
        <w:tc>
          <w:tcPr>
            <w:tcW w:w="4535" w:type="dxa"/>
          </w:tcPr>
          <w:p w14:paraId="20C2752B">
            <w:pPr>
              <w:spacing w:after="0" w:line="240" w:lineRule="auto"/>
            </w:pPr>
            <w:r>
              <w:rPr>
                <w:rFonts w:ascii="Times New Roman" w:hAnsi="Times New Roman" w:eastAsia="Times New Roman"/>
                <w:b w:val="0"/>
                <w:i w:val="0"/>
                <w:sz w:val="16"/>
              </w:rPr>
              <w:t>Regulon inference and differential regulon analysis; candidate prioritisation; CellOracle in silico perturbation; expression-scale, donor, threshold and network sensitivity</w:t>
            </w:r>
          </w:p>
        </w:tc>
      </w:tr>
      <w:tr w14:paraId="6A75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881B4C">
            <w:pPr>
              <w:spacing w:after="0" w:line="240" w:lineRule="auto"/>
            </w:pPr>
            <w:r>
              <w:rPr>
                <w:rFonts w:ascii="Times New Roman" w:hAnsi="Times New Roman" w:eastAsia="Times New Roman"/>
                <w:b w:val="0"/>
                <w:i w:val="0"/>
                <w:sz w:val="16"/>
              </w:rPr>
              <w:t>GSE140393</w:t>
            </w:r>
          </w:p>
        </w:tc>
        <w:tc>
          <w:tcPr>
            <w:tcW w:w="2041" w:type="dxa"/>
          </w:tcPr>
          <w:p w14:paraId="6AED2A39">
            <w:pPr>
              <w:spacing w:after="0" w:line="240" w:lineRule="auto"/>
            </w:pPr>
            <w:r>
              <w:rPr>
                <w:rFonts w:ascii="Times New Roman" w:hAnsi="Times New Roman" w:eastAsia="Times New Roman"/>
                <w:b w:val="0"/>
                <w:i w:val="0"/>
                <w:sz w:val="16"/>
              </w:rPr>
              <w:t>Validation database (temporal lobe epilepsy)</w:t>
            </w:r>
          </w:p>
        </w:tc>
        <w:tc>
          <w:tcPr>
            <w:tcW w:w="2494" w:type="dxa"/>
          </w:tcPr>
          <w:p w14:paraId="03D5F51A">
            <w:pPr>
              <w:spacing w:after="0" w:line="240" w:lineRule="auto"/>
            </w:pPr>
            <w:r>
              <w:rPr>
                <w:rFonts w:ascii="Times New Roman" w:hAnsi="Times New Roman" w:eastAsia="Times New Roman"/>
                <w:b w:val="0"/>
                <w:i w:val="0"/>
                <w:sz w:val="16"/>
              </w:rPr>
              <w:t>Temporal lobe epilepsy expression object</w:t>
            </w:r>
          </w:p>
        </w:tc>
        <w:tc>
          <w:tcPr>
            <w:tcW w:w="1020" w:type="dxa"/>
          </w:tcPr>
          <w:p w14:paraId="7E2B69D3">
            <w:pPr>
              <w:spacing w:after="0" w:line="240" w:lineRule="auto"/>
            </w:pPr>
            <w:r>
              <w:rPr>
                <w:rFonts w:ascii="Times New Roman" w:hAnsi="Times New Roman" w:eastAsia="Times New Roman"/>
                <w:b w:val="0"/>
                <w:i w:val="0"/>
                <w:sz w:val="16"/>
              </w:rPr>
              <w:t>11,399</w:t>
            </w:r>
          </w:p>
        </w:tc>
        <w:tc>
          <w:tcPr>
            <w:tcW w:w="1814" w:type="dxa"/>
          </w:tcPr>
          <w:p w14:paraId="1523165D">
            <w:pPr>
              <w:spacing w:after="0" w:line="240" w:lineRule="auto"/>
            </w:pPr>
            <w:r>
              <w:rPr>
                <w:rFonts w:ascii="Times New Roman" w:hAnsi="Times New Roman" w:eastAsia="Times New Roman"/>
                <w:b w:val="0"/>
                <w:i w:val="0"/>
                <w:sz w:val="16"/>
              </w:rPr>
              <w:t>Temporal lobe epilepsy lesion tissue</w:t>
            </w:r>
          </w:p>
        </w:tc>
        <w:tc>
          <w:tcPr>
            <w:tcW w:w="4535" w:type="dxa"/>
          </w:tcPr>
          <w:p w14:paraId="6F2DD820">
            <w:pPr>
              <w:spacing w:after="0" w:line="240" w:lineRule="auto"/>
            </w:pPr>
            <w:r>
              <w:rPr>
                <w:rFonts w:ascii="Times New Roman" w:hAnsi="Times New Roman" w:eastAsia="Times New Roman"/>
                <w:b w:val="0"/>
                <w:i w:val="0"/>
                <w:sz w:val="16"/>
              </w:rPr>
              <w:t>Expression-level support for the candidate transcription factors and their target gene sets</w:t>
            </w:r>
          </w:p>
        </w:tc>
      </w:tr>
      <w:tr w14:paraId="40BB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008778">
            <w:pPr>
              <w:spacing w:after="0" w:line="240" w:lineRule="auto"/>
            </w:pPr>
            <w:r>
              <w:rPr>
                <w:rFonts w:ascii="Times New Roman" w:hAnsi="Times New Roman" w:eastAsia="Times New Roman"/>
                <w:b w:val="0"/>
                <w:i w:val="0"/>
                <w:sz w:val="16"/>
              </w:rPr>
              <w:t>GSE190452</w:t>
            </w:r>
          </w:p>
        </w:tc>
        <w:tc>
          <w:tcPr>
            <w:tcW w:w="2041" w:type="dxa"/>
          </w:tcPr>
          <w:p w14:paraId="65F71785">
            <w:pPr>
              <w:spacing w:after="0" w:line="240" w:lineRule="auto"/>
            </w:pPr>
            <w:r>
              <w:rPr>
                <w:rFonts w:ascii="Times New Roman" w:hAnsi="Times New Roman" w:eastAsia="Times New Roman"/>
                <w:b w:val="0"/>
                <w:i w:val="0"/>
                <w:sz w:val="16"/>
              </w:rPr>
              <w:t>Validation database (temporal lobe epilepsy)</w:t>
            </w:r>
          </w:p>
        </w:tc>
        <w:tc>
          <w:tcPr>
            <w:tcW w:w="2494" w:type="dxa"/>
          </w:tcPr>
          <w:p w14:paraId="207971B0">
            <w:pPr>
              <w:spacing w:after="0" w:line="240" w:lineRule="auto"/>
            </w:pPr>
            <w:r>
              <w:rPr>
                <w:rFonts w:ascii="Times New Roman" w:hAnsi="Times New Roman" w:eastAsia="Times New Roman"/>
                <w:b w:val="0"/>
                <w:i w:val="0"/>
                <w:sz w:val="16"/>
              </w:rPr>
              <w:t>Temporal lobe epilepsy and non-epilepsy control expression object</w:t>
            </w:r>
          </w:p>
        </w:tc>
        <w:tc>
          <w:tcPr>
            <w:tcW w:w="1020" w:type="dxa"/>
          </w:tcPr>
          <w:p w14:paraId="5E6F996C">
            <w:pPr>
              <w:spacing w:after="0" w:line="240" w:lineRule="auto"/>
            </w:pPr>
            <w:r>
              <w:rPr>
                <w:rFonts w:ascii="Times New Roman" w:hAnsi="Times New Roman" w:eastAsia="Times New Roman"/>
                <w:b w:val="0"/>
                <w:i w:val="0"/>
                <w:sz w:val="16"/>
              </w:rPr>
              <w:t>69,968</w:t>
            </w:r>
          </w:p>
        </w:tc>
        <w:tc>
          <w:tcPr>
            <w:tcW w:w="1814" w:type="dxa"/>
          </w:tcPr>
          <w:p w14:paraId="1478C566">
            <w:pPr>
              <w:spacing w:after="0" w:line="240" w:lineRule="auto"/>
            </w:pPr>
            <w:r>
              <w:rPr>
                <w:rFonts w:ascii="Times New Roman" w:hAnsi="Times New Roman" w:eastAsia="Times New Roman"/>
                <w:b w:val="0"/>
                <w:i w:val="0"/>
                <w:sz w:val="16"/>
              </w:rPr>
              <w:t>Temporal lobe epilepsy vs non-epilepsy control</w:t>
            </w:r>
          </w:p>
        </w:tc>
        <w:tc>
          <w:tcPr>
            <w:tcW w:w="4535" w:type="dxa"/>
          </w:tcPr>
          <w:p w14:paraId="59697019">
            <w:pPr>
              <w:spacing w:after="0" w:line="240" w:lineRule="auto"/>
            </w:pPr>
            <w:r>
              <w:rPr>
                <w:rFonts w:ascii="Times New Roman" w:hAnsi="Times New Roman" w:eastAsia="Times New Roman"/>
                <w:b w:val="0"/>
                <w:i w:val="0"/>
                <w:sz w:val="16"/>
              </w:rPr>
              <w:t>Cross-syndrome expression and gene-set support analysis</w:t>
            </w:r>
          </w:p>
        </w:tc>
      </w:tr>
    </w:tbl>
    <w:p w14:paraId="675C096F">
      <w:pPr>
        <w:spacing w:before="60" w:after="200" w:line="276" w:lineRule="auto"/>
      </w:pPr>
      <w:r>
        <w:rPr>
          <w:rFonts w:ascii="Times New Roman" w:hAnsi="Times New Roman" w:eastAsia="Times New Roman"/>
          <w:b w:val="0"/>
          <w:i/>
          <w:sz w:val="16"/>
        </w:rPr>
        <w:t>GSE268807 was the discovery dataset. GSE140393 and GSE190452 are temporal lobe epilepsy validation databases used for expression-level and gene-set support.</w:t>
      </w:r>
    </w:p>
    <w:p w14:paraId="264698D3">
      <w:pPr>
        <w:spacing w:before="120" w:after="80" w:line="276" w:lineRule="auto"/>
      </w:pPr>
      <w:r>
        <w:rPr>
          <w:rFonts w:ascii="Times New Roman" w:hAnsi="Times New Roman" w:eastAsia="Times New Roman"/>
          <w:b/>
          <w:i w:val="0"/>
          <w:sz w:val="20"/>
        </w:rPr>
        <w:t>Table 2. Axis direction and cross-analysis robustness of the prioritised candidate transcription factors.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1"/>
        <w:gridCol w:w="1571"/>
        <w:gridCol w:w="1571"/>
        <w:gridCol w:w="1571"/>
        <w:gridCol w:w="1571"/>
        <w:gridCol w:w="1571"/>
        <w:gridCol w:w="1571"/>
        <w:gridCol w:w="1571"/>
        <w:gridCol w:w="1571"/>
      </w:tblGrid>
      <w:tr w14:paraId="31A7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6A5A96B">
            <w:pPr>
              <w:spacing w:after="0" w:line="240" w:lineRule="auto"/>
            </w:pPr>
            <w:r>
              <w:rPr>
                <w:rFonts w:ascii="Times New Roman" w:hAnsi="Times New Roman" w:eastAsia="Times New Roman"/>
                <w:b/>
                <w:i w:val="0"/>
                <w:sz w:val="16"/>
              </w:rPr>
              <w:t>Transcription factor</w:t>
            </w:r>
          </w:p>
        </w:tc>
        <w:tc>
          <w:tcPr>
            <w:tcW w:w="1134" w:type="dxa"/>
          </w:tcPr>
          <w:p w14:paraId="609D368A">
            <w:pPr>
              <w:spacing w:after="0" w:line="240" w:lineRule="auto"/>
            </w:pPr>
            <w:r>
              <w:rPr>
                <w:rFonts w:ascii="Times New Roman" w:hAnsi="Times New Roman" w:eastAsia="Times New Roman"/>
                <w:b/>
                <w:i w:val="0"/>
                <w:sz w:val="16"/>
              </w:rPr>
              <w:t>Literature evidence class</w:t>
            </w:r>
          </w:p>
        </w:tc>
        <w:tc>
          <w:tcPr>
            <w:tcW w:w="1701" w:type="dxa"/>
          </w:tcPr>
          <w:p w14:paraId="77D9B304">
            <w:pPr>
              <w:spacing w:after="0" w:line="240" w:lineRule="auto"/>
            </w:pPr>
            <w:r>
              <w:rPr>
                <w:rFonts w:ascii="Times New Roman" w:hAnsi="Times New Roman" w:eastAsia="Times New Roman"/>
                <w:b/>
                <w:i w:val="0"/>
                <w:sz w:val="16"/>
              </w:rPr>
              <w:t>Axis direction</w:t>
            </w:r>
          </w:p>
        </w:tc>
        <w:tc>
          <w:tcPr>
            <w:tcW w:w="1474" w:type="dxa"/>
          </w:tcPr>
          <w:p w14:paraId="413CAA5F">
            <w:pPr>
              <w:spacing w:after="0" w:line="240" w:lineRule="auto"/>
            </w:pPr>
            <w:r>
              <w:rPr>
                <w:rFonts w:ascii="Times New Roman" w:hAnsi="Times New Roman" w:eastAsia="Times New Roman"/>
                <w:b/>
                <w:i w:val="0"/>
                <w:sz w:val="16"/>
              </w:rPr>
              <w:t>Expression-scale stable</w:t>
            </w:r>
          </w:p>
        </w:tc>
        <w:tc>
          <w:tcPr>
            <w:tcW w:w="1247" w:type="dxa"/>
          </w:tcPr>
          <w:p w14:paraId="3FBD5420">
            <w:pPr>
              <w:spacing w:after="0" w:line="240" w:lineRule="auto"/>
            </w:pPr>
            <w:r>
              <w:rPr>
                <w:rFonts w:ascii="Times New Roman" w:hAnsi="Times New Roman" w:eastAsia="Times New Roman"/>
                <w:b/>
                <w:i w:val="0"/>
                <w:sz w:val="16"/>
              </w:rPr>
              <w:t>Donor concordance</w:t>
            </w:r>
          </w:p>
        </w:tc>
        <w:tc>
          <w:tcPr>
            <w:tcW w:w="1701" w:type="dxa"/>
          </w:tcPr>
          <w:p w14:paraId="11C498F8">
            <w:pPr>
              <w:spacing w:after="0" w:line="240" w:lineRule="auto"/>
            </w:pPr>
            <w:r>
              <w:rPr>
                <w:rFonts w:ascii="Times New Roman" w:hAnsi="Times New Roman" w:eastAsia="Times New Roman"/>
                <w:b/>
                <w:i w:val="0"/>
                <w:sz w:val="16"/>
              </w:rPr>
              <w:t>Threshold retention</w:t>
            </w:r>
          </w:p>
        </w:tc>
        <w:tc>
          <w:tcPr>
            <w:tcW w:w="3969" w:type="dxa"/>
          </w:tcPr>
          <w:p w14:paraId="3D4F18BF">
            <w:pPr>
              <w:spacing w:after="0" w:line="240" w:lineRule="auto"/>
            </w:pPr>
            <w:r>
              <w:rPr>
                <w:rFonts w:ascii="Times New Roman" w:hAnsi="Times New Roman" w:eastAsia="Times New Roman"/>
                <w:b/>
                <w:i w:val="0"/>
                <w:sz w:val="16"/>
              </w:rPr>
              <w:t>Network-edge change</w:t>
            </w:r>
          </w:p>
        </w:tc>
        <w:tc>
          <w:tcPr>
            <w:tcW w:w="2268" w:type="dxa"/>
          </w:tcPr>
          <w:p w14:paraId="435AADA7">
            <w:pPr>
              <w:spacing w:after="0" w:line="240" w:lineRule="auto"/>
            </w:pPr>
            <w:r>
              <w:rPr>
                <w:rFonts w:ascii="Times New Roman" w:hAnsi="Times New Roman" w:eastAsia="Times New Roman"/>
                <w:b/>
                <w:i w:val="0"/>
                <w:sz w:val="16"/>
              </w:rPr>
              <w:t>Regulon-target enrichment</w:t>
            </w:r>
          </w:p>
        </w:tc>
        <w:tc>
          <w:tcPr>
            <w:tcW w:w="1571" w:type="dxa"/>
          </w:tcPr>
          <w:p w14:paraId="553C7AAE">
            <w:pPr>
              <w:spacing w:after="0" w:line="240" w:lineRule="auto"/>
            </w:pPr>
            <w:r>
              <w:rPr>
                <w:rFonts w:ascii="Times New Roman" w:hAnsi="Times New Roman" w:eastAsia="Times New Roman"/>
                <w:b/>
                <w:i w:val="0"/>
                <w:sz w:val="16"/>
              </w:rPr>
              <w:t>Priority</w:t>
            </w:r>
          </w:p>
        </w:tc>
      </w:tr>
      <w:tr w14:paraId="12A0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0F0A3F7">
            <w:pPr>
              <w:spacing w:after="0" w:line="240" w:lineRule="auto"/>
            </w:pPr>
            <w:r>
              <w:rPr>
                <w:rFonts w:ascii="Times New Roman" w:hAnsi="Times New Roman" w:eastAsia="Times New Roman"/>
                <w:b w:val="0"/>
                <w:i w:val="0"/>
                <w:sz w:val="16"/>
              </w:rPr>
              <w:t>NFE2L2</w:t>
            </w:r>
          </w:p>
        </w:tc>
        <w:tc>
          <w:tcPr>
            <w:tcW w:w="1134" w:type="dxa"/>
          </w:tcPr>
          <w:p w14:paraId="1DA595D0">
            <w:pPr>
              <w:spacing w:after="0" w:line="240" w:lineRule="auto"/>
            </w:pPr>
            <w:r>
              <w:rPr>
                <w:rFonts w:ascii="Times New Roman" w:hAnsi="Times New Roman" w:eastAsia="Times New Roman"/>
                <w:b w:val="0"/>
                <w:i w:val="0"/>
                <w:sz w:val="16"/>
              </w:rPr>
              <w:t>B</w:t>
            </w:r>
          </w:p>
        </w:tc>
        <w:tc>
          <w:tcPr>
            <w:tcW w:w="1701" w:type="dxa"/>
          </w:tcPr>
          <w:p w14:paraId="302CB2AD">
            <w:pPr>
              <w:spacing w:after="0" w:line="240" w:lineRule="auto"/>
            </w:pPr>
            <w:r>
              <w:rPr>
                <w:rFonts w:ascii="Times New Roman" w:hAnsi="Times New Roman" w:eastAsia="Times New Roman"/>
                <w:b w:val="0"/>
                <w:i w:val="0"/>
                <w:sz w:val="16"/>
              </w:rPr>
              <w:t>Lesion-associated</w:t>
            </w:r>
          </w:p>
        </w:tc>
        <w:tc>
          <w:tcPr>
            <w:tcW w:w="1474" w:type="dxa"/>
          </w:tcPr>
          <w:p w14:paraId="0623E236">
            <w:pPr>
              <w:spacing w:after="0" w:line="240" w:lineRule="auto"/>
            </w:pPr>
            <w:r>
              <w:rPr>
                <w:rFonts w:ascii="Times New Roman" w:hAnsi="Times New Roman" w:eastAsia="Times New Roman"/>
                <w:b w:val="0"/>
                <w:i w:val="0"/>
                <w:sz w:val="16"/>
              </w:rPr>
              <w:t>Yes</w:t>
            </w:r>
          </w:p>
        </w:tc>
        <w:tc>
          <w:tcPr>
            <w:tcW w:w="1247" w:type="dxa"/>
          </w:tcPr>
          <w:p w14:paraId="55EEE159">
            <w:pPr>
              <w:spacing w:after="0" w:line="240" w:lineRule="auto"/>
            </w:pPr>
            <w:r>
              <w:rPr>
                <w:rFonts w:ascii="Times New Roman" w:hAnsi="Times New Roman" w:eastAsia="Times New Roman"/>
                <w:b w:val="0"/>
                <w:i w:val="0"/>
                <w:sz w:val="16"/>
              </w:rPr>
              <w:t>Concordant</w:t>
            </w:r>
          </w:p>
        </w:tc>
        <w:tc>
          <w:tcPr>
            <w:tcW w:w="1701" w:type="dxa"/>
          </w:tcPr>
          <w:p w14:paraId="6E0195CF">
            <w:pPr>
              <w:spacing w:after="0" w:line="240" w:lineRule="auto"/>
            </w:pPr>
            <w:r>
              <w:rPr>
                <w:rFonts w:ascii="Times New Roman" w:hAnsi="Times New Roman" w:eastAsia="Times New Roman"/>
                <w:b w:val="0"/>
                <w:i w:val="0"/>
                <w:sz w:val="16"/>
              </w:rPr>
              <w:t>66.7%</w:t>
            </w:r>
          </w:p>
        </w:tc>
        <w:tc>
          <w:tcPr>
            <w:tcW w:w="3969" w:type="dxa"/>
          </w:tcPr>
          <w:p w14:paraId="032DB8DC">
            <w:pPr>
              <w:spacing w:after="0" w:line="240" w:lineRule="auto"/>
            </w:pPr>
            <w:r>
              <w:rPr>
                <w:rFonts w:ascii="Times New Roman" w:hAnsi="Times New Roman" w:eastAsia="Times New Roman"/>
                <w:b w:val="0"/>
                <w:i w:val="0"/>
                <w:sz w:val="16"/>
              </w:rPr>
              <w:t>-5.6% (most stable)</w:t>
            </w:r>
          </w:p>
        </w:tc>
        <w:tc>
          <w:tcPr>
            <w:tcW w:w="2268" w:type="dxa"/>
          </w:tcPr>
          <w:p w14:paraId="74F4BBC2">
            <w:pPr>
              <w:spacing w:after="0" w:line="240" w:lineRule="auto"/>
            </w:pPr>
            <w:r>
              <w:rPr>
                <w:rFonts w:hint="eastAsia" w:ascii="Times New Roman" w:hAnsi="Times New Roman" w:eastAsia="Times New Roman"/>
                <w:b w:val="0"/>
                <w:i w:val="0"/>
                <w:sz w:val="16"/>
              </w:rPr>
              <w:t>Yes: transcription regulation and MAPK signalling</w:t>
            </w:r>
          </w:p>
        </w:tc>
        <w:tc>
          <w:tcPr>
            <w:tcW w:w="1571" w:type="dxa"/>
          </w:tcPr>
          <w:p w14:paraId="295D6DAE">
            <w:pPr>
              <w:spacing w:after="0" w:line="240" w:lineRule="auto"/>
            </w:pPr>
            <w:r>
              <w:rPr>
                <w:rFonts w:ascii="Times New Roman" w:hAnsi="Times New Roman" w:eastAsia="Times New Roman"/>
                <w:b w:val="0"/>
                <w:i w:val="0"/>
                <w:sz w:val="16"/>
              </w:rPr>
              <w:t>Primary lesion-associated axis</w:t>
            </w:r>
          </w:p>
        </w:tc>
      </w:tr>
      <w:tr w14:paraId="6513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1E5A232">
            <w:pPr>
              <w:spacing w:after="0" w:line="240" w:lineRule="auto"/>
            </w:pPr>
            <w:r>
              <w:rPr>
                <w:rFonts w:ascii="Times New Roman" w:hAnsi="Times New Roman" w:eastAsia="Times New Roman"/>
                <w:b w:val="0"/>
                <w:i w:val="0"/>
                <w:sz w:val="16"/>
              </w:rPr>
              <w:t>THRB</w:t>
            </w:r>
          </w:p>
        </w:tc>
        <w:tc>
          <w:tcPr>
            <w:tcW w:w="1134" w:type="dxa"/>
          </w:tcPr>
          <w:p w14:paraId="7C2F220C">
            <w:pPr>
              <w:spacing w:after="0" w:line="240" w:lineRule="auto"/>
            </w:pPr>
            <w:r>
              <w:rPr>
                <w:rFonts w:ascii="Times New Roman" w:hAnsi="Times New Roman" w:eastAsia="Times New Roman"/>
                <w:b w:val="0"/>
                <w:i w:val="0"/>
                <w:sz w:val="16"/>
              </w:rPr>
              <w:t>B</w:t>
            </w:r>
          </w:p>
        </w:tc>
        <w:tc>
          <w:tcPr>
            <w:tcW w:w="1701" w:type="dxa"/>
          </w:tcPr>
          <w:p w14:paraId="29D246CA">
            <w:pPr>
              <w:spacing w:after="0" w:line="240" w:lineRule="auto"/>
            </w:pPr>
            <w:r>
              <w:rPr>
                <w:rFonts w:ascii="Times New Roman" w:hAnsi="Times New Roman" w:eastAsia="Times New Roman"/>
                <w:b w:val="0"/>
                <w:i w:val="0"/>
                <w:sz w:val="16"/>
              </w:rPr>
              <w:t>Reduced in lesion tissue</w:t>
            </w:r>
          </w:p>
        </w:tc>
        <w:tc>
          <w:tcPr>
            <w:tcW w:w="1474" w:type="dxa"/>
          </w:tcPr>
          <w:p w14:paraId="1CEFCC08">
            <w:pPr>
              <w:spacing w:after="0" w:line="240" w:lineRule="auto"/>
            </w:pPr>
            <w:r>
              <w:rPr>
                <w:rFonts w:ascii="Times New Roman" w:hAnsi="Times New Roman" w:eastAsia="Times New Roman"/>
                <w:b w:val="0"/>
                <w:i w:val="0"/>
                <w:sz w:val="16"/>
              </w:rPr>
              <w:t>Yes</w:t>
            </w:r>
          </w:p>
        </w:tc>
        <w:tc>
          <w:tcPr>
            <w:tcW w:w="1247" w:type="dxa"/>
          </w:tcPr>
          <w:p w14:paraId="41085AE4">
            <w:pPr>
              <w:spacing w:after="0" w:line="240" w:lineRule="auto"/>
            </w:pPr>
            <w:r>
              <w:rPr>
                <w:rFonts w:ascii="Times New Roman" w:hAnsi="Times New Roman" w:eastAsia="Times New Roman"/>
                <w:b w:val="0"/>
                <w:i w:val="0"/>
                <w:sz w:val="16"/>
              </w:rPr>
              <w:t>Concordant</w:t>
            </w:r>
          </w:p>
        </w:tc>
        <w:tc>
          <w:tcPr>
            <w:tcW w:w="1701" w:type="dxa"/>
          </w:tcPr>
          <w:p w14:paraId="5CB3D2C2">
            <w:pPr>
              <w:spacing w:after="0" w:line="240" w:lineRule="auto"/>
            </w:pPr>
            <w:r>
              <w:rPr>
                <w:rFonts w:ascii="Times New Roman" w:hAnsi="Times New Roman" w:eastAsia="Times New Roman"/>
                <w:b w:val="0"/>
                <w:i w:val="0"/>
                <w:sz w:val="16"/>
              </w:rPr>
              <w:t>100%</w:t>
            </w:r>
          </w:p>
        </w:tc>
        <w:tc>
          <w:tcPr>
            <w:tcW w:w="3969" w:type="dxa"/>
          </w:tcPr>
          <w:p w14:paraId="4F721FF6">
            <w:pPr>
              <w:spacing w:after="0" w:line="240" w:lineRule="auto"/>
            </w:pPr>
            <w:r>
              <w:rPr>
                <w:rFonts w:ascii="Times New Roman" w:hAnsi="Times New Roman" w:eastAsia="Times New Roman"/>
                <w:b w:val="0"/>
                <w:i w:val="0"/>
                <w:sz w:val="16"/>
              </w:rPr>
              <w:t>-17.6%</w:t>
            </w:r>
          </w:p>
        </w:tc>
        <w:tc>
          <w:tcPr>
            <w:tcW w:w="2268" w:type="dxa"/>
          </w:tcPr>
          <w:p w14:paraId="338724C3">
            <w:pPr>
              <w:spacing w:after="0" w:line="240" w:lineRule="auto"/>
            </w:pPr>
            <w:r>
              <w:rPr>
                <w:rFonts w:ascii="Times New Roman" w:hAnsi="Times New Roman" w:eastAsia="Times New Roman"/>
                <w:b w:val="0"/>
                <w:i w:val="0"/>
                <w:sz w:val="16"/>
              </w:rPr>
              <w:t>Yes: calcium-regulated neurotransmitter exocytosis, dendrite extension and synaptic vesicle cycle</w:t>
            </w:r>
          </w:p>
        </w:tc>
        <w:tc>
          <w:tcPr>
            <w:tcW w:w="1571" w:type="dxa"/>
          </w:tcPr>
          <w:p w14:paraId="2F95D703">
            <w:pPr>
              <w:spacing w:after="0" w:line="240" w:lineRule="auto"/>
            </w:pPr>
            <w:r>
              <w:rPr>
                <w:rFonts w:ascii="Times New Roman" w:hAnsi="Times New Roman" w:eastAsia="Times New Roman"/>
                <w:b w:val="0"/>
                <w:i w:val="0"/>
                <w:sz w:val="16"/>
              </w:rPr>
              <w:t>Primary homeostatic program reduced in lesion tissue</w:t>
            </w:r>
          </w:p>
        </w:tc>
      </w:tr>
      <w:tr w14:paraId="4B00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A6EB6B9">
            <w:pPr>
              <w:spacing w:after="0" w:line="240" w:lineRule="auto"/>
            </w:pPr>
            <w:r>
              <w:rPr>
                <w:rFonts w:ascii="Times New Roman" w:hAnsi="Times New Roman" w:eastAsia="Times New Roman"/>
                <w:b w:val="0"/>
                <w:i w:val="0"/>
                <w:sz w:val="16"/>
              </w:rPr>
              <w:t>SATB2</w:t>
            </w:r>
          </w:p>
        </w:tc>
        <w:tc>
          <w:tcPr>
            <w:tcW w:w="1134" w:type="dxa"/>
          </w:tcPr>
          <w:p w14:paraId="5A98AB1B">
            <w:pPr>
              <w:spacing w:after="0" w:line="240" w:lineRule="auto"/>
            </w:pPr>
            <w:r>
              <w:rPr>
                <w:rFonts w:ascii="Times New Roman" w:hAnsi="Times New Roman" w:eastAsia="Times New Roman"/>
                <w:b w:val="0"/>
                <w:i w:val="0"/>
                <w:sz w:val="16"/>
              </w:rPr>
              <w:t>A</w:t>
            </w:r>
          </w:p>
        </w:tc>
        <w:tc>
          <w:tcPr>
            <w:tcW w:w="1701" w:type="dxa"/>
          </w:tcPr>
          <w:p w14:paraId="0CB3EA08">
            <w:pPr>
              <w:spacing w:after="0" w:line="240" w:lineRule="auto"/>
            </w:pPr>
            <w:r>
              <w:rPr>
                <w:rFonts w:ascii="Times New Roman" w:hAnsi="Times New Roman" w:eastAsia="Times New Roman"/>
                <w:b w:val="0"/>
                <w:i w:val="0"/>
                <w:sz w:val="16"/>
              </w:rPr>
              <w:t>Reduced in lesion tissue</w:t>
            </w:r>
          </w:p>
        </w:tc>
        <w:tc>
          <w:tcPr>
            <w:tcW w:w="1474" w:type="dxa"/>
          </w:tcPr>
          <w:p w14:paraId="41A4CE0F">
            <w:pPr>
              <w:spacing w:after="0" w:line="240" w:lineRule="auto"/>
            </w:pPr>
            <w:r>
              <w:rPr>
                <w:rFonts w:ascii="Times New Roman" w:hAnsi="Times New Roman" w:eastAsia="Times New Roman"/>
                <w:b w:val="0"/>
                <w:i w:val="0"/>
                <w:sz w:val="16"/>
              </w:rPr>
              <w:t>Yes</w:t>
            </w:r>
          </w:p>
        </w:tc>
        <w:tc>
          <w:tcPr>
            <w:tcW w:w="1247" w:type="dxa"/>
          </w:tcPr>
          <w:p w14:paraId="3CD24F1B">
            <w:pPr>
              <w:spacing w:after="0" w:line="240" w:lineRule="auto"/>
            </w:pPr>
            <w:r>
              <w:rPr>
                <w:rFonts w:ascii="Times New Roman" w:hAnsi="Times New Roman" w:eastAsia="Times New Roman"/>
                <w:b w:val="0"/>
                <w:i w:val="0"/>
                <w:sz w:val="16"/>
              </w:rPr>
              <w:t>Concordant</w:t>
            </w:r>
          </w:p>
        </w:tc>
        <w:tc>
          <w:tcPr>
            <w:tcW w:w="1701" w:type="dxa"/>
          </w:tcPr>
          <w:p w14:paraId="3CD8245D">
            <w:pPr>
              <w:spacing w:after="0" w:line="240" w:lineRule="auto"/>
            </w:pPr>
            <w:r>
              <w:rPr>
                <w:rFonts w:ascii="Times New Roman" w:hAnsi="Times New Roman" w:eastAsia="Times New Roman"/>
                <w:b w:val="0"/>
                <w:i w:val="0"/>
                <w:sz w:val="16"/>
              </w:rPr>
              <w:t>100%</w:t>
            </w:r>
          </w:p>
        </w:tc>
        <w:tc>
          <w:tcPr>
            <w:tcW w:w="3969" w:type="dxa"/>
          </w:tcPr>
          <w:p w14:paraId="0604F719">
            <w:pPr>
              <w:spacing w:after="0" w:line="240" w:lineRule="auto"/>
            </w:pPr>
            <w:r>
              <w:rPr>
                <w:rFonts w:ascii="Times New Roman" w:hAnsi="Times New Roman" w:eastAsia="Times New Roman"/>
                <w:b w:val="0"/>
                <w:i w:val="0"/>
                <w:sz w:val="16"/>
              </w:rPr>
              <w:t>-13.0%</w:t>
            </w:r>
          </w:p>
        </w:tc>
        <w:tc>
          <w:tcPr>
            <w:tcW w:w="2268" w:type="dxa"/>
          </w:tcPr>
          <w:p w14:paraId="1AF92FDD">
            <w:pPr>
              <w:spacing w:after="0" w:line="240" w:lineRule="auto"/>
            </w:pPr>
            <w:r>
              <w:rPr>
                <w:rFonts w:ascii="Times New Roman" w:hAnsi="Times New Roman" w:eastAsia="Times New Roman"/>
                <w:b w:val="0"/>
                <w:i w:val="0"/>
                <w:sz w:val="16"/>
              </w:rPr>
              <w:t>Yes: morphogenesis and axon guidance</w:t>
            </w:r>
          </w:p>
        </w:tc>
        <w:tc>
          <w:tcPr>
            <w:tcW w:w="1571" w:type="dxa"/>
          </w:tcPr>
          <w:p w14:paraId="4E583601">
            <w:pPr>
              <w:spacing w:after="0" w:line="240" w:lineRule="auto"/>
            </w:pPr>
            <w:r>
              <w:rPr>
                <w:rFonts w:ascii="Times New Roman" w:hAnsi="Times New Roman" w:eastAsia="Times New Roman"/>
                <w:b w:val="0"/>
                <w:i w:val="0"/>
                <w:sz w:val="16"/>
              </w:rPr>
              <w:t>Supportive</w:t>
            </w:r>
          </w:p>
        </w:tc>
      </w:tr>
      <w:tr w14:paraId="6D58D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6C343CF">
            <w:pPr>
              <w:spacing w:after="0" w:line="240" w:lineRule="auto"/>
            </w:pPr>
            <w:r>
              <w:rPr>
                <w:rFonts w:ascii="Times New Roman" w:hAnsi="Times New Roman" w:eastAsia="Times New Roman"/>
                <w:b w:val="0"/>
                <w:i w:val="0"/>
                <w:sz w:val="16"/>
              </w:rPr>
              <w:t>SMAD3</w:t>
            </w:r>
          </w:p>
        </w:tc>
        <w:tc>
          <w:tcPr>
            <w:tcW w:w="1134" w:type="dxa"/>
          </w:tcPr>
          <w:p w14:paraId="003C4CF7">
            <w:pPr>
              <w:spacing w:after="0" w:line="240" w:lineRule="auto"/>
            </w:pPr>
            <w:r>
              <w:rPr>
                <w:rFonts w:ascii="Times New Roman" w:hAnsi="Times New Roman" w:eastAsia="Times New Roman"/>
                <w:b w:val="0"/>
                <w:i w:val="0"/>
                <w:sz w:val="16"/>
              </w:rPr>
              <w:t>B</w:t>
            </w:r>
          </w:p>
        </w:tc>
        <w:tc>
          <w:tcPr>
            <w:tcW w:w="1701" w:type="dxa"/>
          </w:tcPr>
          <w:p w14:paraId="76CDE9FB">
            <w:pPr>
              <w:spacing w:after="0" w:line="240" w:lineRule="auto"/>
            </w:pPr>
            <w:r>
              <w:rPr>
                <w:rFonts w:ascii="Times New Roman" w:hAnsi="Times New Roman" w:eastAsia="Times New Roman"/>
                <w:b w:val="0"/>
                <w:i w:val="0"/>
                <w:sz w:val="16"/>
              </w:rPr>
              <w:t>Reduced in lesion tissue</w:t>
            </w:r>
          </w:p>
        </w:tc>
        <w:tc>
          <w:tcPr>
            <w:tcW w:w="1474" w:type="dxa"/>
          </w:tcPr>
          <w:p w14:paraId="1A47CBF7">
            <w:pPr>
              <w:spacing w:after="0" w:line="240" w:lineRule="auto"/>
            </w:pPr>
            <w:r>
              <w:rPr>
                <w:rFonts w:ascii="Times New Roman" w:hAnsi="Times New Roman" w:eastAsia="Times New Roman"/>
                <w:b w:val="0"/>
                <w:i w:val="0"/>
                <w:sz w:val="16"/>
              </w:rPr>
              <w:t>No (linear scale |L| = 0.193)</w:t>
            </w:r>
          </w:p>
        </w:tc>
        <w:tc>
          <w:tcPr>
            <w:tcW w:w="1247" w:type="dxa"/>
          </w:tcPr>
          <w:p w14:paraId="13F413DE">
            <w:pPr>
              <w:spacing w:after="0" w:line="240" w:lineRule="auto"/>
            </w:pPr>
            <w:r>
              <w:rPr>
                <w:rFonts w:ascii="Times New Roman" w:hAnsi="Times New Roman" w:eastAsia="Times New Roman"/>
                <w:b w:val="0"/>
                <w:i w:val="0"/>
                <w:sz w:val="16"/>
              </w:rPr>
              <w:t>Discordant</w:t>
            </w:r>
          </w:p>
        </w:tc>
        <w:tc>
          <w:tcPr>
            <w:tcW w:w="1701" w:type="dxa"/>
          </w:tcPr>
          <w:p w14:paraId="7D6FB27A">
            <w:pPr>
              <w:spacing w:after="0" w:line="240" w:lineRule="auto"/>
            </w:pPr>
            <w:r>
              <w:rPr>
                <w:rFonts w:ascii="Times New Roman" w:hAnsi="Times New Roman" w:eastAsia="Times New Roman"/>
                <w:b w:val="0"/>
                <w:i w:val="0"/>
                <w:sz w:val="16"/>
              </w:rPr>
              <w:t>66.7%</w:t>
            </w:r>
          </w:p>
        </w:tc>
        <w:tc>
          <w:tcPr>
            <w:tcW w:w="3969" w:type="dxa"/>
          </w:tcPr>
          <w:p w14:paraId="1340C48B">
            <w:pPr>
              <w:spacing w:after="0" w:line="240" w:lineRule="auto"/>
            </w:pPr>
            <w:r>
              <w:rPr>
                <w:rFonts w:ascii="Times New Roman" w:hAnsi="Times New Roman" w:eastAsia="Times New Roman"/>
                <w:b w:val="0"/>
                <w:i w:val="0"/>
                <w:sz w:val="16"/>
              </w:rPr>
              <w:t>-7.4%</w:t>
            </w:r>
          </w:p>
        </w:tc>
        <w:tc>
          <w:tcPr>
            <w:tcW w:w="2268" w:type="dxa"/>
          </w:tcPr>
          <w:p w14:paraId="244DBD12">
            <w:pPr>
              <w:spacing w:after="0" w:line="240" w:lineRule="auto"/>
            </w:pPr>
            <w:r>
              <w:rPr>
                <w:rFonts w:ascii="Times New Roman" w:hAnsi="Times New Roman" w:eastAsia="Times New Roman"/>
                <w:b w:val="0"/>
                <w:i w:val="0"/>
                <w:sz w:val="16"/>
              </w:rPr>
              <w:t>Yes: synaptic transmission and axon guidance</w:t>
            </w:r>
          </w:p>
        </w:tc>
        <w:tc>
          <w:tcPr>
            <w:tcW w:w="1571" w:type="dxa"/>
          </w:tcPr>
          <w:p w14:paraId="6D33395A">
            <w:pPr>
              <w:spacing w:after="0" w:line="240" w:lineRule="auto"/>
            </w:pPr>
            <w:r>
              <w:rPr>
                <w:rFonts w:ascii="Times New Roman" w:hAnsi="Times New Roman" w:eastAsia="Times New Roman"/>
                <w:b w:val="0"/>
                <w:i w:val="0"/>
                <w:sz w:val="16"/>
              </w:rPr>
              <w:t>Supportive, least reproducible</w:t>
            </w:r>
          </w:p>
        </w:tc>
      </w:tr>
      <w:tr w14:paraId="0679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6436353">
            <w:pPr>
              <w:spacing w:after="0" w:line="240" w:lineRule="auto"/>
            </w:pPr>
            <w:r>
              <w:rPr>
                <w:rFonts w:ascii="Times New Roman" w:hAnsi="Times New Roman" w:eastAsia="Times New Roman"/>
                <w:b w:val="0"/>
                <w:i w:val="0"/>
                <w:sz w:val="16"/>
              </w:rPr>
              <w:t>SOX2</w:t>
            </w:r>
          </w:p>
        </w:tc>
        <w:tc>
          <w:tcPr>
            <w:tcW w:w="1134" w:type="dxa"/>
          </w:tcPr>
          <w:p w14:paraId="30330073">
            <w:pPr>
              <w:spacing w:after="0" w:line="240" w:lineRule="auto"/>
            </w:pPr>
            <w:r>
              <w:rPr>
                <w:rFonts w:ascii="Times New Roman" w:hAnsi="Times New Roman" w:eastAsia="Times New Roman"/>
                <w:b w:val="0"/>
                <w:i w:val="0"/>
                <w:sz w:val="16"/>
              </w:rPr>
              <w:t>A</w:t>
            </w:r>
          </w:p>
        </w:tc>
        <w:tc>
          <w:tcPr>
            <w:tcW w:w="1701" w:type="dxa"/>
          </w:tcPr>
          <w:p w14:paraId="4366FC03">
            <w:pPr>
              <w:spacing w:after="0" w:line="240" w:lineRule="auto"/>
            </w:pPr>
            <w:r>
              <w:rPr>
                <w:rFonts w:ascii="Times New Roman" w:hAnsi="Times New Roman" w:eastAsia="Times New Roman"/>
                <w:b w:val="0"/>
                <w:i w:val="0"/>
                <w:sz w:val="16"/>
              </w:rPr>
              <w:t>Lesion-associated</w:t>
            </w:r>
          </w:p>
        </w:tc>
        <w:tc>
          <w:tcPr>
            <w:tcW w:w="1474" w:type="dxa"/>
          </w:tcPr>
          <w:p w14:paraId="062E7426">
            <w:pPr>
              <w:spacing w:after="0" w:line="240" w:lineRule="auto"/>
            </w:pPr>
            <w:r>
              <w:rPr>
                <w:rFonts w:ascii="Times New Roman" w:hAnsi="Times New Roman" w:eastAsia="Times New Roman"/>
                <w:b w:val="0"/>
                <w:i w:val="0"/>
                <w:sz w:val="16"/>
              </w:rPr>
              <w:t>Yes</w:t>
            </w:r>
          </w:p>
        </w:tc>
        <w:tc>
          <w:tcPr>
            <w:tcW w:w="1247" w:type="dxa"/>
          </w:tcPr>
          <w:p w14:paraId="4453ED92">
            <w:pPr>
              <w:spacing w:after="0" w:line="240" w:lineRule="auto"/>
            </w:pPr>
            <w:r>
              <w:rPr>
                <w:rFonts w:ascii="Times New Roman" w:hAnsi="Times New Roman" w:eastAsia="Times New Roman"/>
                <w:b w:val="0"/>
                <w:i w:val="0"/>
                <w:sz w:val="16"/>
              </w:rPr>
              <w:t>Concordant</w:t>
            </w:r>
          </w:p>
        </w:tc>
        <w:tc>
          <w:tcPr>
            <w:tcW w:w="1701" w:type="dxa"/>
          </w:tcPr>
          <w:p w14:paraId="3B098E2C">
            <w:pPr>
              <w:spacing w:after="0" w:line="240" w:lineRule="auto"/>
            </w:pPr>
            <w:r>
              <w:rPr>
                <w:rFonts w:ascii="Times New Roman" w:hAnsi="Times New Roman" w:eastAsia="Times New Roman"/>
                <w:b w:val="0"/>
                <w:i w:val="0"/>
                <w:sz w:val="16"/>
              </w:rPr>
              <w:t>66.7%</w:t>
            </w:r>
          </w:p>
        </w:tc>
        <w:tc>
          <w:tcPr>
            <w:tcW w:w="3969" w:type="dxa"/>
          </w:tcPr>
          <w:p w14:paraId="1FE4DDAE">
            <w:pPr>
              <w:spacing w:after="0" w:line="240" w:lineRule="auto"/>
            </w:pPr>
            <w:r>
              <w:rPr>
                <w:rFonts w:ascii="Times New Roman" w:hAnsi="Times New Roman" w:eastAsia="Times New Roman"/>
                <w:b w:val="0"/>
                <w:i w:val="0"/>
                <w:sz w:val="16"/>
              </w:rPr>
              <w:t>-39.0%</w:t>
            </w:r>
          </w:p>
        </w:tc>
        <w:tc>
          <w:tcPr>
            <w:tcW w:w="2268" w:type="dxa"/>
          </w:tcPr>
          <w:p w14:paraId="3A709F38">
            <w:pPr>
              <w:spacing w:after="0" w:line="240" w:lineRule="auto"/>
            </w:pPr>
            <w:r>
              <w:rPr>
                <w:rFonts w:ascii="Times New Roman" w:hAnsi="Times New Roman" w:eastAsia="Times New Roman"/>
                <w:b w:val="0"/>
                <w:i w:val="0"/>
                <w:sz w:val="16"/>
              </w:rPr>
              <w:t>No regulon-target term; two GO terms in the direction-consistent intersection</w:t>
            </w:r>
          </w:p>
        </w:tc>
        <w:tc>
          <w:tcPr>
            <w:tcW w:w="1571" w:type="dxa"/>
          </w:tcPr>
          <w:p w14:paraId="6BED5BDD">
            <w:pPr>
              <w:spacing w:after="0" w:line="240" w:lineRule="auto"/>
            </w:pPr>
            <w:r>
              <w:rPr>
                <w:rFonts w:ascii="Times New Roman" w:hAnsi="Times New Roman" w:eastAsia="Times New Roman"/>
                <w:b w:val="0"/>
                <w:i w:val="0"/>
                <w:sz w:val="16"/>
              </w:rPr>
              <w:t>Retained, target-limited</w:t>
            </w:r>
          </w:p>
        </w:tc>
      </w:tr>
      <w:tr w14:paraId="4A18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BB0ACFF">
            <w:pPr>
              <w:spacing w:after="0" w:line="240" w:lineRule="auto"/>
            </w:pPr>
            <w:r>
              <w:rPr>
                <w:rFonts w:ascii="Times New Roman" w:hAnsi="Times New Roman" w:eastAsia="Times New Roman"/>
                <w:b w:val="0"/>
                <w:i w:val="0"/>
                <w:sz w:val="16"/>
              </w:rPr>
              <w:t>SOX10</w:t>
            </w:r>
          </w:p>
        </w:tc>
        <w:tc>
          <w:tcPr>
            <w:tcW w:w="1134" w:type="dxa"/>
          </w:tcPr>
          <w:p w14:paraId="30664082">
            <w:pPr>
              <w:spacing w:after="0" w:line="240" w:lineRule="auto"/>
            </w:pPr>
            <w:r>
              <w:rPr>
                <w:rFonts w:ascii="Times New Roman" w:hAnsi="Times New Roman" w:eastAsia="Times New Roman"/>
                <w:b w:val="0"/>
                <w:i w:val="0"/>
                <w:sz w:val="16"/>
              </w:rPr>
              <w:t>A</w:t>
            </w:r>
          </w:p>
        </w:tc>
        <w:tc>
          <w:tcPr>
            <w:tcW w:w="1701" w:type="dxa"/>
          </w:tcPr>
          <w:p w14:paraId="5BBDEB4E">
            <w:pPr>
              <w:spacing w:after="0" w:line="240" w:lineRule="auto"/>
            </w:pPr>
            <w:r>
              <w:rPr>
                <w:rFonts w:ascii="Times New Roman" w:hAnsi="Times New Roman" w:eastAsia="Times New Roman"/>
                <w:b w:val="0"/>
                <w:i w:val="0"/>
                <w:sz w:val="16"/>
              </w:rPr>
              <w:t>Reduced in lesion tissue</w:t>
            </w:r>
          </w:p>
        </w:tc>
        <w:tc>
          <w:tcPr>
            <w:tcW w:w="1474" w:type="dxa"/>
          </w:tcPr>
          <w:p w14:paraId="35A370BF">
            <w:pPr>
              <w:spacing w:after="0" w:line="240" w:lineRule="auto"/>
            </w:pPr>
            <w:r>
              <w:rPr>
                <w:rFonts w:ascii="Times New Roman" w:hAnsi="Times New Roman" w:eastAsia="Times New Roman"/>
                <w:b w:val="0"/>
                <w:i w:val="0"/>
                <w:sz w:val="16"/>
              </w:rPr>
              <w:t>Yes</w:t>
            </w:r>
          </w:p>
        </w:tc>
        <w:tc>
          <w:tcPr>
            <w:tcW w:w="1247" w:type="dxa"/>
          </w:tcPr>
          <w:p w14:paraId="55263DD0">
            <w:pPr>
              <w:spacing w:after="0" w:line="240" w:lineRule="auto"/>
            </w:pPr>
            <w:r>
              <w:rPr>
                <w:rFonts w:ascii="Times New Roman" w:hAnsi="Times New Roman" w:eastAsia="Times New Roman"/>
                <w:b w:val="0"/>
                <w:i w:val="0"/>
                <w:sz w:val="16"/>
              </w:rPr>
              <w:t>Concordant</w:t>
            </w:r>
          </w:p>
        </w:tc>
        <w:tc>
          <w:tcPr>
            <w:tcW w:w="1701" w:type="dxa"/>
          </w:tcPr>
          <w:p w14:paraId="560EEE02">
            <w:pPr>
              <w:spacing w:after="0" w:line="240" w:lineRule="auto"/>
            </w:pPr>
            <w:r>
              <w:rPr>
                <w:rFonts w:ascii="Times New Roman" w:hAnsi="Times New Roman" w:eastAsia="Times New Roman"/>
                <w:b w:val="0"/>
                <w:i w:val="0"/>
                <w:sz w:val="16"/>
              </w:rPr>
              <w:t>66.7%</w:t>
            </w:r>
          </w:p>
        </w:tc>
        <w:tc>
          <w:tcPr>
            <w:tcW w:w="3969" w:type="dxa"/>
          </w:tcPr>
          <w:p w14:paraId="66FC2533">
            <w:pPr>
              <w:spacing w:after="0" w:line="240" w:lineRule="auto"/>
            </w:pPr>
            <w:r>
              <w:rPr>
                <w:rFonts w:ascii="Times New Roman" w:hAnsi="Times New Roman" w:eastAsia="Times New Roman"/>
                <w:b w:val="0"/>
                <w:i w:val="0"/>
                <w:sz w:val="16"/>
              </w:rPr>
              <w:t>-40.8%</w:t>
            </w:r>
          </w:p>
        </w:tc>
        <w:tc>
          <w:tcPr>
            <w:tcW w:w="2268" w:type="dxa"/>
          </w:tcPr>
          <w:p w14:paraId="6E25B9CD">
            <w:pPr>
              <w:spacing w:after="0" w:line="240" w:lineRule="auto"/>
            </w:pPr>
            <w:r>
              <w:rPr>
                <w:rFonts w:ascii="Times New Roman" w:hAnsi="Times New Roman" w:eastAsia="Times New Roman"/>
                <w:b w:val="0"/>
                <w:i w:val="0"/>
                <w:sz w:val="16"/>
              </w:rPr>
              <w:t>None</w:t>
            </w:r>
          </w:p>
        </w:tc>
        <w:tc>
          <w:tcPr>
            <w:tcW w:w="1571" w:type="dxa"/>
          </w:tcPr>
          <w:p w14:paraId="5FAAF496">
            <w:pPr>
              <w:spacing w:after="0" w:line="240" w:lineRule="auto"/>
            </w:pPr>
            <w:r>
              <w:rPr>
                <w:rFonts w:ascii="Times New Roman" w:hAnsi="Times New Roman" w:eastAsia="Times New Roman"/>
                <w:b w:val="0"/>
                <w:i w:val="0"/>
                <w:sz w:val="16"/>
              </w:rPr>
              <w:t>Supportive</w:t>
            </w:r>
          </w:p>
        </w:tc>
      </w:tr>
      <w:tr w14:paraId="357A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C90A4BB">
            <w:pPr>
              <w:spacing w:after="0" w:line="240" w:lineRule="auto"/>
            </w:pPr>
            <w:r>
              <w:rPr>
                <w:rFonts w:ascii="Times New Roman" w:hAnsi="Times New Roman" w:eastAsia="Times New Roman"/>
                <w:b w:val="0"/>
                <w:i w:val="0"/>
                <w:sz w:val="16"/>
              </w:rPr>
              <w:t>CUX1</w:t>
            </w:r>
          </w:p>
        </w:tc>
        <w:tc>
          <w:tcPr>
            <w:tcW w:w="1134" w:type="dxa"/>
          </w:tcPr>
          <w:p w14:paraId="6CA7C716">
            <w:pPr>
              <w:spacing w:after="0" w:line="240" w:lineRule="auto"/>
            </w:pPr>
            <w:r>
              <w:rPr>
                <w:rFonts w:ascii="Times New Roman" w:hAnsi="Times New Roman" w:eastAsia="Times New Roman"/>
                <w:b w:val="0"/>
                <w:i w:val="0"/>
                <w:sz w:val="16"/>
              </w:rPr>
              <w:t>A</w:t>
            </w:r>
          </w:p>
        </w:tc>
        <w:tc>
          <w:tcPr>
            <w:tcW w:w="1701" w:type="dxa"/>
          </w:tcPr>
          <w:p w14:paraId="2ED710C7">
            <w:pPr>
              <w:spacing w:after="0" w:line="240" w:lineRule="auto"/>
            </w:pPr>
            <w:r>
              <w:rPr>
                <w:rFonts w:ascii="Times New Roman" w:hAnsi="Times New Roman" w:eastAsia="Times New Roman"/>
                <w:b w:val="0"/>
                <w:i w:val="0"/>
                <w:sz w:val="16"/>
              </w:rPr>
              <w:t>Reduced in lesion tissue</w:t>
            </w:r>
          </w:p>
        </w:tc>
        <w:tc>
          <w:tcPr>
            <w:tcW w:w="1474" w:type="dxa"/>
          </w:tcPr>
          <w:p w14:paraId="094200D6">
            <w:pPr>
              <w:spacing w:after="0" w:line="240" w:lineRule="auto"/>
            </w:pPr>
            <w:r>
              <w:rPr>
                <w:rFonts w:ascii="Times New Roman" w:hAnsi="Times New Roman" w:eastAsia="Times New Roman"/>
                <w:b w:val="0"/>
                <w:i w:val="0"/>
                <w:sz w:val="16"/>
              </w:rPr>
              <w:t>Yes</w:t>
            </w:r>
          </w:p>
        </w:tc>
        <w:tc>
          <w:tcPr>
            <w:tcW w:w="1247" w:type="dxa"/>
          </w:tcPr>
          <w:p w14:paraId="3B7B42DB">
            <w:pPr>
              <w:spacing w:after="0" w:line="240" w:lineRule="auto"/>
            </w:pPr>
            <w:r>
              <w:rPr>
                <w:rFonts w:ascii="Times New Roman" w:hAnsi="Times New Roman" w:eastAsia="Times New Roman"/>
                <w:b w:val="0"/>
                <w:i w:val="0"/>
                <w:sz w:val="16"/>
              </w:rPr>
              <w:t>Concordant</w:t>
            </w:r>
          </w:p>
        </w:tc>
        <w:tc>
          <w:tcPr>
            <w:tcW w:w="1701" w:type="dxa"/>
          </w:tcPr>
          <w:p w14:paraId="6D46B399">
            <w:pPr>
              <w:spacing w:after="0" w:line="240" w:lineRule="auto"/>
            </w:pPr>
            <w:r>
              <w:rPr>
                <w:rFonts w:ascii="Times New Roman" w:hAnsi="Times New Roman" w:eastAsia="Times New Roman"/>
                <w:b w:val="0"/>
                <w:i w:val="0"/>
                <w:sz w:val="16"/>
              </w:rPr>
              <w:t>66.7%</w:t>
            </w:r>
          </w:p>
        </w:tc>
        <w:tc>
          <w:tcPr>
            <w:tcW w:w="3969" w:type="dxa"/>
          </w:tcPr>
          <w:p w14:paraId="77D78129">
            <w:pPr>
              <w:spacing w:after="0" w:line="240" w:lineRule="auto"/>
            </w:pPr>
            <w:r>
              <w:rPr>
                <w:rFonts w:ascii="Times New Roman" w:hAnsi="Times New Roman" w:eastAsia="Times New Roman"/>
                <w:b w:val="0"/>
                <w:i w:val="0"/>
                <w:sz w:val="16"/>
              </w:rPr>
              <w:t>-60.8% (most network dependent)</w:t>
            </w:r>
          </w:p>
        </w:tc>
        <w:tc>
          <w:tcPr>
            <w:tcW w:w="2268" w:type="dxa"/>
          </w:tcPr>
          <w:p w14:paraId="01CBF00F">
            <w:pPr>
              <w:spacing w:after="0" w:line="240" w:lineRule="auto"/>
            </w:pPr>
            <w:r>
              <w:rPr>
                <w:rFonts w:ascii="Times New Roman" w:hAnsi="Times New Roman" w:eastAsia="Times New Roman"/>
                <w:b w:val="0"/>
                <w:i w:val="0"/>
                <w:sz w:val="16"/>
              </w:rPr>
              <w:t>None</w:t>
            </w:r>
          </w:p>
        </w:tc>
        <w:tc>
          <w:tcPr>
            <w:tcW w:w="1571" w:type="dxa"/>
          </w:tcPr>
          <w:p w14:paraId="3DCA9457">
            <w:pPr>
              <w:spacing w:after="0" w:line="240" w:lineRule="auto"/>
            </w:pPr>
            <w:r>
              <w:rPr>
                <w:rFonts w:ascii="Times New Roman" w:hAnsi="Times New Roman" w:eastAsia="Times New Roman"/>
                <w:b w:val="0"/>
                <w:i w:val="0"/>
                <w:sz w:val="16"/>
              </w:rPr>
              <w:t>Supportive, network dependent</w:t>
            </w:r>
          </w:p>
        </w:tc>
      </w:tr>
    </w:tbl>
    <w:p w14:paraId="25613825">
      <w:pPr>
        <w:spacing w:before="60" w:after="200" w:line="276" w:lineRule="auto"/>
      </w:pPr>
      <w:r>
        <w:rPr>
          <w:rFonts w:ascii="Times New Roman" w:hAnsi="Times New Roman" w:eastAsia="Times New Roman"/>
          <w:b w:val="0"/>
          <w:i/>
          <w:sz w:val="16"/>
        </w:rPr>
        <w:t xml:space="preserve">Literature evidence class: A, direct human FCD or FCD II tissue evidence; B, epilepsy-related functional evidence together with central nervous system or glial support. Axis direction is the direction of the regulon activity difference between lesion tissue and internal control. Expression-scale stable means that candidate entry is preserved when the screening-scale expression statistic R is replaced by the linear-scale statistic L. Donor concordance means that the two donor pseudobulk contrasts agree in sign. Threshold retention is the fraction of the 81 entry-threshold combinations in which the candidate retains membership, with the direction requirement always enforced. Network-edge change is the percentage change in mean simulated displacement when links are restricted to motif-supported edges with the embedding held fixed. Regulon-target enrichment summarises the GO and KEGG results of the regulon-target query. The regulon activity difference, regulon FDR, target-gene count, differentially expressed gene overlap, expression statistic R and in silico perturbation metrics for the seven candidates </w:t>
      </w:r>
      <w:r>
        <w:rPr>
          <w:rFonts w:hint="eastAsia" w:ascii="Times New Roman" w:hAnsi="Times New Roman" w:eastAsia="Times New Roman"/>
          <w:b w:val="0"/>
          <w:i/>
          <w:sz w:val="16"/>
        </w:rPr>
        <w:t>are reported in the Results and in Additional file 2, Tables ST02, ST03, ST05 and ST08.</w:t>
      </w:r>
    </w:p>
    <w:sectPr>
      <w:pgSz w:w="15840" w:h="12240" w:orient="landscape"/>
      <w:pgMar w:top="850" w:right="850" w:bottom="850" w:left="85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CB569">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3A5B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D83A5B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54258"/>
    <w:rsid w:val="03F73242"/>
    <w:rsid w:val="0FDC2697"/>
    <w:rsid w:val="153210D5"/>
    <w:rsid w:val="165541BC"/>
    <w:rsid w:val="197C333F"/>
    <w:rsid w:val="1E3C7274"/>
    <w:rsid w:val="2F66441E"/>
    <w:rsid w:val="34C63FDF"/>
    <w:rsid w:val="3F040978"/>
    <w:rsid w:val="3FC8539A"/>
    <w:rsid w:val="46C77026"/>
    <w:rsid w:val="47B51265"/>
    <w:rsid w:val="482C21A7"/>
    <w:rsid w:val="4DC34870"/>
    <w:rsid w:val="4F491446"/>
    <w:rsid w:val="54794C08"/>
    <w:rsid w:val="57371643"/>
    <w:rsid w:val="5AA56A1A"/>
    <w:rsid w:val="5B256262"/>
    <w:rsid w:val="60CE5DB0"/>
    <w:rsid w:val="628304B6"/>
    <w:rsid w:val="63B50141"/>
    <w:rsid w:val="67053D91"/>
    <w:rsid w:val="6F2A0D86"/>
    <w:rsid w:val="70AF6881"/>
    <w:rsid w:val="762D6E7C"/>
    <w:rsid w:val="77111370"/>
    <w:rsid w:val="77DF78C0"/>
    <w:rsid w:val="7CA06E6E"/>
    <w:rsid w:val="7E99481B"/>
    <w:rsid w:val="7EBE0D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image" Target="media/image2.tif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6206</Words>
  <Characters>37689</Characters>
  <Lines>0</Lines>
  <Paragraphs>0</Paragraphs>
  <TotalTime>11</TotalTime>
  <ScaleCrop>false</ScaleCrop>
  <LinksUpToDate>false</LinksUpToDate>
  <CharactersWithSpaces>43746</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15633</cp:lastModifiedBy>
  <dcterms:modified xsi:type="dcterms:W3CDTF">2026-10-25T07:48:18Z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eyJoZGlkIjoiNjY3MDVmYTg5NmRlZmY1MGJhMDkzYTc0OWU2ZTA4YWUiLCJ1c2VySWQiOiIxMjAyNDE4MzIzIn0=</vt:lpwstr>
  </property>
  <property fmtid="{D5CDD505-2E9C-101B-9397-08002B2CF9AE}" pid="3" name="KSOProductBuildVer">
    <vt:lpwstr>2052-12.1.0.29158</vt:lpwstr>
  </property>
  <property fmtid="{D5CDD505-2E9C-101B-9397-08002B2CF9AE}" pid="4" name="ICV">
    <vt:lpwstr>155BD28FA5D1450BBAA36694B67629B7_13</vt:lpwstr>
  </property>
</Properties>
</file>