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E8" w:rsidRDefault="004C39EA" w:rsidP="00561998">
      <w:pPr>
        <w:pStyle w:val="Heading1"/>
      </w:pPr>
      <w:r>
        <w:t xml:space="preserve">Invitees / </w:t>
      </w:r>
      <w:r w:rsidR="004219E8">
        <w:t>Participants:</w:t>
      </w:r>
    </w:p>
    <w:p w:rsidR="004C39EA" w:rsidRDefault="004C39EA" w:rsidP="004219E8">
      <w:pPr>
        <w:pStyle w:val="NoSpacing"/>
      </w:pPr>
      <w:r w:rsidRPr="004C39EA">
        <w:t xml:space="preserve">Caneel, Glen J. (Leidos) &lt;Glen.Caneel@va.gov&gt;; </w:t>
      </w:r>
    </w:p>
    <w:p w:rsidR="004C39EA" w:rsidRDefault="004C39EA" w:rsidP="004219E8">
      <w:pPr>
        <w:pStyle w:val="NoSpacing"/>
      </w:pPr>
      <w:r w:rsidRPr="004C39EA">
        <w:t xml:space="preserve">Ablaya, Reynold E &lt;Reynold.Ablaya@va.gov&gt;; </w:t>
      </w:r>
    </w:p>
    <w:p w:rsidR="004C39EA" w:rsidRDefault="004C39EA" w:rsidP="004219E8">
      <w:pPr>
        <w:pStyle w:val="NoSpacing"/>
      </w:pPr>
      <w:r w:rsidRPr="004C39EA">
        <w:t xml:space="preserve">Bodnarchuk, Stephen (GovCIO) &lt;Stephen.Bodnarchuk@va.gov&gt;; </w:t>
      </w:r>
    </w:p>
    <w:p w:rsidR="004C39EA" w:rsidRDefault="004C39EA" w:rsidP="004219E8">
      <w:pPr>
        <w:pStyle w:val="NoSpacing"/>
      </w:pPr>
      <w:r w:rsidRPr="004C39EA">
        <w:t xml:space="preserve">Snyder, Sarah (GovCIO) &lt;Sarah.Snyder2@va.gov&gt;; </w:t>
      </w:r>
    </w:p>
    <w:p w:rsidR="004C39EA" w:rsidRDefault="004C39EA" w:rsidP="004219E8">
      <w:pPr>
        <w:pStyle w:val="NoSpacing"/>
      </w:pPr>
      <w:r w:rsidRPr="004C39EA">
        <w:t xml:space="preserve">Cordi, Michael (Halfaker &amp; Associates) &lt;Michael.Cordi@va.gov&gt;; </w:t>
      </w:r>
    </w:p>
    <w:p w:rsidR="004C39EA" w:rsidRDefault="004C39EA" w:rsidP="004219E8">
      <w:pPr>
        <w:pStyle w:val="NoSpacing"/>
      </w:pPr>
      <w:r w:rsidRPr="004C39EA">
        <w:t xml:space="preserve">Plastow, James S. &lt;James.Plastow@va.gov&gt;; </w:t>
      </w:r>
    </w:p>
    <w:p w:rsidR="004C39EA" w:rsidRDefault="004C39EA" w:rsidP="004219E8">
      <w:pPr>
        <w:pStyle w:val="NoSpacing"/>
      </w:pPr>
      <w:r w:rsidRPr="004C39EA">
        <w:t xml:space="preserve">Rudik, Toby S. &lt;toby.rudik@va.gov&gt;; </w:t>
      </w:r>
    </w:p>
    <w:p w:rsidR="004C39EA" w:rsidRDefault="004C39EA" w:rsidP="004219E8">
      <w:pPr>
        <w:pStyle w:val="NoSpacing"/>
      </w:pPr>
      <w:r w:rsidRPr="004C39EA">
        <w:t>Bennett, Dana (Leidos) (</w:t>
      </w:r>
      <w:hyperlink r:id="rId6" w:history="1">
        <w:r w:rsidRPr="0005375C">
          <w:rPr>
            <w:rStyle w:val="Hyperlink"/>
          </w:rPr>
          <w:t>dana.bennett@va.gov</w:t>
        </w:r>
      </w:hyperlink>
      <w:r w:rsidRPr="004C39EA">
        <w:t xml:space="preserve">); </w:t>
      </w:r>
    </w:p>
    <w:p w:rsidR="004C39EA" w:rsidRDefault="004C39EA" w:rsidP="004219E8">
      <w:pPr>
        <w:pStyle w:val="NoSpacing"/>
      </w:pPr>
      <w:r w:rsidRPr="004C39EA">
        <w:t>Bartlett, Robert (</w:t>
      </w:r>
      <w:proofErr w:type="spellStart"/>
      <w:r w:rsidRPr="004C39EA">
        <w:t>GovCIO</w:t>
      </w:r>
      <w:proofErr w:type="spellEnd"/>
      <w:r w:rsidRPr="004C39EA">
        <w:t>) &lt;Robert.Bartlett@va.gov&gt;</w:t>
      </w:r>
    </w:p>
    <w:p w:rsidR="00FB53F9" w:rsidRDefault="004219E8" w:rsidP="00561998">
      <w:pPr>
        <w:pStyle w:val="Heading1"/>
      </w:pPr>
      <w:r>
        <w:t>Meeting Goals:</w:t>
      </w:r>
    </w:p>
    <w:p w:rsidR="004219E8" w:rsidRDefault="004219E8" w:rsidP="00561998">
      <w:pPr>
        <w:pStyle w:val="NoSpacing"/>
        <w:numPr>
          <w:ilvl w:val="0"/>
          <w:numId w:val="3"/>
        </w:numPr>
      </w:pPr>
      <w:r>
        <w:t>Discuss Current FSC ICD group work (including ICD Contents)</w:t>
      </w:r>
    </w:p>
    <w:p w:rsidR="004219E8" w:rsidRDefault="004219E8" w:rsidP="00561998">
      <w:pPr>
        <w:pStyle w:val="NoSpacing"/>
        <w:numPr>
          <w:ilvl w:val="1"/>
          <w:numId w:val="3"/>
        </w:numPr>
      </w:pPr>
      <w:r>
        <w:t>Grouping of Transactions by FHIR Resource</w:t>
      </w:r>
    </w:p>
    <w:p w:rsidR="004219E8" w:rsidRDefault="004219E8" w:rsidP="00561998">
      <w:pPr>
        <w:pStyle w:val="NoSpacing"/>
        <w:numPr>
          <w:ilvl w:val="0"/>
          <w:numId w:val="3"/>
        </w:numPr>
      </w:pPr>
      <w:r>
        <w:t>Type of information this group needs to provide</w:t>
      </w:r>
    </w:p>
    <w:p w:rsidR="004219E8" w:rsidRDefault="004219E8" w:rsidP="00561998">
      <w:pPr>
        <w:pStyle w:val="NoSpacing"/>
        <w:numPr>
          <w:ilvl w:val="0"/>
          <w:numId w:val="3"/>
        </w:numPr>
      </w:pPr>
      <w:r>
        <w:t>Overview of Current TAS Core Architecture</w:t>
      </w:r>
    </w:p>
    <w:p w:rsidR="004219E8" w:rsidRDefault="004219E8" w:rsidP="00561998">
      <w:pPr>
        <w:pStyle w:val="NoSpacing"/>
        <w:numPr>
          <w:ilvl w:val="0"/>
          <w:numId w:val="3"/>
        </w:numPr>
      </w:pPr>
      <w:r>
        <w:t>Next Steps</w:t>
      </w:r>
    </w:p>
    <w:p w:rsidR="00561998" w:rsidRDefault="00561998" w:rsidP="00561998">
      <w:pPr>
        <w:pStyle w:val="Heading1"/>
      </w:pPr>
      <w:r>
        <w:t>Discussion</w:t>
      </w:r>
    </w:p>
    <w:p w:rsidR="00561998" w:rsidRDefault="00561998" w:rsidP="00561998">
      <w:pPr>
        <w:pStyle w:val="NoSpacing"/>
        <w:numPr>
          <w:ilvl w:val="0"/>
          <w:numId w:val="5"/>
        </w:numPr>
      </w:pPr>
      <w:r>
        <w:t xml:space="preserve">The MCCF EDI Transaction Application System (TAS) is the web application that is being developed where all current </w:t>
      </w:r>
      <w:proofErr w:type="spellStart"/>
      <w:r>
        <w:t>VistA</w:t>
      </w:r>
      <w:proofErr w:type="spellEnd"/>
      <w:r>
        <w:t xml:space="preserve"> reports, screens, and transactions will be ported. </w:t>
      </w:r>
      <w:proofErr w:type="spellStart"/>
      <w:r>
        <w:t>VistA</w:t>
      </w:r>
      <w:proofErr w:type="spellEnd"/>
      <w:r>
        <w:t xml:space="preserve"> will still be used to store the data. </w:t>
      </w:r>
    </w:p>
    <w:p w:rsidR="00561998" w:rsidRDefault="00561998" w:rsidP="00561998">
      <w:pPr>
        <w:pStyle w:val="NoSpacing"/>
        <w:numPr>
          <w:ilvl w:val="1"/>
          <w:numId w:val="5"/>
        </w:numPr>
      </w:pPr>
      <w:r>
        <w:t>Question – does TAS have the ability to store non-</w:t>
      </w:r>
      <w:proofErr w:type="spellStart"/>
      <w:r>
        <w:t>VistA</w:t>
      </w:r>
      <w:proofErr w:type="spellEnd"/>
      <w:r>
        <w:t xml:space="preserve"> data? Yes, that is in the design.</w:t>
      </w:r>
    </w:p>
    <w:p w:rsidR="00561998" w:rsidRDefault="00561998" w:rsidP="00561998">
      <w:pPr>
        <w:pStyle w:val="NoSpacing"/>
        <w:numPr>
          <w:ilvl w:val="0"/>
          <w:numId w:val="5"/>
        </w:numPr>
      </w:pPr>
      <w:r>
        <w:t xml:space="preserve">The current ICD work is defining the new TAS to FSC interfaces that will replace the </w:t>
      </w:r>
      <w:r w:rsidR="001D3A43">
        <w:t xml:space="preserve">current </w:t>
      </w:r>
      <w:proofErr w:type="spellStart"/>
      <w:r w:rsidR="001D3A43">
        <w:t>VistA</w:t>
      </w:r>
      <w:proofErr w:type="spellEnd"/>
      <w:r w:rsidR="001D3A43">
        <w:t xml:space="preserve"> to FSC interfaces. Development will happen after the ICDs are finalized.</w:t>
      </w:r>
    </w:p>
    <w:p w:rsidR="001D3A43" w:rsidRDefault="001D3A43" w:rsidP="001D3A43">
      <w:pPr>
        <w:pStyle w:val="NoSpacing"/>
        <w:numPr>
          <w:ilvl w:val="1"/>
          <w:numId w:val="5"/>
        </w:numPr>
      </w:pPr>
      <w:r>
        <w:t xml:space="preserve">Some of the current </w:t>
      </w:r>
      <w:proofErr w:type="spellStart"/>
      <w:r>
        <w:t>VistA</w:t>
      </w:r>
      <w:proofErr w:type="spellEnd"/>
      <w:r>
        <w:t xml:space="preserve"> to FSC interfaces will need to be maintained as the new TAS to FSC interfaces </w:t>
      </w:r>
      <w:proofErr w:type="gramStart"/>
      <w:r>
        <w:t>are</w:t>
      </w:r>
      <w:proofErr w:type="gramEnd"/>
      <w:r>
        <w:t xml:space="preserve"> implemented.</w:t>
      </w:r>
    </w:p>
    <w:p w:rsidR="00561998" w:rsidRDefault="00561998" w:rsidP="00561998">
      <w:pPr>
        <w:pStyle w:val="NoSpacing"/>
        <w:numPr>
          <w:ilvl w:val="0"/>
          <w:numId w:val="5"/>
        </w:numPr>
      </w:pPr>
      <w:r>
        <w:t xml:space="preserve">The product teams defined in the slide deck from the kick off meeting are working on the definition of the FHIR resources/bundles for </w:t>
      </w:r>
      <w:r w:rsidR="001D3A43">
        <w:t xml:space="preserve">the new TAS to FSC ICD for </w:t>
      </w:r>
      <w:r>
        <w:t>each transaction.</w:t>
      </w:r>
    </w:p>
    <w:p w:rsidR="00561998" w:rsidRDefault="00561998" w:rsidP="00561998">
      <w:pPr>
        <w:pStyle w:val="NoSpacing"/>
        <w:numPr>
          <w:ilvl w:val="0"/>
          <w:numId w:val="5"/>
        </w:numPr>
      </w:pPr>
      <w:r>
        <w:t xml:space="preserve">There will be one common interface technical architecture/design that will be used by all transactions for the </w:t>
      </w:r>
      <w:r w:rsidR="001D3A43">
        <w:t xml:space="preserve">new TAS to FSC </w:t>
      </w:r>
      <w:proofErr w:type="spellStart"/>
      <w:r w:rsidR="001D3A43">
        <w:t>itnerfaces</w:t>
      </w:r>
      <w:proofErr w:type="spellEnd"/>
      <w:r w:rsidR="001D3A43">
        <w:t>.</w:t>
      </w:r>
    </w:p>
    <w:p w:rsidR="00561998" w:rsidRDefault="00561998" w:rsidP="00561998">
      <w:pPr>
        <w:pStyle w:val="NoSpacing"/>
        <w:numPr>
          <w:ilvl w:val="0"/>
          <w:numId w:val="5"/>
        </w:numPr>
      </w:pPr>
      <w:r>
        <w:t xml:space="preserve">This smaller group will develop the </w:t>
      </w:r>
      <w:r w:rsidR="001D3A43">
        <w:t xml:space="preserve">new TAS to FSC </w:t>
      </w:r>
      <w:r>
        <w:t>interface technical architecture/design</w:t>
      </w:r>
      <w:r w:rsidR="001D3A43">
        <w:t>.</w:t>
      </w:r>
    </w:p>
    <w:p w:rsidR="00561998" w:rsidRDefault="00561998" w:rsidP="00561998">
      <w:pPr>
        <w:pStyle w:val="NoSpacing"/>
        <w:numPr>
          <w:ilvl w:val="0"/>
          <w:numId w:val="5"/>
        </w:numPr>
      </w:pPr>
      <w:r>
        <w:t xml:space="preserve">FSC and </w:t>
      </w:r>
      <w:proofErr w:type="spellStart"/>
      <w:r>
        <w:t>TASCore</w:t>
      </w:r>
      <w:proofErr w:type="spellEnd"/>
      <w:r>
        <w:t xml:space="preserve"> architects agreed on the following:</w:t>
      </w:r>
    </w:p>
    <w:p w:rsidR="00561998" w:rsidRDefault="00561998" w:rsidP="00561998">
      <w:pPr>
        <w:pStyle w:val="NoSpacing"/>
        <w:numPr>
          <w:ilvl w:val="1"/>
          <w:numId w:val="5"/>
        </w:numPr>
      </w:pPr>
      <w:r>
        <w:t xml:space="preserve">Data will </w:t>
      </w:r>
      <w:r w:rsidR="001D3A43">
        <w:t>be delivered by TAS for each transaction in FHIR resources/bundles.</w:t>
      </w:r>
    </w:p>
    <w:p w:rsidR="001D3A43" w:rsidRDefault="001D3A43" w:rsidP="00561998">
      <w:pPr>
        <w:pStyle w:val="NoSpacing"/>
        <w:numPr>
          <w:ilvl w:val="1"/>
          <w:numId w:val="5"/>
        </w:numPr>
      </w:pPr>
      <w:r>
        <w:t>Transformation/translation of the data for each transaction from FHIR to X12 will still occur on the FSC side.</w:t>
      </w:r>
    </w:p>
    <w:p w:rsidR="001D3A43" w:rsidRDefault="001D3A43" w:rsidP="00561998">
      <w:pPr>
        <w:pStyle w:val="NoSpacing"/>
        <w:numPr>
          <w:ilvl w:val="1"/>
          <w:numId w:val="5"/>
        </w:numPr>
      </w:pPr>
      <w:r>
        <w:t>The design work will need to focus on how the data is transferred from TAS to FSC, including:</w:t>
      </w:r>
    </w:p>
    <w:p w:rsidR="00561998" w:rsidRDefault="00561998" w:rsidP="001D3A43">
      <w:pPr>
        <w:pStyle w:val="NoSpacing"/>
        <w:numPr>
          <w:ilvl w:val="2"/>
          <w:numId w:val="5"/>
        </w:numPr>
      </w:pPr>
      <w:r>
        <w:t>How Much and How Often Transactions will be transmitted;</w:t>
      </w:r>
    </w:p>
    <w:p w:rsidR="00561998" w:rsidRDefault="00561998" w:rsidP="001D3A43">
      <w:pPr>
        <w:pStyle w:val="NoSpacing"/>
        <w:numPr>
          <w:ilvl w:val="2"/>
          <w:numId w:val="5"/>
        </w:numPr>
      </w:pPr>
      <w:r>
        <w:t>What type of transactions and how they will be Grouped;</w:t>
      </w:r>
    </w:p>
    <w:p w:rsidR="00561998" w:rsidRDefault="00561998" w:rsidP="001D3A43">
      <w:pPr>
        <w:pStyle w:val="NoSpacing"/>
        <w:numPr>
          <w:ilvl w:val="3"/>
          <w:numId w:val="5"/>
        </w:numPr>
      </w:pPr>
      <w:r>
        <w:t>Real Time</w:t>
      </w:r>
    </w:p>
    <w:p w:rsidR="00561998" w:rsidRDefault="00561998" w:rsidP="001D3A43">
      <w:pPr>
        <w:pStyle w:val="NoSpacing"/>
        <w:numPr>
          <w:ilvl w:val="3"/>
          <w:numId w:val="5"/>
        </w:numPr>
      </w:pPr>
      <w:r>
        <w:t>Batch</w:t>
      </w:r>
    </w:p>
    <w:p w:rsidR="001D3A43" w:rsidRDefault="001D3A43" w:rsidP="001D3A43">
      <w:pPr>
        <w:pStyle w:val="ListParagraph"/>
        <w:numPr>
          <w:ilvl w:val="1"/>
          <w:numId w:val="5"/>
        </w:numPr>
      </w:pPr>
      <w:r w:rsidRPr="001D3A43">
        <w:lastRenderedPageBreak/>
        <w:t xml:space="preserve">The current MCCF </w:t>
      </w:r>
      <w:proofErr w:type="gramStart"/>
      <w:r w:rsidRPr="001D3A43">
        <w:t>backlog is set up to port existing functionality</w:t>
      </w:r>
      <w:r>
        <w:t xml:space="preserve"> then make</w:t>
      </w:r>
      <w:proofErr w:type="gramEnd"/>
      <w:r>
        <w:t xml:space="preserve"> updates. Steve stated that we should take opportunities to update current functionality and not be constrained by current state. Mike and Tony agreed</w:t>
      </w:r>
      <w:r w:rsidR="0098305B">
        <w:t>.</w:t>
      </w:r>
    </w:p>
    <w:p w:rsidR="001D3A43" w:rsidRDefault="0098305B" w:rsidP="0098305B">
      <w:pPr>
        <w:pStyle w:val="ListParagraph"/>
        <w:numPr>
          <w:ilvl w:val="1"/>
          <w:numId w:val="5"/>
        </w:numPr>
      </w:pPr>
      <w:r>
        <w:t xml:space="preserve">We should consider </w:t>
      </w:r>
      <w:r w:rsidR="00F82799">
        <w:t>standardizing on an event driven design for all transactions and potentially handle current batch processing that way.</w:t>
      </w:r>
      <w:bookmarkStart w:id="0" w:name="_GoBack"/>
      <w:bookmarkEnd w:id="0"/>
    </w:p>
    <w:p w:rsidR="00561998" w:rsidRDefault="00561998" w:rsidP="00561998">
      <w:pPr>
        <w:pStyle w:val="NoSpacing"/>
      </w:pPr>
    </w:p>
    <w:p w:rsidR="004219E8" w:rsidRDefault="004219E8" w:rsidP="004219E8">
      <w:pPr>
        <w:pStyle w:val="NoSpacing"/>
      </w:pPr>
      <w:r>
        <w:t>Review Included:</w:t>
      </w:r>
    </w:p>
    <w:p w:rsidR="004219E8" w:rsidRDefault="004219E8" w:rsidP="004219E8">
      <w:pPr>
        <w:pStyle w:val="NoSpacing"/>
      </w:pPr>
    </w:p>
    <w:p w:rsidR="004219E8" w:rsidRDefault="004219E8" w:rsidP="004219E8">
      <w:pPr>
        <w:pStyle w:val="NoSpacing"/>
      </w:pPr>
      <w:r>
        <w:rPr>
          <w:noProof/>
        </w:rPr>
        <w:drawing>
          <wp:inline distT="0" distB="0" distL="0" distR="0" wp14:anchorId="4702E117">
            <wp:extent cx="3841115" cy="32308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9E8" w:rsidRDefault="004219E8" w:rsidP="004219E8">
      <w:pPr>
        <w:pStyle w:val="NoSpacing"/>
      </w:pPr>
    </w:p>
    <w:p w:rsidR="004219E8" w:rsidRDefault="004219E8" w:rsidP="004219E8">
      <w:pPr>
        <w:pStyle w:val="NoSpacing"/>
      </w:pPr>
      <w:r>
        <w:t>ICD Overview Information</w:t>
      </w:r>
    </w:p>
    <w:p w:rsidR="004219E8" w:rsidRDefault="004219E8" w:rsidP="004219E8">
      <w:pPr>
        <w:pStyle w:val="NoSpacing"/>
      </w:pPr>
    </w:p>
    <w:p w:rsidR="00004E51" w:rsidRPr="004219E8" w:rsidRDefault="004C39EA" w:rsidP="004219E8">
      <w:pPr>
        <w:pStyle w:val="NoSpacing"/>
        <w:numPr>
          <w:ilvl w:val="0"/>
          <w:numId w:val="1"/>
        </w:numPr>
      </w:pPr>
      <w:r w:rsidRPr="004219E8">
        <w:t>Interface Definition</w:t>
      </w:r>
    </w:p>
    <w:p w:rsidR="00004E51" w:rsidRPr="004219E8" w:rsidRDefault="004C39EA" w:rsidP="004219E8">
      <w:pPr>
        <w:pStyle w:val="NoSpacing"/>
        <w:numPr>
          <w:ilvl w:val="1"/>
          <w:numId w:val="1"/>
        </w:numPr>
      </w:pPr>
      <w:r w:rsidRPr="004219E8">
        <w:t xml:space="preserve">System Overview 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Overview Diagram</w:t>
      </w:r>
    </w:p>
    <w:p w:rsidR="00004E51" w:rsidRPr="004219E8" w:rsidRDefault="004C39EA" w:rsidP="004219E8">
      <w:pPr>
        <w:pStyle w:val="NoSpacing"/>
        <w:numPr>
          <w:ilvl w:val="1"/>
          <w:numId w:val="1"/>
        </w:numPr>
      </w:pPr>
      <w:r w:rsidRPr="004219E8">
        <w:t>Interface Overview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Connectivity between the systems</w:t>
      </w:r>
    </w:p>
    <w:p w:rsidR="00004E51" w:rsidRPr="004219E8" w:rsidRDefault="004C39EA" w:rsidP="004219E8">
      <w:pPr>
        <w:pStyle w:val="NoSpacing"/>
        <w:numPr>
          <w:ilvl w:val="1"/>
          <w:numId w:val="1"/>
        </w:numPr>
      </w:pPr>
      <w:r w:rsidRPr="004219E8">
        <w:t>Operations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Data Extraction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Data Transformation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Sending/Receiving</w:t>
      </w:r>
    </w:p>
    <w:p w:rsidR="00004E51" w:rsidRPr="004219E8" w:rsidRDefault="004C39EA" w:rsidP="004219E8">
      <w:pPr>
        <w:pStyle w:val="NoSpacing"/>
        <w:numPr>
          <w:ilvl w:val="1"/>
          <w:numId w:val="1"/>
        </w:numPr>
      </w:pPr>
      <w:r w:rsidRPr="004219E8">
        <w:t>Data Transfer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Data is transferred between the FSC and the TAS Core Application Stack</w:t>
      </w:r>
    </w:p>
    <w:p w:rsidR="00004E51" w:rsidRPr="004219E8" w:rsidRDefault="004C39EA" w:rsidP="004219E8">
      <w:pPr>
        <w:pStyle w:val="NoSpacing"/>
        <w:numPr>
          <w:ilvl w:val="1"/>
          <w:numId w:val="1"/>
        </w:numPr>
      </w:pPr>
      <w:r w:rsidRPr="004219E8">
        <w:t>Transaction Types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 xml:space="preserve">Defined for Each ICD </w:t>
      </w:r>
    </w:p>
    <w:p w:rsidR="00004E51" w:rsidRPr="004219E8" w:rsidRDefault="004C39EA" w:rsidP="004219E8">
      <w:pPr>
        <w:pStyle w:val="NoSpacing"/>
        <w:numPr>
          <w:ilvl w:val="1"/>
          <w:numId w:val="1"/>
        </w:numPr>
      </w:pPr>
      <w:r w:rsidRPr="004219E8">
        <w:t>Data Exchanges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FHIR Based Resources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JSON Format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lastRenderedPageBreak/>
        <w:t>Bundle Definition</w:t>
      </w:r>
    </w:p>
    <w:p w:rsidR="00004E51" w:rsidRPr="004219E8" w:rsidRDefault="004C39EA" w:rsidP="004219E8">
      <w:pPr>
        <w:pStyle w:val="NoSpacing"/>
        <w:numPr>
          <w:ilvl w:val="1"/>
          <w:numId w:val="1"/>
        </w:numPr>
      </w:pPr>
      <w:r w:rsidRPr="004219E8">
        <w:t>Communication Methods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HTTP(S)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Ports and Protocols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ESB Configuration(s)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System Configuration</w:t>
      </w:r>
    </w:p>
    <w:p w:rsidR="00004E51" w:rsidRPr="004219E8" w:rsidRDefault="004C39EA" w:rsidP="004219E8">
      <w:pPr>
        <w:pStyle w:val="NoSpacing"/>
        <w:numPr>
          <w:ilvl w:val="1"/>
          <w:numId w:val="1"/>
        </w:numPr>
      </w:pPr>
      <w:r w:rsidRPr="004219E8">
        <w:t>Performance Requirements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 </w:t>
      </w:r>
    </w:p>
    <w:p w:rsidR="00004E51" w:rsidRPr="004219E8" w:rsidRDefault="004C39EA" w:rsidP="004219E8">
      <w:pPr>
        <w:pStyle w:val="NoSpacing"/>
        <w:numPr>
          <w:ilvl w:val="1"/>
          <w:numId w:val="1"/>
        </w:numPr>
      </w:pPr>
      <w:r w:rsidRPr="004219E8">
        <w:t>Security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Is within the VA Firewall</w:t>
      </w:r>
    </w:p>
    <w:p w:rsidR="00004E51" w:rsidRPr="004219E8" w:rsidRDefault="004C39EA" w:rsidP="004219E8">
      <w:pPr>
        <w:pStyle w:val="NoSpacing"/>
        <w:numPr>
          <w:ilvl w:val="1"/>
          <w:numId w:val="1"/>
        </w:numPr>
      </w:pPr>
      <w:r w:rsidRPr="004219E8">
        <w:t>Testing Requirements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Comparison of Data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Completeness</w:t>
      </w:r>
    </w:p>
    <w:p w:rsidR="00004E51" w:rsidRPr="004219E8" w:rsidRDefault="004C39EA" w:rsidP="004219E8">
      <w:pPr>
        <w:pStyle w:val="NoSpacing"/>
        <w:numPr>
          <w:ilvl w:val="1"/>
          <w:numId w:val="1"/>
        </w:numPr>
      </w:pPr>
      <w:r w:rsidRPr="004219E8">
        <w:t>Policies and Constraints</w:t>
      </w:r>
    </w:p>
    <w:p w:rsidR="00004E51" w:rsidRPr="004219E8" w:rsidRDefault="004C39EA" w:rsidP="004219E8">
      <w:pPr>
        <w:pStyle w:val="NoSpacing"/>
        <w:numPr>
          <w:ilvl w:val="2"/>
          <w:numId w:val="1"/>
        </w:numPr>
      </w:pPr>
      <w:r w:rsidRPr="004219E8">
        <w:t>HIPAA Compliance</w:t>
      </w:r>
    </w:p>
    <w:p w:rsidR="004219E8" w:rsidRDefault="004219E8" w:rsidP="004219E8">
      <w:pPr>
        <w:pStyle w:val="NoSpacing"/>
      </w:pPr>
    </w:p>
    <w:p w:rsidR="004219E8" w:rsidRDefault="004219E8" w:rsidP="004219E8">
      <w:pPr>
        <w:pStyle w:val="NoSpacing"/>
      </w:pPr>
      <w:r>
        <w:rPr>
          <w:noProof/>
        </w:rPr>
        <w:drawing>
          <wp:inline distT="0" distB="0" distL="0" distR="0" wp14:anchorId="742AD529">
            <wp:extent cx="4011295" cy="27127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9E8" w:rsidRDefault="004219E8" w:rsidP="004219E8">
      <w:pPr>
        <w:pStyle w:val="NoSpacing"/>
      </w:pPr>
    </w:p>
    <w:p w:rsidR="004219E8" w:rsidRDefault="004219E8" w:rsidP="004219E8">
      <w:pPr>
        <w:pStyle w:val="NoSpacing"/>
      </w:pPr>
    </w:p>
    <w:p w:rsidR="004219E8" w:rsidRDefault="004219E8" w:rsidP="00561998">
      <w:pPr>
        <w:pStyle w:val="Heading1"/>
      </w:pPr>
      <w:r>
        <w:t>Action Items</w:t>
      </w:r>
    </w:p>
    <w:p w:rsidR="004219E8" w:rsidRDefault="004219E8" w:rsidP="0098305B">
      <w:pPr>
        <w:pStyle w:val="NoSpacing"/>
        <w:numPr>
          <w:ilvl w:val="0"/>
          <w:numId w:val="6"/>
        </w:numPr>
      </w:pPr>
      <w:r>
        <w:t>Tony – Send out information regarding next meeting in a Week Same time</w:t>
      </w:r>
    </w:p>
    <w:p w:rsidR="004219E8" w:rsidRDefault="004219E8" w:rsidP="0098305B">
      <w:pPr>
        <w:pStyle w:val="NoSpacing"/>
        <w:numPr>
          <w:ilvl w:val="0"/>
          <w:numId w:val="6"/>
        </w:numPr>
      </w:pPr>
      <w:r>
        <w:t>Steve – Review meeting with others within FSC to start developing an overall architecture</w:t>
      </w:r>
      <w:r w:rsidR="0098305B">
        <w:t>, confirm discussions internally,</w:t>
      </w:r>
      <w:r w:rsidR="001D3A43">
        <w:t xml:space="preserve"> and identify resources – there are resource constraints currently in FSC</w:t>
      </w:r>
    </w:p>
    <w:sectPr w:rsidR="0042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774F"/>
    <w:multiLevelType w:val="hybridMultilevel"/>
    <w:tmpl w:val="A884848A"/>
    <w:lvl w:ilvl="0" w:tplc="3C0E2E9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3CCFB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DBE6764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C64E266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28A092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80A5A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C2CD30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2EE68B0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7FCC3C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32E713A4"/>
    <w:multiLevelType w:val="hybridMultilevel"/>
    <w:tmpl w:val="37CC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E0827"/>
    <w:multiLevelType w:val="hybridMultilevel"/>
    <w:tmpl w:val="FABA7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5ED"/>
    <w:multiLevelType w:val="hybridMultilevel"/>
    <w:tmpl w:val="EA2E68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075BAA"/>
    <w:multiLevelType w:val="hybridMultilevel"/>
    <w:tmpl w:val="C0CA7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76658"/>
    <w:multiLevelType w:val="hybridMultilevel"/>
    <w:tmpl w:val="090A2926"/>
    <w:lvl w:ilvl="0" w:tplc="23F83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349B96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30CA27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06B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40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09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C4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C5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63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69"/>
    <w:rsid w:val="00004E51"/>
    <w:rsid w:val="001D3A43"/>
    <w:rsid w:val="002575B1"/>
    <w:rsid w:val="004219E8"/>
    <w:rsid w:val="004C39EA"/>
    <w:rsid w:val="00561998"/>
    <w:rsid w:val="00980969"/>
    <w:rsid w:val="0098305B"/>
    <w:rsid w:val="00F82799"/>
    <w:rsid w:val="00FB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9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9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39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1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3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9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9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39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1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8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4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6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54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7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6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99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1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4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4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7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0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3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1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4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6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4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6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6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60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6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0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a.bennett@va.go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2018-01-10T16:32:00Z</dcterms:created>
  <dcterms:modified xsi:type="dcterms:W3CDTF">2018-01-10T16:55:00Z</dcterms:modified>
</cp:coreProperties>
</file>