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0D57EA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DEA.04.12.01</w:t>
            </w:r>
            <w:r w:rsidRPr="000A4202">
              <w:t xml:space="preserve"> Exception Handling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DD2A1D" w:rsidRDefault="00DD2A1D" w:rsidP="00DD2A1D">
            <w:pPr>
              <w:pStyle w:val="NoSpacing"/>
              <w:jc w:val="center"/>
            </w:pPr>
            <w:r>
              <w:t>Additional</w:t>
            </w:r>
          </w:p>
          <w:p w:rsidR="00DD2A1D" w:rsidRDefault="00DD2A1D" w:rsidP="00DD2A1D">
            <w:pPr>
              <w:pStyle w:val="NoSpacing"/>
              <w:jc w:val="center"/>
            </w:pPr>
            <w:r>
              <w:t>Compliance Document:</w:t>
            </w:r>
          </w:p>
          <w:p w:rsidR="00DD2A1D" w:rsidRDefault="00DD2A1D" w:rsidP="00DD2A1D">
            <w:pPr>
              <w:pStyle w:val="NoSpacing"/>
              <w:jc w:val="center"/>
            </w:pPr>
          </w:p>
          <w:p w:rsidR="003947AF" w:rsidRPr="003947AF" w:rsidRDefault="00DD2A1D" w:rsidP="00DD2A1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F71339" w:rsidP="00683775">
            <w:r w:rsidRPr="000A4202">
              <w:t>(1)-A strategy for processing unhandled exceptions and associated security considerations has been documented and reviewed, including: a) a standardized approach to structured exception handling across the application; b) application exception handling minimizes the information disclosure in case of an exception; c) the design identifies generic error messages that are returned to the client; d) Application errors are logged to the error log; e) Private data (for example, passwords) is not logged.</w:t>
            </w:r>
          </w:p>
        </w:tc>
        <w:tc>
          <w:tcPr>
            <w:tcW w:w="2070" w:type="dxa"/>
          </w:tcPr>
          <w:p w:rsidR="00120F68" w:rsidRDefault="00F71339" w:rsidP="00B1611F">
            <w:pPr>
              <w:spacing w:line="240" w:lineRule="auto"/>
            </w:pPr>
            <w:r>
              <w:t xml:space="preserve">SDD Section </w:t>
            </w:r>
            <w:r w:rsidRPr="00B05168">
              <w:t>6.2.1.2. Services Layer Design</w:t>
            </w:r>
          </w:p>
        </w:tc>
        <w:tc>
          <w:tcPr>
            <w:tcW w:w="1350" w:type="dxa"/>
          </w:tcPr>
          <w:p w:rsidR="00120F68" w:rsidRDefault="00F71339" w:rsidP="00120F68">
            <w:r>
              <w:t>N/A</w:t>
            </w:r>
          </w:p>
        </w:tc>
        <w:tc>
          <w:tcPr>
            <w:tcW w:w="1350" w:type="dxa"/>
          </w:tcPr>
          <w:p w:rsidR="00120F68" w:rsidRDefault="00F71339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F71339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0D57EA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2A1D"/>
    <w:rsid w:val="00DD6627"/>
    <w:rsid w:val="00F041E3"/>
    <w:rsid w:val="00F63F78"/>
    <w:rsid w:val="00F71339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2018-04-01T20:36:00Z</dcterms:created>
  <dcterms:modified xsi:type="dcterms:W3CDTF">2018-04-01T21:47:00Z</dcterms:modified>
</cp:coreProperties>
</file>