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4E3FD" w14:textId="77777777" w:rsidR="00B57412" w:rsidRDefault="00000000">
      <w:pPr>
        <w:spacing w:after="200"/>
      </w:pPr>
      <w:r>
        <w:rPr>
          <w:b/>
          <w:color w:val="1F4D78"/>
          <w:sz w:val="36"/>
        </w:rPr>
        <w:t>Materials and methods</w:t>
      </w:r>
    </w:p>
    <w:p w14:paraId="42BB2445" w14:textId="77777777" w:rsidR="00B57412" w:rsidRDefault="00000000">
      <w:pPr>
        <w:spacing w:after="240"/>
      </w:pPr>
      <w:r>
        <w:rPr>
          <w:i/>
          <w:color w:val="555555"/>
        </w:rPr>
        <w:t>ASAP RRID and protocol DOI working draft</w:t>
      </w:r>
    </w:p>
    <w:p w14:paraId="206B5039" w14:textId="77777777" w:rsidR="00B57412" w:rsidRDefault="00000000">
      <w:pPr>
        <w:pStyle w:val="Heading1"/>
      </w:pPr>
      <w:r>
        <w:t>Animals</w:t>
      </w:r>
    </w:p>
    <w:p w14:paraId="4FF1566D" w14:textId="77777777" w:rsidR="00B57412" w:rsidRDefault="00000000">
      <w:r>
        <w:t>All experimental procedures were approved by the Northwestern University Institutional Animal Care and Use Committee (IACUC) and were conducted in accordance with NIH guidelines. For ex vivo experiments, C57BL/6 hemizygous mice expressing fluorescent reporters under the control of dopamine receptor regulatory elements were used. These included: Drd1a-tdTomato (RRID:MMRRC_030512-UNC); Drd2-eGFP (RRID:MMRRC_000230-UNC)</w:t>
      </w:r>
    </w:p>
    <w:p w14:paraId="788D6484" w14:textId="77777777" w:rsidR="00B57412" w:rsidRDefault="00000000">
      <w:r>
        <w:t>Both lines were backcrossed to the C57BL/6 background. In some experiments, these mice were further crossed with: ChAT-IRES-Cre mice (B6;129S6-Chattm2(cre)Lowl/J, RRID:IMSR_JAX:006410) to selectively activate cholinergic interneurons; NPY-Cre mice (RRID:IMSR_JAX:027851) to selectively activate NPY expressing GABAergic interneurons. To target neurogliaform (NGF) interneurons and record from spiny projection neurons (SPNs), Ndnf-IRES-FlpO mice (B6(Cg)-Ndnftm1.1(flpo)Ispgl/J, RRID:IMSR_JAX:034876) were also used.</w:t>
      </w:r>
    </w:p>
    <w:p w14:paraId="635622BF" w14:textId="77777777" w:rsidR="00B57412" w:rsidRDefault="00000000">
      <w:r>
        <w:t>For Parkinson’s disease model experiments, MCI-Park mice were generated by crossing, Ndufs2tm1.1Job Tg(CAG-cre/Esr1*)5Amc/J (RRID:IMSR_JAX:038571) mice (on a mixed background : C57BL/6J, C57BL/6N, CBA/J, SWR, 129X1/SvJ, 129S1/Sv, and SJL) with DAT-IRES-cre (B6.SJL-Slc6a3tm1.1(cre)Bkmn/J, RRID:IMSR_JAX:006660) in which Cre expression is heterozygous.</w:t>
      </w:r>
    </w:p>
    <w:p w14:paraId="7A7FF0E5" w14:textId="77777777" w:rsidR="00B57412" w:rsidRDefault="00000000">
      <w:r>
        <w:t>To selectively activate ChI in MCI-Park mice, they were crossed with ChAT Flpo mice generously provided by Dauer lab (William T. Dauer (Peter O’Donnell Jr. Brain Institute, Department of Neurology, Department of Neuroscience, UT Southwestern), and Jay Li (Medical Scientist Training Program, Cellular and Molecular Biology Graduate Program, Department of Neurology, University of Michigan). This mouse line was generated by inserting an IRES-FLPo construct downstream of the Chat stop codon, similar to previously described Chat-Cre lines; RRID not available. Only male mice were used for experiments.</w:t>
      </w:r>
    </w:p>
    <w:p w14:paraId="19497688" w14:textId="77777777" w:rsidR="00B57412" w:rsidRDefault="00000000">
      <w:r>
        <w:t>For CRISPR experiments, six-month-old ChAT-Cre X Adora2-eGFP wt mice were used. These mice were generated by crossing ChAT-Cre mice (Jackson Laboratory; RRID:IMSR_JAX:006410) with Adora2-eGFP mice (RRID:MMRRC_010541-UCD), which had been previously backcrossed to C57BL/6J in the Surmeier laboratory.</w:t>
      </w:r>
    </w:p>
    <w:p w14:paraId="3255041E" w14:textId="77777777" w:rsidR="00B57412" w:rsidRDefault="00000000">
      <w:pPr>
        <w:pStyle w:val="Heading1"/>
      </w:pPr>
      <w:r>
        <w:t>Stereotaxic brain surgery</w:t>
      </w:r>
    </w:p>
    <w:p w14:paraId="028BBC08" w14:textId="77777777" w:rsidR="00B57412" w:rsidRDefault="00000000">
      <w:r>
        <w:t xml:space="preserve">Mice were anesthetized using a precision isoflurane vaporizer (SomnoSuite, Kent Scientific Corporation), a small-animal anesthesia system specifically designed for rodent procedures. Anesthesia was confirmed by the absence of reflexive responses to toe or tail pinch and the onset of complete immobility, accompanied by a stable respiratory rate of approximately one deep gasp per second, indicative of sufficient isoflurane-induced sedation for surgical manipulation. The animal was then secured in a </w:t>
      </w:r>
      <w:r>
        <w:lastRenderedPageBreak/>
        <w:t>stereotaxic frame (Model 940, David Kopf Instruments) equipped with a Cunningham adaptor (Harvard Apparatus) to ensure consistent anesthesia delivery throughout the procedure.</w:t>
      </w:r>
    </w:p>
    <w:p w14:paraId="45B93D2C" w14:textId="77777777" w:rsidR="00B57412" w:rsidRDefault="00000000">
      <w:r>
        <w:t xml:space="preserve">Following anesthetic induction, a subcutaneous injection of Meloxicam (METACAM, 0.1 mg/kg, Covetrus) in saline was administered to deepen anesthesia and to provide analgesia and minimize postoperative discomfort. The scalp was then sterilized, the fur removed, and an incision made to expose the skull. A small craniotomy was drilled at the targeted stereotaxic coordinates for the dorsolateral striatum (DLS): anterior-posterior (AP) +0.7 mm relative to bregma, medial-lateral (ML) −2.3 mm, and dorsal-ventral (DV) −3.30 mm from the dura. These coordinates were determined using the Allen Mouse Brain Atlas (online version 1, 2008; RRID:SCR_002978; </w:t>
      </w:r>
      <w:hyperlink r:id="rId8">
        <w:r>
          <w:rPr>
            <w:color w:val="0563C1"/>
            <w:u w:val="single"/>
          </w:rPr>
          <w:t>http://mouse.brain-map.org/static/atlas</w:t>
        </w:r>
      </w:hyperlink>
      <w:r>
        <w:t>).</w:t>
      </w:r>
    </w:p>
    <w:p w14:paraId="6E6C98A6" w14:textId="77777777" w:rsidR="00B57412" w:rsidRDefault="00000000">
      <w:r>
        <w:t xml:space="preserve">For viral injections, approximately 600 nL of adeno-associated virus (AAV) was loaded into a pulled glass micropipette (Drummond Scientific; pulled using a P-97 puller, Sutter Instruments) and delivered unilaterally into the DLS. Following injection, the needle was left in place for 5 minutes to allow for adequate tissue absorption of the viral solution before being slowly withdrawn to minimize backflow and ensure targeted delivery. The stereotaxic viral injection protocol is available at </w:t>
      </w:r>
      <w:hyperlink r:id="rId9">
        <w:r>
          <w:rPr>
            <w:color w:val="0563C1"/>
            <w:u w:val="single"/>
          </w:rPr>
          <w:t>https://dx.doi.org/10.17504/protocols.io.81wgby191vpk/v1.</w:t>
        </w:r>
      </w:hyperlink>
    </w:p>
    <w:p w14:paraId="57291D14" w14:textId="77777777" w:rsidR="00B57412" w:rsidRDefault="00000000">
      <w:pPr>
        <w:pStyle w:val="Heading1"/>
      </w:pPr>
      <w:r>
        <w:t>6-OHDA lesioning</w:t>
      </w:r>
    </w:p>
    <w:p w14:paraId="5F4D5D02" w14:textId="77777777" w:rsidR="00B57412" w:rsidRDefault="00000000">
      <w:r>
        <w:t xml:space="preserve">Unilateral lesions of the nigrostriatal dopaminergic (DA) pathway were induced by stereotaxic injection of 6-hydroxydopamine (6-OHDA) into the medial forebrain bundle (MFB). The neurotoxin 6-OHDA was freshly prepared at a concentration of 2.5 µg/µl in 0.04% ascorbic acid (to prevent oxidation) and administered at a total dose of 2.5 µg in a volume of 1 µl. Injections were delivered using calibrated glass micropipettes. Stereotaxic coordinates used to target the MFB were: (AP) −0.7 mm from bregma, (ML) +1.2 mm, and (DV) −4.75 mm from the dura. The toxin was injected at a controlled rate of 0.1 µl/min by manually applying gentle positive pressure to the pipette using a handheld syringe assembly. Then, the pipette was left in place for an additional 15-20 minute post-injection to allow sufficient diffusion and tissue retention of the solution, and to minimize reflux along the injection tract. To assess the extent of nigrostriatal dopaminergic (DA) neuron damage, a limb-use asymmetry test—also known as the cylinder test—was regularly performed before each electrophysiological experiment. Mice were placed individually into a transparent glass cylinder (8 cm in diameter, 12 cm in height), and spontaneous forelimb use was recorded for a duration of 5 minutes during exploratory rearing and wall contacts. During this time, the number of independent wall touches made by the unimpaired (ipsilateral) and impaired (contralateral) forelimbs, as well as simultaneous use of both limbs, was quantified. The percentage of impaired (contralateral) forelimb use was calculated relative to the total number of forelimb movements. Mice with successful 6-OHDA lesions typically showed impaired limb usage ranging from 5% to 30%, indicating effective unilateral disruption of the nigrostriatal pathway. The 6-OHDA lesion protocol is available at </w:t>
      </w:r>
      <w:hyperlink r:id="rId10">
        <w:r>
          <w:rPr>
            <w:color w:val="0563C1"/>
            <w:u w:val="single"/>
          </w:rPr>
          <w:t>https://dx.doi.org/10.17504/protocols.io.kqdg3q5w1v25/v1.</w:t>
        </w:r>
      </w:hyperlink>
    </w:p>
    <w:p w14:paraId="35F60047" w14:textId="77777777" w:rsidR="00B57412" w:rsidRDefault="00000000">
      <w:pPr>
        <w:pStyle w:val="Heading1"/>
      </w:pPr>
      <w:r>
        <w:lastRenderedPageBreak/>
        <w:t>Stereotaxic injection of AAVs</w:t>
      </w:r>
    </w:p>
    <w:p w14:paraId="39756282" w14:textId="77777777" w:rsidR="00B57412" w:rsidRDefault="00000000">
      <w:r>
        <w:t>A computer-assisted stereotaxic system (Leica Biosystems, Buffalo Grove, IL) was used to deliver viral injections into the striatum. Mice were anesthetized with isoflurane, and two striatal injection sites were targeted using the following coordinates (relative to bregma): Site 1: lateral, 2.15 mm; posterior, 0.98 mm; depth, 2.8 mm; Site 2: lateral, 2.0 mm; posterior, 0.74 mm; depth, 2.6 mm</w:t>
      </w:r>
    </w:p>
    <w:p w14:paraId="6750F056" w14:textId="77777777" w:rsidR="00B57412" w:rsidRDefault="00000000">
      <w:r>
        <w:t xml:space="preserve">For GABAAR delta subunit knockdown experiments and corresponding controls, viruses were co-injected with the Chronos opsin. At each site, 500 nL of virus was injected using an IM 300 microinjector (Narishige, Japan) at a moderate injection pressure (6–8 psi) and duration (60–300 s). Electrophysiological recordings were performed five weeks post-injection. The stereotaxic AAV injection protocol is available at </w:t>
      </w:r>
      <w:hyperlink r:id="rId11">
        <w:r>
          <w:rPr>
            <w:color w:val="0563C1"/>
            <w:u w:val="single"/>
          </w:rPr>
          <w:t>https://dx.doi.org/10.17504/protocols.io.81wgby191vpk/v1.</w:t>
        </w:r>
      </w:hyperlink>
    </w:p>
    <w:p w14:paraId="27210EA7" w14:textId="77777777" w:rsidR="00B57412" w:rsidRDefault="00000000">
      <w:pPr>
        <w:pStyle w:val="Heading1"/>
      </w:pPr>
      <w:r>
        <w:t>GABAAR knockdown experiments</w:t>
      </w:r>
    </w:p>
    <w:p w14:paraId="3A3BD65D" w14:textId="77777777" w:rsidR="00B57412" w:rsidRDefault="00000000">
      <w:r>
        <w:t>CRISPR technology was used to investigate the involvement of the GABAAR receptor delta subunit (GABAd) in disynaptic GABAergic IPSCs following ChI optogenetic activation. Six-month-old ChAT-Cre X A2a-eGFP wt mice with a C57BL/6 background were used in these experiments. These mice were generated by crossing ChAT-Cre mice (Jackson Laboratory; RRID:IMSR_JAX:006410) with A2a-eGFP mice (RRID:MMRRC_010541-UCD), which had been previously backcrossed to C57BL/6J in the Surmeier laboratory.</w:t>
      </w:r>
    </w:p>
    <w:p w14:paraId="249B8262" w14:textId="77777777" w:rsidR="00B57412" w:rsidRDefault="00000000">
      <w:r>
        <w:t>To knockdown the GABA</w:t>
      </w:r>
      <w:r>
        <w:t>, a mixture of the guide mRNA virus (AAV9-Syn-FRed-U6gRsGABAd, 2E+13 vg/ml, Virovek; RRID not available) and the saCas virus (AAV9-syn-saCas-mWPRE-hGHpolyA, 2E+13 vg/ml, Virovek; RRID not available) were co-injected in the dorsal striatum. In the control experiments, only the guide mRNA virus was injected. For the optogenetic activation of the ChIs, the dorsal striatum of ChAT-Cre X A2a-eGFP wt mice was injected with a Chronos opsin (AAV9-Syn-FLEX-Chronos-GFP, 2E+13 vg/ml, Virovek; RRID not available). Additionally, CRISPR-based gene editing was used to investigate the contribution of the α4 and δ subunits to monosynaptic GABAergic IPSCs evoked by optogenetic activation of NDNF interneurons. Experiments were performed in two-month-old NDNF-Flp × A2a-Cre mice on a C57BL/6 background. These mice were generated by crossing Ndnf-IRES-FlpO mice (RRID:IMSR_JAX:034876) with A2a-Cre mice (RRID:IMSR_JAX:040186), which had been previously backcrossed to C57BL/6J in the Surmeier laboratory. To selectively knockdown α4 and δ subunits in indirect-pathway SPNs (iSPNs), a mixture of a guide RNA-expressing AAV (AAV9-Syn-FRed-U6gRsGABAd-a4; 2 × 10¹³ vg/mL; Virovek; RRID not available) and a Cre-dependent Cas9 AAV (AAV9-hSyn-DIO-saCas9-mWPRE-hGHpolyA; 2 × 10¹³ vg/mL; Virovek; RRID not available) was co-injected into the dorsal striatum. Cre-dependent Cas9 expression restricted CRISPR-mediated gene disruption to A2a-Cre–expressing iSPNs.</w:t>
      </w:r>
    </w:p>
    <w:p w14:paraId="7CE59FD9" w14:textId="77777777" w:rsidR="00B57412" w:rsidRDefault="00000000">
      <w:r>
        <w:t>For optogenetic activation of NGF/NDNF interneurons, the dorsal striatum of Ndnf-Flp × A2a-Cre mice was injected with an Flp-dependent opsin virus (AAV8-CAG-FLPX-rc [ChrimsonR-tdTomato]; Addgene #130909-AAV8; RRID:Addgene_130909). To fluorescently identify iSPNs during recordings, an AAV carrying a iSPN enhancer-driven reporter (AAV-PHP.eB-AiE0452h-minBG-SYFP2-WPRE3-BGHpA; Addgene #191707-PHPeB; RRID:Addgene_191707) was used.</w:t>
      </w:r>
    </w:p>
    <w:p w14:paraId="10323528" w14:textId="77777777" w:rsidR="00B57412" w:rsidRDefault="00000000">
      <w:pPr>
        <w:pStyle w:val="Heading1"/>
      </w:pPr>
      <w:r>
        <w:lastRenderedPageBreak/>
        <w:t>Brain slice preparation</w:t>
      </w:r>
    </w:p>
    <w:p w14:paraId="712DF39B" w14:textId="77777777" w:rsidR="00B57412" w:rsidRDefault="00000000">
      <w:r>
        <w:t>Mice were deeply anesthetized via intraperitoneal injection of a ketamine (100 mg/kg) and xylazine (7 mg/kg) mixture. Once fully anesthetized, animals were transcardially perfused with ice-cold, oxygenated cutting solution composed of (in mM): 125 NaCl, 2.5 KCl, 1.25 NaH₂PO₄, 0.5 CaCl₂, 2.0 MgCl₂, 26 NaHCO₃, and 10.1 glucose (305 mOsm/L, pH 7.3). Coronal brain slices (300 μm thick) containing Striatum were prepared using a vibratome (VT1200S, Leica Biosystems, Wetzlar, Germany).</w:t>
      </w:r>
    </w:p>
    <w:p w14:paraId="0AE7645E" w14:textId="77777777" w:rsidR="00B57412" w:rsidRDefault="00000000">
      <w:r>
        <w:t xml:space="preserve">Following slicing, sections were incubated at 34 °C for 40 minutes in artificial cerebrospinal fluid (ACSF) consisting of (in mM): 125 NaCl, 2.5 KCl, 1.25 NaH₂PO₄, 2.0 CaCl₂, 1.0 MgCl₂, 26 NaHCO₃, and 10.1 glucose. Slices were then maintained at room temperature for at least 30 minutes before electrophysiological recording to allow for recovery and acclimation. Throughout the entire procedure, all solutions were continuously bubbled with carbogen gas (95% O₂ / 5% CO₂) to ensure optimal oxygenation and pH balance. The brain slice preparation protocol is available at </w:t>
      </w:r>
      <w:hyperlink r:id="rId12">
        <w:r>
          <w:rPr>
            <w:color w:val="0563C1"/>
            <w:u w:val="single"/>
          </w:rPr>
          <w:t>https://dx.doi.org/10.17504/protocols.io.dm6gp328jvzp/v2.</w:t>
        </w:r>
      </w:hyperlink>
    </w:p>
    <w:p w14:paraId="6A022291" w14:textId="77777777" w:rsidR="00B57412" w:rsidRDefault="00000000">
      <w:pPr>
        <w:pStyle w:val="Heading1"/>
      </w:pPr>
      <w:r>
        <w:t>Slice Electrophysiology</w:t>
      </w:r>
    </w:p>
    <w:p w14:paraId="6EF50C42" w14:textId="77777777" w:rsidR="00B57412" w:rsidRDefault="00000000">
      <w:r>
        <w:t xml:space="preserve">Individual brain slices were transferred to a recording chamber and continuously superfused with oxygenated ACSF at a rate of 2–3 mL/min at room temperature. D1-tdTomato– or D2-eGFP–expressing spiny projection neurons (SPNs) in the striatum were visually identified using an upright Olympus BX-51WI microscope equipped with a 40X/0.8 NA water-dipping objective lens and a CCD video camera (USB 3.0 Digital Camera, Thorlabs). Whole-cell or perforated patch-clamp recordings were performed from fluorescently labeled SPNs and neurogliaform interneurons (NGFs). Patch pipettes (3–4 MΩ resistance) were filled with an internal solution containing (in mM): 140 CsMeSO₃, 3 NaCl, 0.25 EGTA, 10 HEPES, 2 Mg-ATP, 0.3 Na-GTP, 10 TEA-Cl, and 5 QX-314 (pH adjusted with CsOH to 7.3, 290–300 mOsm/L). Cells were voltage-clamped at –80 mV. For cell-attached recordings of cholinergic interneurons (ChIs), cells were identified by both their fluorescence and the presence of spontaneous firing activity. Recordings were performed using a MultiClamp 700B amplifier (Axon Instruments), filtered at 2 kHz, and digitized at a sampling rate of 10 kHz using Clampex 10.7 software (RRID:SCR_011323). Series resistance ranged from 10 to 30 MΩ and was continuously monitored.  Postsynaptic currents (PSCs) were evoked once per minute using a single 5-ms LED light pulse (X-Cite, Excelitas), illuminating the whole field. To isolate GABAergic PSCs, ionotropic and metabotropic glutamatergic and GABAB receptor antagonists were used (10 µM NBQX, 10 µM D-AP5, 50 µM CPCCOEt, 1 µM MPEP hydrochloride, 2 µM CGP55845). The ex vivo patch-clamp and optogenetic stimulation protocol is available at </w:t>
      </w:r>
      <w:hyperlink r:id="rId13">
        <w:r>
          <w:rPr>
            <w:color w:val="0563C1"/>
            <w:u w:val="single"/>
          </w:rPr>
          <w:t>https://dx.doi.org/10.17504/protocols.io.rm7vzx1w2gx1/v2.</w:t>
        </w:r>
      </w:hyperlink>
    </w:p>
    <w:p w14:paraId="49E43C48" w14:textId="77777777" w:rsidR="00B57412" w:rsidRDefault="00000000">
      <w:pPr>
        <w:pStyle w:val="Heading1"/>
      </w:pPr>
      <w:r>
        <w:t>Two-Photon Imaging of ACh Release</w:t>
      </w:r>
    </w:p>
    <w:p w14:paraId="53E97D2F" w14:textId="77777777" w:rsidR="00B57412" w:rsidRDefault="00000000">
      <w:r>
        <w:t xml:space="preserve">ACh dynamics were evaluated using the genetically encoded ACh sensor GRABACh3.0 delivered as AAV9-hSyn-GRAB_ACh3.0 (Addgene #121922-AAV9; RRID:Addgene_121922), expressed in the dorsolateral striatum and imaged via two-photon laser scanning microscopy (2PLSM). Acute coronal brain slices containing striatal GRABACh3.0 expression were prepared as previously described, then transferred to a submerged recording chamber and continuously superfused with oxygenated ACSF </w:t>
      </w:r>
      <w:r>
        <w:lastRenderedPageBreak/>
        <w:t xml:space="preserve">maintained at room temperature. Imaging was performed using a Chameleon Ultra II two-photon laser (Coherent, Santa Clara, CA), tuned to an excitation wavelength of 920 nm. Fluorescence emission from GRABACh3.0 was captured using an Ultima In Vitro Multiphoton Microscope system (Bruker, Billerica, MA) equipped with a 60x/1.0 NA water-immersion objective (Olympus) and a GaAsP photomultiplier tube (Hamamatsu H7422P-40; 490–560 nm detection range). Image acquisition was controlled using Prairie View 5.3 (Bruker; RRID:SCR_017142). Time-series images were acquired with a pixel resolution of 0.388 μm × 0.388 μm, 4-μs dwell time per pixel, and a frame rate of 21.26 frames per second using Galvo spiral scanning mode. After a 5-second baseline acquisition period, synchronous ACh release was evoked by electrical stimulation using a concentric bipolar electrode (CBAPD75, FHC) placed approximately 150 μm dorsal to the imaging field. Stimulation protocol included a single 1-ms pulse at 0.3 mA. Image acquisition continued for at least 5 seconds following stimulation. Three stimulation trials were recorded for each region of interest (ROI) and data was mean averaged. Fluorescence intensity (F) was first background-subtracted (the background noise resulted from PMT, determined under zero laser power at same PMT voltage), and the baseline fluorescence (F₀) was defined as the mean intensity during the 1 second preceding stimulation. The ΔF (F − F₀) or the amplitude of the response, was normalized to the baseline fluorescence (F₀) using the formula: ΔF_norm = (F − F₀) / (F₀). An unpaired t-test was then performed to compare the distribution of data obtained from MCI-Park mice and their respective controls. The ex vivo imaging protocol for genetically encoded sensors is available at </w:t>
      </w:r>
      <w:hyperlink r:id="rId14">
        <w:r>
          <w:rPr>
            <w:color w:val="0563C1"/>
            <w:u w:val="single"/>
          </w:rPr>
          <w:t>https://dx.doi.org/10.17504/protocols.io.n92ldry68g5b/v1.</w:t>
        </w:r>
      </w:hyperlink>
    </w:p>
    <w:p w14:paraId="3F74448C" w14:textId="77777777" w:rsidR="00B57412" w:rsidRDefault="00000000">
      <w:pPr>
        <w:pStyle w:val="Heading1"/>
      </w:pPr>
      <w:r>
        <w:t>RNAscope In Situ Hybridization</w:t>
      </w:r>
    </w:p>
    <w:p w14:paraId="6A768BD8" w14:textId="77777777" w:rsidR="00B57412" w:rsidRDefault="00000000">
      <w:r>
        <w:t>ChAT-Cre mice were sacrificed four weeks after unilateral 6-OHDA lesioning. Brain tissues were rapidly collected, embedded in Optimal Cutting Temperature (OCT) compound, and flash frozen. Coronal brain sections (12 μm) were prepared using a cryostat, and slides were stored at −80 °C until use. RNAscope in situ hybridization assays were performed on fresh frozen sections using the RNAscope Multiplex Fluorescent Detection Kit v2 (ACD/Bio-Techne, Cat#323110), according to the manufacturer’s protocol. The following RNAscope probes were used: Mm-CHRNb2 (ACD/Bio-Techne, Cat#449231) targeting nicotinic acetylcholine receptor beta 2 subunit (CHRNB2); Mm-NDNF-C3 (ACD/Bio-Techne, Cat#447471-C3) targeting neuron-derived neurotrophic factor (NDNF); and Mm-TH-C2 (ACD/Bio-Techne, Cat#317621-C2) targeting tyrosine hydroxylase (TH).</w:t>
      </w:r>
    </w:p>
    <w:p w14:paraId="60DFC744" w14:textId="77777777" w:rsidR="00B57412" w:rsidRDefault="00000000">
      <w:r>
        <w:t xml:space="preserve">Slides were mounted with ProLong™ Diamond Antifade Mountant containing DAPI (Invitrogen) and imaged using an Olympus FluoView FV10i confocal laser scanning microscope. To quantify CHRNB2 expression in NDNF- or TH-expressing neurons, cells in the dorsal striatum were outlined to define regions of interest (ROIs), and CHRNB2-positive signal particles within each ROI were counted. Data are presented as CHRNB2 signal particles per cell and compared between the control and lesion sides. For each condition, 39–45 cells from four mice were analyzed. Statistical significance was determined using non-parametric Mann–Whitney tests. The RNAscope protocol is available at </w:t>
      </w:r>
      <w:hyperlink r:id="rId15">
        <w:r>
          <w:rPr>
            <w:color w:val="0563C1"/>
            <w:u w:val="single"/>
          </w:rPr>
          <w:t>https://dx.doi.org/10.17504/protocols.io.14egn3odml5d/v1.</w:t>
        </w:r>
      </w:hyperlink>
    </w:p>
    <w:p w14:paraId="03EC67D4" w14:textId="77777777" w:rsidR="00B57412" w:rsidRDefault="00000000">
      <w:pPr>
        <w:pStyle w:val="Heading1"/>
      </w:pPr>
      <w:r>
        <w:lastRenderedPageBreak/>
        <w:t>Immunocytochemistry</w:t>
      </w:r>
    </w:p>
    <w:p w14:paraId="1F57E79D" w14:textId="77777777" w:rsidR="00B57412" w:rsidRDefault="00000000">
      <w:r>
        <w:t>Mice were deeply anesthetized and transcardially perfused with 0.9% saline, followed by 4% paraformaldehyde prepared in 0.1 M phosphate buffer. Brains were removed and incubated overnight at 4 °C in 4% paraformaldehyde. Serial coronal sections (80 μm thickness) encompassing the striatum were collected. For immunofluorescence labeling, free-floating sections were incubated with a mouse monoclonal antibody against tyrosine hydroxylase (TH; ImmunoStar, Cat#22941; RRID:AB_572268) diluted 1:1,000 in blocking solution and maintained at 4 °C for 24 h. Sections were then washed in phosphate-buffered saline (PBS) and incubated with a goat anti-mouse Alexa Fluor 594–conjugated secondary antibody (Thermo Fisher Scientific/Invitrogen, Cat#A-11005; RRID:AB_2534073; 1:500) for 30 min at room temperature. Following final washes, sections were mounted using ProLong™ Diamond Antifade Mountant containing DAPI (Thermo Fisher Scientific, catalog #P36962). Fluorescence images were acquired using a laser-scanning confocal microscope (Olympus FV10i) equipped with ×10/0.4 NA (dry) and ×60/1.35 NA (oil immersion) objectives.</w:t>
      </w:r>
    </w:p>
    <w:p w14:paraId="0A5D4356" w14:textId="77777777" w:rsidR="00B57412" w:rsidRDefault="00000000">
      <w:pPr>
        <w:pStyle w:val="Heading1"/>
      </w:pPr>
      <w:r>
        <w:t>Modeling</w:t>
      </w:r>
    </w:p>
    <w:p w14:paraId="36ECF0CA" w14:textId="77777777" w:rsidR="00B57412" w:rsidRDefault="00000000">
      <w:r>
        <w:t>Simulations used a NEURON (NEURON 8.2.6; RRID:SCR_005393) with Python (Python Programming Language; RRID:SCR_008394) model of morphologically reconstructed striatal spiny projection neurons, implemented as an updated version of Day et al. 15 and integrated into previously established SPN modelling frameworks 28,56,57. Cytoplasmic resistivity (Ra) was set to 200 Ωcm and specific membrane capacitance was 1 µFcm⁻². The models comprised biophysically detailed representations of a dSPN and iSPN consisting of 822 and 710 segments, respectively, incorporating the following active and passive conductances: :  transient fast inactivating Na+ (Naf), persistent Na+ (Nap), fast A-type K+ (Kv4.2), slowly inactivating K+ (Kv1.2), inwardly-rectifying K+ (Kir), delayed rectifier K+ (Kv3.1/3.2), KCNQ (Kv7), small conductance Ca2+-activated K+ (SK), large conductance Ca2+-activated K+ (BK), L-type Ca2+ (Cav 1.2 and 1.3), N-type Ca2+ (Cav 2.2), R-type Ca2+ (Cav 2.3), T-type Ca2+ (Cav3.2 and 3.3). Channel distributions across cellular compartments were as previously described and are presented in Tables S1 and S2 based on Lindroos et al. 56.</w:t>
      </w:r>
    </w:p>
    <w:p w14:paraId="3ADE5837" w14:textId="77777777" w:rsidR="00B57412" w:rsidRDefault="00000000">
      <w:r>
        <w:t>Synaptic spines were added to all dendritic locations further than 30 µm from the soma at a density of 1.61 per µm, yielding approximately 5300 and 4400 spines for the reconstructed dSPN and iSPN, respectively. Spines consisted of a cylindrical head with a diameter of 0.5 µm connected to the dendrite via a neck 1 µm in length with a diameter of 0.1 µm. The reconstructed dSPN model had a resting membrane potential of -85 mV. A hyperpolarizing current step of 200 pA produced a rectified range input resistance of approximately 85 MΩ and a membrane time constant of 10.5 ms. The estimated whole cell capacitance was 180 pF for the dSPN and XX pF for the iSPN. Candidate spines were selected as separate nearest neighbors along a dendrite, beginning approximately two thirds of the distance from the soma. Glutamatergic synaptic input was delivered via AMPA and NMDA conductances inserted into these spines. Synaptic currents were modeled using a two-state kinetic scheme in which the normalized peak conductance was determined by two time constants T1 and T2 using an equation of the form (1 – e-t/</w:t>
      </w:r>
      <w:r>
        <w:t>1) e-t/</w:t>
      </w:r>
      <w:r>
        <w:t xml:space="preserve">2 , where T2 is greater than T1, as previously described 28,56,57 . The maximal conductances of AMPA and NMDA responses were 350 and 752.5 pS, respectively, with reversal potentials set to 0 mV. Spines were activated sequentially at 1 ms intervals with stimulation progressing </w:t>
      </w:r>
      <w:r>
        <w:lastRenderedPageBreak/>
        <w:t>toward the soma. Subthreshold and suprathreshold conditions were determined by the number and spatial distribution of activated synapses. Spines were activated as clustered nearest neighbors along a dendritic segment, with activation proceeding sequentially at 1 ms intervals in the distal to proximal direction within each site. Where multiple dendritic sites were stimulated, clustered inputs at each site were activated simultaneously.</w:t>
      </w:r>
    </w:p>
    <w:p w14:paraId="7EEAFFDB" w14:textId="77777777" w:rsidR="00B57412" w:rsidRDefault="00000000">
      <w:r>
        <w:t>GABAergic conductances, including synaptic and extrasynaptic receptors, were inserted onto dendritic locations and activated simultaneously. The maximal conductance was 1000 pS and the reversal potential was set to -60 mV. Fast synaptic and slow extrasynaptic GABAergic activation regimes were implemented by varying receptor number and kinetics. In simulations where clustered glutamatergic input alone was subthreshold, overall conductance was varied to produce the same local dendritic postsynaptic potential at the site of clustered glutamatergic input. In simulations where clustered glutamatergic input alone was suprathreshold, overall conductance loads were fixed within each condition, such that fast synaptic and slow extrasynaptic GABAergic activation produced different postsynaptic potential amplitudes due to their distinct kinetics. Specific conductance loads and receptor configurations are detailed in the corresponding figures. Temporal interactions between excitation and inhibition were examined by pairing glutamatergic and GABAergic inputs at defined temporal offsets (Δt = tGLUT - tGABA), where negative values indicate that GABAergic activation preceded glutamatergic input. The range and resolution of Δt values varied across simulation protocols and are indicated in the corresponding figures.</w:t>
      </w:r>
    </w:p>
    <w:p w14:paraId="18667883" w14:textId="77777777" w:rsidR="00B57412" w:rsidRDefault="00000000">
      <w:r>
        <w:t>For iSPNs, M1 muscarinic receptor activation was simulated by modulation of Kir2, Kv4 and Kv7 K+ channels (50% reduction in each conductance). For dSPNs, this modulation was limited to Kir2 (refs). Simulations were performed under paired control and M1 modulated conditions to assess the effects of cholinergic signaling on dendritic integration and neuronal output.</w:t>
      </w:r>
    </w:p>
    <w:p w14:paraId="2E29E81F" w14:textId="77777777" w:rsidR="00B57412" w:rsidRDefault="00000000">
      <w:r>
        <w:t xml:space="preserve">Simulation output measures included dendritic postsynaptic potential amplitude, supralinear integration relative to glutamatergic input alone, dendritic spike generation, and somatic spike output depending on the stimulation regime. All simulation code will be made publicly available in a GitHub repository and archived with a </w:t>
      </w:r>
      <w:proofErr w:type="spellStart"/>
      <w:r>
        <w:t>Zenodo</w:t>
      </w:r>
      <w:proofErr w:type="spellEnd"/>
      <w:r>
        <w:t xml:space="preserve"> DOI before submission.</w:t>
      </w:r>
    </w:p>
    <w:p w14:paraId="61A9F990" w14:textId="77777777" w:rsidR="008616CF" w:rsidRDefault="008616CF"/>
    <w:p w14:paraId="2217E02D" w14:textId="77777777" w:rsidR="008616CF" w:rsidRDefault="008616CF" w:rsidP="008616CF"/>
    <w:p w14:paraId="5B9CA0BE" w14:textId="77777777" w:rsidR="008616CF" w:rsidRDefault="008616CF" w:rsidP="008616CF"/>
    <w:p w14:paraId="0CE36989" w14:textId="77777777" w:rsidR="008616CF" w:rsidRDefault="008616CF" w:rsidP="008616CF"/>
    <w:p w14:paraId="40F9EBAB" w14:textId="77777777" w:rsidR="008616CF" w:rsidRDefault="008616CF" w:rsidP="008616CF"/>
    <w:p w14:paraId="09B4C8B9" w14:textId="77777777" w:rsidR="008616CF" w:rsidRDefault="008616CF" w:rsidP="008616CF"/>
    <w:p w14:paraId="49AD95C5" w14:textId="77777777" w:rsidR="008616CF" w:rsidRDefault="008616CF" w:rsidP="008616CF"/>
    <w:p w14:paraId="6DE8F2D5" w14:textId="77777777" w:rsidR="008616CF" w:rsidRDefault="008616CF" w:rsidP="008616CF"/>
    <w:p w14:paraId="76B06BDC" w14:textId="77777777" w:rsidR="008616CF" w:rsidRDefault="008616CF" w:rsidP="008616CF"/>
    <w:p w14:paraId="11799F6A" w14:textId="77777777" w:rsidR="008616CF" w:rsidRDefault="008616CF" w:rsidP="008616CF"/>
    <w:p w14:paraId="55FB3412" w14:textId="77777777" w:rsidR="008616CF" w:rsidRDefault="008616CF" w:rsidP="008616CF"/>
    <w:p w14:paraId="061454C8" w14:textId="77777777" w:rsidR="008616CF" w:rsidRDefault="008616CF" w:rsidP="008616CF"/>
    <w:p w14:paraId="66AB786D" w14:textId="77777777" w:rsidR="00550724" w:rsidRDefault="008616CF" w:rsidP="008616CF">
      <w:r>
        <w:t xml:space="preserve">Postsynaptic current (PSC) waveforms were fit by nonlinear least squares in R (versions 4.4–4.6; R Project for Statistical Computing) using product functions of the form </w:t>
      </w:r>
      <w:proofErr w:type="gramStart"/>
      <w:r>
        <w:t>A(</w:t>
      </w:r>
      <w:proofErr w:type="gramEnd"/>
      <w:r>
        <w:t>1 − e^(−t/τ1</w:t>
      </w:r>
      <w:proofErr w:type="gramStart"/>
      <w:r>
        <w:t>))e</w:t>
      </w:r>
      <w:proofErr w:type="gramEnd"/>
      <w:r>
        <w:t>^(−t/τ2). In the fitting code, amplitudes were parameterized as peak amplitudes, with rise and decay parameters derived from the fitted time constants (</w:t>
      </w:r>
      <w:proofErr w:type="spellStart"/>
      <w:r>
        <w:t>τrise</w:t>
      </w:r>
      <w:proofErr w:type="spellEnd"/>
      <w:r>
        <w:t xml:space="preserve"> = τ1τ2</w:t>
      </w:r>
      <w:proofErr w:type="gramStart"/>
      <w:r>
        <w:t>/(</w:t>
      </w:r>
      <w:proofErr w:type="gramEnd"/>
      <w:r>
        <w:t xml:space="preserve">τ1 + τ2); </w:t>
      </w:r>
      <w:proofErr w:type="spellStart"/>
      <w:r>
        <w:t>τdecay</w:t>
      </w:r>
      <w:proofErr w:type="spellEnd"/>
      <w:r>
        <w:t xml:space="preserve"> = τ2). </w:t>
      </w:r>
      <w:r w:rsidR="00550724">
        <w:t xml:space="preserve">Two-component product-function fits were used throughout to decompose PSCs into fast and slow components with corresponding amplitudes, charge transfer, and decay time constants. In a subset of analyses, one- and two-component fits were compared per recording using the Bayesian information criterion (BIC) to verify that the two-component model provided the better description of the data. Nonlinear optimization used Levenberg–Marquardt routines from the </w:t>
      </w:r>
      <w:proofErr w:type="spellStart"/>
      <w:proofErr w:type="gramStart"/>
      <w:r w:rsidR="00550724">
        <w:t>minpack.lm</w:t>
      </w:r>
      <w:proofErr w:type="spellEnd"/>
      <w:proofErr w:type="gramEnd"/>
      <w:r w:rsidR="00550724">
        <w:t xml:space="preserve"> package.</w:t>
      </w:r>
      <w:r w:rsidR="00550724">
        <w:t xml:space="preserve"> </w:t>
      </w:r>
    </w:p>
    <w:p w14:paraId="1CC8BCCC" w14:textId="77777777" w:rsidR="008616CF" w:rsidRDefault="008616CF" w:rsidP="008616CF"/>
    <w:p w14:paraId="5BFF9315" w14:textId="77777777" w:rsidR="008616CF" w:rsidRDefault="008616CF" w:rsidP="008616CF">
      <w:r>
        <w:t>For fluorescence imaging data (</w:t>
      </w:r>
      <w:proofErr w:type="spellStart"/>
      <w:r>
        <w:t>ACh</w:t>
      </w:r>
      <w:proofErr w:type="spellEnd"/>
      <w:r>
        <w:t xml:space="preserve"> GRAB sensor ΔF/F0, Figure 7) and </w:t>
      </w:r>
      <w:proofErr w:type="spellStart"/>
      <w:r>
        <w:t>RNAscope</w:t>
      </w:r>
      <w:proofErr w:type="spellEnd"/>
      <w:r>
        <w:t xml:space="preserve"> puncta counts (Figure 11), observations were nested within slices, fields, and/or animals, so mixed-effects analyses were used. For Figure 7, a linear mixed-effects model was fit as </w:t>
      </w:r>
      <w:proofErr w:type="spellStart"/>
      <w:r>
        <w:t>dff</w:t>
      </w:r>
      <w:proofErr w:type="spellEnd"/>
      <w:r>
        <w:t xml:space="preserve"> ~ Condition + (1|SliceID). For Figure 11, </w:t>
      </w:r>
      <w:proofErr w:type="spellStart"/>
      <w:r>
        <w:t>RNAscope</w:t>
      </w:r>
      <w:proofErr w:type="spellEnd"/>
      <w:r>
        <w:t xml:space="preserve"> counts were analyzed as count ~ Group + (1|Animal/field). Linear mixed-effects models were fit by restricted maximum likelihood using </w:t>
      </w:r>
      <w:proofErr w:type="spellStart"/>
      <w:r>
        <w:t>lmerTest</w:t>
      </w:r>
      <w:proofErr w:type="spellEnd"/>
      <w:r>
        <w:t xml:space="preserve">, with fixed-effect p-values computed using Satterthwaite’s approximation. To reduce sensitivity to outliers, robust mixed-effects models were fit using </w:t>
      </w:r>
      <w:proofErr w:type="spellStart"/>
      <w:r>
        <w:t>robustlmm</w:t>
      </w:r>
      <w:proofErr w:type="spellEnd"/>
      <w:r>
        <w:t>, and fixed effects were evaluated by cluster bootstrap. For Figure 7, slices were resampled with replacement (B = 9,999); for Figure 11, animals were resampled with replacement while preserving nested fields/cells (B = 1,999). Bootstrap p-values were calculated from the empirical distribution of fixed-effect estimates.</w:t>
      </w:r>
    </w:p>
    <w:p w14:paraId="76BA7693" w14:textId="77777777" w:rsidR="008616CF" w:rsidRDefault="008616CF" w:rsidP="008616CF"/>
    <w:p w14:paraId="581788E4" w14:textId="77777777" w:rsidR="008616CF" w:rsidRDefault="008616CF" w:rsidP="008616CF">
      <w:r>
        <w:t xml:space="preserve">Bayesian mixed-effects models were also fit using brms with Student-t likelihoods and the same hierarchical formulas. Models used four chains, weakly informative </w:t>
      </w:r>
      <w:proofErr w:type="gramStart"/>
      <w:r>
        <w:t>Normal(</w:t>
      </w:r>
      <w:proofErr w:type="gramEnd"/>
      <w:r>
        <w:t>0, 20) priors on fixed condition/group effects, and Student-</w:t>
      </w:r>
      <w:proofErr w:type="gramStart"/>
      <w:r>
        <w:t>t(</w:t>
      </w:r>
      <w:proofErr w:type="gramEnd"/>
      <w:r>
        <w:t>3, 0, 2.5) priors on residual scale parameters. Bayesian results were summarized as posterior medians or means, 95% credible intervals, and posterior tail probabilities. Bootstrap p-values and Bayesian posterior tail probabilities were reported as complementary summaries: the former tests the null hypothesis of no group effect, whereas the latter quantifies the posterior probability of an effect in a specified direction given the model and data. Figures and statistical summaries were generated using custom R scripts in this repository.</w:t>
      </w:r>
      <w:r>
        <w:t xml:space="preserve"> </w:t>
      </w:r>
    </w:p>
    <w:p w14:paraId="78AEC28A" w14:textId="77777777" w:rsidR="008616CF" w:rsidRDefault="008616CF" w:rsidP="008616CF"/>
    <w:p w14:paraId="788C3494" w14:textId="77777777" w:rsidR="008616CF" w:rsidRDefault="008616CF" w:rsidP="008616CF"/>
    <w:p w14:paraId="0590FC93" w14:textId="636A1A9F" w:rsidR="008616CF" w:rsidRDefault="008616CF" w:rsidP="008616CF">
      <w:r>
        <w:t xml:space="preserve">Postsynaptic current (PSC) waveforms were fit by nonlinear least squares in R (versions 4.4–4.6; R Project for Statistical Computing) using product functions of the form </w:t>
      </w:r>
      <w:proofErr w:type="gramStart"/>
      <w:r>
        <w:t>A(</w:t>
      </w:r>
      <w:proofErr w:type="gramEnd"/>
      <w:r>
        <w:t>1 − e^(−t/τ1</w:t>
      </w:r>
      <w:proofErr w:type="gramStart"/>
      <w:r>
        <w:t>))e</w:t>
      </w:r>
      <w:proofErr w:type="gramEnd"/>
      <w:r>
        <w:t>^(−t/τ2). Amplitudes were parameterized as peak amplitudes, with rise and decay time constants derived from the fitted parameters (</w:t>
      </w:r>
      <w:proofErr w:type="spellStart"/>
      <w:r>
        <w:t>τrise</w:t>
      </w:r>
      <w:proofErr w:type="spellEnd"/>
      <w:r>
        <w:t xml:space="preserve"> = τ1τ2</w:t>
      </w:r>
      <w:proofErr w:type="gramStart"/>
      <w:r>
        <w:t>/(</w:t>
      </w:r>
      <w:proofErr w:type="gramEnd"/>
      <w:r>
        <w:t xml:space="preserve">τ1 + τ2); </w:t>
      </w:r>
      <w:proofErr w:type="spellStart"/>
      <w:r>
        <w:t>τdecay</w:t>
      </w:r>
      <w:proofErr w:type="spellEnd"/>
      <w:r>
        <w:t xml:space="preserve"> = τ2). Two-component product-function fits were used throughout to decompose PSCs into fast and slow components with corresponding amplitudes, charge transfer, and decay time constants. Where relevant (Figures 3B, 8, 9, and S5), one- and two-component fits were compared per recording using the Bayesian information criterion (BIC) to confirm that the two-component model provided a better description of the data; in the remaining analyses, </w:t>
      </w:r>
      <w:r>
        <w:lastRenderedPageBreak/>
        <w:t xml:space="preserve">two-component fits were applied directly on the basis of clearly biphasic PSC kinetics. Nonlinear optimization used Levenberg–Marquardt routines from </w:t>
      </w:r>
      <w:proofErr w:type="spellStart"/>
      <w:proofErr w:type="gramStart"/>
      <w:r>
        <w:t>minpack.lm</w:t>
      </w:r>
      <w:proofErr w:type="spellEnd"/>
      <w:proofErr w:type="gramEnd"/>
      <w:r>
        <w:t xml:space="preserve">, with C++ residual and log-likelihood routines compiled via </w:t>
      </w:r>
      <w:proofErr w:type="spellStart"/>
      <w:r>
        <w:t>Rcpp</w:t>
      </w:r>
      <w:proofErr w:type="spellEnd"/>
      <w:r>
        <w:t>.</w:t>
      </w:r>
    </w:p>
    <w:sectPr w:rsidR="008616CF" w:rsidSect="00034616">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FB2A8" w14:textId="77777777" w:rsidR="0024134A" w:rsidRDefault="0024134A">
      <w:pPr>
        <w:spacing w:after="0" w:line="240" w:lineRule="auto"/>
      </w:pPr>
      <w:r>
        <w:separator/>
      </w:r>
    </w:p>
  </w:endnote>
  <w:endnote w:type="continuationSeparator" w:id="0">
    <w:p w14:paraId="2B23923F" w14:textId="77777777" w:rsidR="0024134A" w:rsidRDefault="002413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A9746" w14:textId="77777777" w:rsidR="00B57412" w:rsidRDefault="00000000">
    <w:pPr>
      <w:pStyle w:val="Footer"/>
      <w:jc w:val="right"/>
    </w:pPr>
    <w:r>
      <w:rPr>
        <w:color w:val="666666"/>
        <w:sz w:val="18"/>
      </w:rPr>
      <w:t>Materials and methods ASAP working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5926A" w14:textId="77777777" w:rsidR="0024134A" w:rsidRDefault="0024134A">
      <w:pPr>
        <w:spacing w:after="0" w:line="240" w:lineRule="auto"/>
      </w:pPr>
      <w:r>
        <w:separator/>
      </w:r>
    </w:p>
  </w:footnote>
  <w:footnote w:type="continuationSeparator" w:id="0">
    <w:p w14:paraId="34A71F43" w14:textId="77777777" w:rsidR="0024134A" w:rsidRDefault="002413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2051865">
    <w:abstractNumId w:val="8"/>
  </w:num>
  <w:num w:numId="2" w16cid:durableId="531696485">
    <w:abstractNumId w:val="6"/>
  </w:num>
  <w:num w:numId="3" w16cid:durableId="850337596">
    <w:abstractNumId w:val="5"/>
  </w:num>
  <w:num w:numId="4" w16cid:durableId="670646388">
    <w:abstractNumId w:val="4"/>
  </w:num>
  <w:num w:numId="5" w16cid:durableId="152990893">
    <w:abstractNumId w:val="7"/>
  </w:num>
  <w:num w:numId="6" w16cid:durableId="1443719986">
    <w:abstractNumId w:val="3"/>
  </w:num>
  <w:num w:numId="7" w16cid:durableId="653991429">
    <w:abstractNumId w:val="2"/>
  </w:num>
  <w:num w:numId="8" w16cid:durableId="999651181">
    <w:abstractNumId w:val="1"/>
  </w:num>
  <w:num w:numId="9" w16cid:durableId="1608465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134A"/>
    <w:rsid w:val="002523A8"/>
    <w:rsid w:val="0029639D"/>
    <w:rsid w:val="00326F90"/>
    <w:rsid w:val="00550724"/>
    <w:rsid w:val="008616CF"/>
    <w:rsid w:val="00AA1D8D"/>
    <w:rsid w:val="00B47730"/>
    <w:rsid w:val="00B5741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80FB57"/>
  <w14:defaultImageDpi w14:val="300"/>
  <w15:docId w15:val="{C72F611E-B778-5940-AD67-B46F40485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mouse.brain-map.org/static/atlas" TargetMode="External"/><Relationship Id="rId13" Type="http://schemas.openxmlformats.org/officeDocument/2006/relationships/hyperlink" Target="https://dx.doi.org/10.17504/protocols.io.rm7vzx1w2gx1/v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x.doi.org/10.17504/protocols.io.dm6gp328jvzp/v2."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x.doi.org/10.17504/protocols.io.81wgby191vpk/v1." TargetMode="External"/><Relationship Id="rId5" Type="http://schemas.openxmlformats.org/officeDocument/2006/relationships/webSettings" Target="webSettings.xml"/><Relationship Id="rId15" Type="http://schemas.openxmlformats.org/officeDocument/2006/relationships/hyperlink" Target="https://dx.doi.org/10.17504/protocols.io.14egn3odml5d/v1." TargetMode="External"/><Relationship Id="rId10" Type="http://schemas.openxmlformats.org/officeDocument/2006/relationships/hyperlink" Target="https://dx.doi.org/10.17504/protocols.io.kqdg3q5w1v25/v1." TargetMode="External"/><Relationship Id="rId4" Type="http://schemas.openxmlformats.org/officeDocument/2006/relationships/settings" Target="settings.xml"/><Relationship Id="rId9" Type="http://schemas.openxmlformats.org/officeDocument/2006/relationships/hyperlink" Target="https://dx.doi.org/10.17504/protocols.io.81wgby191vpk/v1." TargetMode="External"/><Relationship Id="rId14" Type="http://schemas.openxmlformats.org/officeDocument/2006/relationships/hyperlink" Target="https://dx.doi.org/10.17504/protocols.io.n92ldry68g5b/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3615</Words>
  <Characters>22998</Characters>
  <Application>Microsoft Office Word</Application>
  <DocSecurity>0</DocSecurity>
  <Lines>298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Vernon Clarke</cp:lastModifiedBy>
  <cp:revision>2</cp:revision>
  <dcterms:created xsi:type="dcterms:W3CDTF">2013-12-23T23:15:00Z</dcterms:created>
  <dcterms:modified xsi:type="dcterms:W3CDTF">2026-06-04T22:24:00Z</dcterms:modified>
  <cp:category/>
</cp:coreProperties>
</file>