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CB79A" w14:textId="77777777" w:rsidR="000E31FD" w:rsidRPr="00E01724" w:rsidRDefault="00000000">
      <w:pPr>
        <w:spacing w:after="60"/>
        <w:rPr>
          <w:rFonts w:ascii="Times New Roman" w:hAnsi="Times New Roman" w:cs="Times New Roman"/>
          <w:b/>
          <w:bCs/>
          <w:sz w:val="24"/>
          <w:szCs w:val="24"/>
          <w:lang w:val="es-EC"/>
        </w:rPr>
      </w:pPr>
      <w:r w:rsidRPr="00E01724">
        <w:rPr>
          <w:rFonts w:ascii="Times New Roman" w:hAnsi="Times New Roman" w:cs="Times New Roman"/>
          <w:b/>
          <w:bCs/>
          <w:color w:val="000000"/>
          <w:sz w:val="24"/>
          <w:szCs w:val="24"/>
          <w:lang w:val="es-EC"/>
        </w:rPr>
        <w:t>Revisión de literatura</w:t>
      </w:r>
    </w:p>
    <w:p w14:paraId="62DC395A" w14:textId="77777777" w:rsidR="000E31FD" w:rsidRPr="00E01724" w:rsidRDefault="00000000">
      <w:pPr>
        <w:spacing w:after="280"/>
        <w:rPr>
          <w:rFonts w:ascii="Times New Roman" w:hAnsi="Times New Roman" w:cs="Times New Roman"/>
          <w:sz w:val="24"/>
          <w:szCs w:val="24"/>
          <w:lang w:val="es-EC"/>
        </w:rPr>
      </w:pPr>
      <w:r w:rsidRPr="00E01724">
        <w:rPr>
          <w:rFonts w:ascii="Times New Roman" w:hAnsi="Times New Roman" w:cs="Times New Roman"/>
          <w:color w:val="555555"/>
          <w:sz w:val="24"/>
          <w:szCs w:val="24"/>
          <w:lang w:val="es-EC"/>
        </w:rPr>
        <w:t>Tema: riesgo crediticio, eficiencia y rentabilidad en cooperativas financieras ecuatorianas</w:t>
      </w:r>
    </w:p>
    <w:p w14:paraId="35912A8F" w14:textId="77777777" w:rsidR="000E31FD" w:rsidRPr="00E01724" w:rsidRDefault="00000000">
      <w:pPr>
        <w:pStyle w:val="Ttulo1"/>
        <w:rPr>
          <w:rFonts w:ascii="Times New Roman" w:hAnsi="Times New Roman" w:cs="Times New Roman"/>
          <w:b/>
          <w:bCs w:val="0"/>
          <w:sz w:val="24"/>
          <w:szCs w:val="24"/>
          <w:lang w:val="es-EC"/>
        </w:rPr>
      </w:pPr>
      <w:r w:rsidRPr="00E01724">
        <w:rPr>
          <w:rFonts w:ascii="Times New Roman" w:hAnsi="Times New Roman" w:cs="Times New Roman"/>
          <w:b/>
          <w:bCs w:val="0"/>
          <w:sz w:val="24"/>
          <w:szCs w:val="24"/>
          <w:lang w:val="es-EC"/>
        </w:rPr>
        <w:t>Revisión de literatura</w:t>
      </w:r>
    </w:p>
    <w:p w14:paraId="7D9E53F2" w14:textId="23CC4F84" w:rsidR="00D04FFC" w:rsidRPr="00D04FFC" w:rsidRDefault="00D04FFC" w:rsidP="00D04FFC">
      <w:pPr>
        <w:jc w:val="both"/>
        <w:rPr>
          <w:rFonts w:ascii="Times New Roman" w:hAnsi="Times New Roman" w:cs="Times New Roman"/>
          <w:sz w:val="24"/>
          <w:szCs w:val="24"/>
          <w:lang w:val="es-EC"/>
        </w:rPr>
      </w:pPr>
      <w:r w:rsidRPr="00D04FFC">
        <w:rPr>
          <w:rFonts w:ascii="Times New Roman" w:hAnsi="Times New Roman" w:cs="Times New Roman"/>
          <w:sz w:val="24"/>
          <w:szCs w:val="24"/>
          <w:lang w:val="es-EC"/>
        </w:rPr>
        <w:t>La literatura financiera sobre rentabilidad bancaria ha evolucionado desde enfoques estáticos centrados en concentración y poder de mercado hacia modelos más dinámicos que incorporan persistencia de beneficios, eficiencia operativa, riesgo crediticio y condiciones macroeconómicas. Los primeros estudios m</w:t>
      </w:r>
      <w:r>
        <w:rPr>
          <w:rFonts w:ascii="Times New Roman" w:hAnsi="Times New Roman" w:cs="Times New Roman"/>
          <w:sz w:val="24"/>
          <w:szCs w:val="24"/>
          <w:lang w:val="es-EC"/>
        </w:rPr>
        <w:t>uestran</w:t>
      </w:r>
      <w:r w:rsidRPr="00D04FFC">
        <w:rPr>
          <w:rFonts w:ascii="Times New Roman" w:hAnsi="Times New Roman" w:cs="Times New Roman"/>
          <w:sz w:val="24"/>
          <w:szCs w:val="24"/>
          <w:lang w:val="es-EC"/>
        </w:rPr>
        <w:t xml:space="preserve"> que la rentabilidad de las instituciones financieras depende tanto de factores internos como de variables externas asociadas al entorno competitivo y macroeconómico (Bourke, 1989; Molyneux &amp; Thornton, 1992; </w:t>
      </w:r>
      <w:proofErr w:type="spellStart"/>
      <w:r w:rsidRPr="00D04FFC">
        <w:rPr>
          <w:rFonts w:ascii="Times New Roman" w:hAnsi="Times New Roman" w:cs="Times New Roman"/>
          <w:sz w:val="24"/>
          <w:szCs w:val="24"/>
          <w:lang w:val="es-EC"/>
        </w:rPr>
        <w:t>Demirgüç</w:t>
      </w:r>
      <w:proofErr w:type="spellEnd"/>
      <w:r w:rsidRPr="00D04FFC">
        <w:rPr>
          <w:rFonts w:ascii="Times New Roman" w:hAnsi="Times New Roman" w:cs="Times New Roman"/>
          <w:sz w:val="24"/>
          <w:szCs w:val="24"/>
          <w:lang w:val="es-EC"/>
        </w:rPr>
        <w:t xml:space="preserve">-Kunt &amp; Huizinga, 1999). Posteriormente, la evidencia incorporó modelos de panel dinámico para capturar la persistencia de la rentabilidad y la posible endogeneidad entre capitalización, riesgo y desempeño financiero (Goddard et al., 2004; </w:t>
      </w:r>
      <w:proofErr w:type="spellStart"/>
      <w:r w:rsidRPr="00D04FFC">
        <w:rPr>
          <w:rFonts w:ascii="Times New Roman" w:hAnsi="Times New Roman" w:cs="Times New Roman"/>
          <w:sz w:val="24"/>
          <w:szCs w:val="24"/>
          <w:lang w:val="es-EC"/>
        </w:rPr>
        <w:t>Athanasoglou</w:t>
      </w:r>
      <w:proofErr w:type="spellEnd"/>
      <w:r w:rsidRPr="00D04FFC">
        <w:rPr>
          <w:rFonts w:ascii="Times New Roman" w:hAnsi="Times New Roman" w:cs="Times New Roman"/>
          <w:sz w:val="24"/>
          <w:szCs w:val="24"/>
          <w:lang w:val="es-EC"/>
        </w:rPr>
        <w:t xml:space="preserve"> et al., 2008; Dietrich &amp; </w:t>
      </w:r>
      <w:proofErr w:type="spellStart"/>
      <w:r w:rsidRPr="00D04FFC">
        <w:rPr>
          <w:rFonts w:ascii="Times New Roman" w:hAnsi="Times New Roman" w:cs="Times New Roman"/>
          <w:sz w:val="24"/>
          <w:szCs w:val="24"/>
          <w:lang w:val="es-EC"/>
        </w:rPr>
        <w:t>Wanzenried</w:t>
      </w:r>
      <w:proofErr w:type="spellEnd"/>
      <w:r w:rsidRPr="00D04FFC">
        <w:rPr>
          <w:rFonts w:ascii="Times New Roman" w:hAnsi="Times New Roman" w:cs="Times New Roman"/>
          <w:sz w:val="24"/>
          <w:szCs w:val="24"/>
          <w:lang w:val="es-EC"/>
        </w:rPr>
        <w:t>, 2011). Esta evolución resulta especialmente relevante para economías emergentes con restricciones monetarias fuertes, donde la rentabilidad no solo representa un indicador de desempeño, sino también un mecanismo de resiliencia financiera.</w:t>
      </w:r>
    </w:p>
    <w:p w14:paraId="3E077708" w14:textId="77777777" w:rsidR="00D04FFC" w:rsidRPr="00D04FFC" w:rsidRDefault="00D04FFC" w:rsidP="00D04FFC">
      <w:pPr>
        <w:jc w:val="both"/>
        <w:rPr>
          <w:rFonts w:ascii="Times New Roman" w:hAnsi="Times New Roman" w:cs="Times New Roman"/>
          <w:sz w:val="24"/>
          <w:szCs w:val="24"/>
          <w:lang w:val="es-EC"/>
        </w:rPr>
      </w:pPr>
      <w:r w:rsidRPr="00D04FFC">
        <w:rPr>
          <w:rFonts w:ascii="Times New Roman" w:hAnsi="Times New Roman" w:cs="Times New Roman"/>
          <w:sz w:val="24"/>
          <w:szCs w:val="24"/>
          <w:lang w:val="es-EC"/>
        </w:rPr>
        <w:t xml:space="preserve">El caso ecuatoriano ofrece un contexto institucional particularmente importante. Ecuador adoptó la dolarización oficial en el año 2000 como respuesta de último recurso frente a una crisis bancaria, cambiaria e inflacionaria (Beckerman &amp; Solimano, 2002). Este régimen eliminó la discrecionalidad monetaria y contribuyó a estabilizar precios, pero también redujo los instrumentos disponibles para enfrentar shocks </w:t>
      </w:r>
      <w:proofErr w:type="spellStart"/>
      <w:r w:rsidRPr="00D04FFC">
        <w:rPr>
          <w:rFonts w:ascii="Times New Roman" w:hAnsi="Times New Roman" w:cs="Times New Roman"/>
          <w:sz w:val="24"/>
          <w:szCs w:val="24"/>
          <w:lang w:val="es-EC"/>
        </w:rPr>
        <w:t>macrofinancieros</w:t>
      </w:r>
      <w:proofErr w:type="spellEnd"/>
      <w:r w:rsidRPr="00D04FFC">
        <w:rPr>
          <w:rFonts w:ascii="Times New Roman" w:hAnsi="Times New Roman" w:cs="Times New Roman"/>
          <w:sz w:val="24"/>
          <w:szCs w:val="24"/>
          <w:lang w:val="es-EC"/>
        </w:rPr>
        <w:t xml:space="preserve">. En ausencia de emisión monetaria propia, prestamista de última instancia pleno y posibilidad de devaluación, las instituciones financieras deben absorber una mayor parte del ajuste mediante su propia liquidez, capitalización y gestión de riesgo (Jácome &amp; </w:t>
      </w:r>
      <w:proofErr w:type="spellStart"/>
      <w:r w:rsidRPr="00D04FFC">
        <w:rPr>
          <w:rFonts w:ascii="Times New Roman" w:hAnsi="Times New Roman" w:cs="Times New Roman"/>
          <w:sz w:val="24"/>
          <w:szCs w:val="24"/>
          <w:lang w:val="es-EC"/>
        </w:rPr>
        <w:t>Lönnberg</w:t>
      </w:r>
      <w:proofErr w:type="spellEnd"/>
      <w:r w:rsidRPr="00D04FFC">
        <w:rPr>
          <w:rFonts w:ascii="Times New Roman" w:hAnsi="Times New Roman" w:cs="Times New Roman"/>
          <w:sz w:val="24"/>
          <w:szCs w:val="24"/>
          <w:lang w:val="es-EC"/>
        </w:rPr>
        <w:t>, 2010). Por ello, estudiar la rentabilidad de las cooperativas de ahorro y crédito en una economía dolarizada permite analizar no solo su desempeño contable, sino también su capacidad para sostener estabilidad institucional en un entorno de restricciones macroeconómicas.</w:t>
      </w:r>
    </w:p>
    <w:p w14:paraId="02E051CA" w14:textId="77777777" w:rsidR="00D04FFC" w:rsidRPr="00D04FFC" w:rsidRDefault="00D04FFC" w:rsidP="00D04FFC">
      <w:pPr>
        <w:jc w:val="both"/>
        <w:rPr>
          <w:rFonts w:ascii="Times New Roman" w:hAnsi="Times New Roman" w:cs="Times New Roman"/>
          <w:sz w:val="24"/>
          <w:szCs w:val="24"/>
          <w:lang w:val="es-EC"/>
        </w:rPr>
      </w:pPr>
      <w:r w:rsidRPr="00D04FFC">
        <w:rPr>
          <w:rFonts w:ascii="Times New Roman" w:hAnsi="Times New Roman" w:cs="Times New Roman"/>
          <w:sz w:val="24"/>
          <w:szCs w:val="24"/>
          <w:lang w:val="es-EC"/>
        </w:rPr>
        <w:t>La literatura identifica varios determinantes internos de la rentabilidad financiera. La capitalización suele mostrar una relación positiva con el desempeño, ya que las entidades mejor capitalizadas enfrentan menor riesgo de insolvencia, reducen costos de financiamiento y transmiten mayor confianza a depositantes y acreedores (</w:t>
      </w:r>
      <w:proofErr w:type="spellStart"/>
      <w:r w:rsidRPr="00D04FFC">
        <w:rPr>
          <w:rFonts w:ascii="Times New Roman" w:hAnsi="Times New Roman" w:cs="Times New Roman"/>
          <w:sz w:val="24"/>
          <w:szCs w:val="24"/>
          <w:lang w:val="es-EC"/>
        </w:rPr>
        <w:t>Demirgüç</w:t>
      </w:r>
      <w:proofErr w:type="spellEnd"/>
      <w:r w:rsidRPr="00D04FFC">
        <w:rPr>
          <w:rFonts w:ascii="Times New Roman" w:hAnsi="Times New Roman" w:cs="Times New Roman"/>
          <w:sz w:val="24"/>
          <w:szCs w:val="24"/>
          <w:lang w:val="es-EC"/>
        </w:rPr>
        <w:t xml:space="preserve">-Kunt &amp; Huizinga, 1999; </w:t>
      </w:r>
      <w:proofErr w:type="spellStart"/>
      <w:r w:rsidRPr="00D04FFC">
        <w:rPr>
          <w:rFonts w:ascii="Times New Roman" w:hAnsi="Times New Roman" w:cs="Times New Roman"/>
          <w:sz w:val="24"/>
          <w:szCs w:val="24"/>
          <w:lang w:val="es-EC"/>
        </w:rPr>
        <w:t>Athanasoglou</w:t>
      </w:r>
      <w:proofErr w:type="spellEnd"/>
      <w:r w:rsidRPr="00D04FFC">
        <w:rPr>
          <w:rFonts w:ascii="Times New Roman" w:hAnsi="Times New Roman" w:cs="Times New Roman"/>
          <w:sz w:val="24"/>
          <w:szCs w:val="24"/>
          <w:lang w:val="es-EC"/>
        </w:rPr>
        <w:t xml:space="preserve"> et al., 2008; Dietrich &amp; </w:t>
      </w:r>
      <w:proofErr w:type="spellStart"/>
      <w:r w:rsidRPr="00D04FFC">
        <w:rPr>
          <w:rFonts w:ascii="Times New Roman" w:hAnsi="Times New Roman" w:cs="Times New Roman"/>
          <w:sz w:val="24"/>
          <w:szCs w:val="24"/>
          <w:lang w:val="es-EC"/>
        </w:rPr>
        <w:t>Wanzenried</w:t>
      </w:r>
      <w:proofErr w:type="spellEnd"/>
      <w:r w:rsidRPr="00D04FFC">
        <w:rPr>
          <w:rFonts w:ascii="Times New Roman" w:hAnsi="Times New Roman" w:cs="Times New Roman"/>
          <w:sz w:val="24"/>
          <w:szCs w:val="24"/>
          <w:lang w:val="es-EC"/>
        </w:rPr>
        <w:t>, 2011). Sin embargo, su efecto puede diferir entre ROA y ROE: mientras una mayor capitalización puede fortalecer el rendimiento de los activos al reducir vulnerabilidad, también puede disminuir el retorno sobre patrimonio si los excedentes se distribuyen sobre una base patrimonial más amplia.</w:t>
      </w:r>
    </w:p>
    <w:p w14:paraId="27BA3845" w14:textId="77777777" w:rsidR="00D04FFC" w:rsidRPr="00D04FFC" w:rsidRDefault="00D04FFC" w:rsidP="00D04FFC">
      <w:pPr>
        <w:jc w:val="both"/>
        <w:rPr>
          <w:rFonts w:ascii="Times New Roman" w:hAnsi="Times New Roman" w:cs="Times New Roman"/>
          <w:sz w:val="24"/>
          <w:szCs w:val="24"/>
          <w:lang w:val="es-EC"/>
        </w:rPr>
      </w:pPr>
      <w:r w:rsidRPr="00D04FFC">
        <w:rPr>
          <w:rFonts w:ascii="Times New Roman" w:hAnsi="Times New Roman" w:cs="Times New Roman"/>
          <w:sz w:val="24"/>
          <w:szCs w:val="24"/>
          <w:lang w:val="es-EC"/>
        </w:rPr>
        <w:t xml:space="preserve">El riesgo crediticio constituye otro determinante central. La morosidad y las provisiones por pérdidas crediticias suelen afectar negativamente la rentabilidad, porque reducen ingresos efectivos, elevan gastos de provisión y aumentan costos de recuperación (Berger &amp; DeYoung, </w:t>
      </w:r>
      <w:r w:rsidRPr="00D04FFC">
        <w:rPr>
          <w:rFonts w:ascii="Times New Roman" w:hAnsi="Times New Roman" w:cs="Times New Roman"/>
          <w:sz w:val="24"/>
          <w:szCs w:val="24"/>
          <w:lang w:val="es-EC"/>
        </w:rPr>
        <w:lastRenderedPageBreak/>
        <w:t xml:space="preserve">1997; </w:t>
      </w:r>
      <w:proofErr w:type="spellStart"/>
      <w:r w:rsidRPr="00D04FFC">
        <w:rPr>
          <w:rFonts w:ascii="Times New Roman" w:hAnsi="Times New Roman" w:cs="Times New Roman"/>
          <w:sz w:val="24"/>
          <w:szCs w:val="24"/>
          <w:lang w:val="es-EC"/>
        </w:rPr>
        <w:t>Louzis</w:t>
      </w:r>
      <w:proofErr w:type="spellEnd"/>
      <w:r w:rsidRPr="00D04FFC">
        <w:rPr>
          <w:rFonts w:ascii="Times New Roman" w:hAnsi="Times New Roman" w:cs="Times New Roman"/>
          <w:sz w:val="24"/>
          <w:szCs w:val="24"/>
          <w:lang w:val="es-EC"/>
        </w:rPr>
        <w:t xml:space="preserve"> et al., 2012; Klein, 2013). La hipótesis de “</w:t>
      </w:r>
      <w:proofErr w:type="spellStart"/>
      <w:r w:rsidRPr="00D04FFC">
        <w:rPr>
          <w:rFonts w:ascii="Times New Roman" w:hAnsi="Times New Roman" w:cs="Times New Roman"/>
          <w:sz w:val="24"/>
          <w:szCs w:val="24"/>
          <w:lang w:val="es-EC"/>
        </w:rPr>
        <w:t>bad</w:t>
      </w:r>
      <w:proofErr w:type="spellEnd"/>
      <w:r w:rsidRPr="00D04FFC">
        <w:rPr>
          <w:rFonts w:ascii="Times New Roman" w:hAnsi="Times New Roman" w:cs="Times New Roman"/>
          <w:sz w:val="24"/>
          <w:szCs w:val="24"/>
          <w:lang w:val="es-EC"/>
        </w:rPr>
        <w:t xml:space="preserve"> </w:t>
      </w:r>
      <w:proofErr w:type="spellStart"/>
      <w:r w:rsidRPr="00D04FFC">
        <w:rPr>
          <w:rFonts w:ascii="Times New Roman" w:hAnsi="Times New Roman" w:cs="Times New Roman"/>
          <w:sz w:val="24"/>
          <w:szCs w:val="24"/>
          <w:lang w:val="es-EC"/>
        </w:rPr>
        <w:t>management</w:t>
      </w:r>
      <w:proofErr w:type="spellEnd"/>
      <w:r w:rsidRPr="00D04FFC">
        <w:rPr>
          <w:rFonts w:ascii="Times New Roman" w:hAnsi="Times New Roman" w:cs="Times New Roman"/>
          <w:sz w:val="24"/>
          <w:szCs w:val="24"/>
          <w:lang w:val="es-EC"/>
        </w:rPr>
        <w:t>” plantea que una baja eficiencia operativa puede preceder al deterioro de la cartera, debido a deficiencias en evaluación, monitoreo y cobranza de créditos (Berger &amp; DeYoung, 1997). Este mecanismo es especialmente relevante para cooperativas que atienden hogares, microempresas y segmentos con mayor exposición a informalidad o volatilidad de ingresos.</w:t>
      </w:r>
    </w:p>
    <w:p w14:paraId="565014B7" w14:textId="77777777" w:rsidR="00D04FFC" w:rsidRPr="00D04FFC" w:rsidRDefault="00D04FFC" w:rsidP="00D04FFC">
      <w:pPr>
        <w:jc w:val="both"/>
        <w:rPr>
          <w:rFonts w:ascii="Times New Roman" w:hAnsi="Times New Roman" w:cs="Times New Roman"/>
          <w:sz w:val="24"/>
          <w:szCs w:val="24"/>
          <w:lang w:val="es-EC"/>
        </w:rPr>
      </w:pPr>
      <w:r w:rsidRPr="00D04FFC">
        <w:rPr>
          <w:rFonts w:ascii="Times New Roman" w:hAnsi="Times New Roman" w:cs="Times New Roman"/>
          <w:sz w:val="24"/>
          <w:szCs w:val="24"/>
          <w:lang w:val="es-EC"/>
        </w:rPr>
        <w:t xml:space="preserve">La eficiencia operativa también ocupa un lugar importante en la literatura. En general, mayores gastos operativos relativos se asocian con menor rentabilidad, al reflejar ineficiencias de costos o menor capacidad de transformar activos en resultados (Berger &amp; Mester, 1997; </w:t>
      </w:r>
      <w:proofErr w:type="spellStart"/>
      <w:r w:rsidRPr="00D04FFC">
        <w:rPr>
          <w:rFonts w:ascii="Times New Roman" w:hAnsi="Times New Roman" w:cs="Times New Roman"/>
          <w:sz w:val="24"/>
          <w:szCs w:val="24"/>
          <w:lang w:val="es-EC"/>
        </w:rPr>
        <w:t>Pasiouras</w:t>
      </w:r>
      <w:proofErr w:type="spellEnd"/>
      <w:r w:rsidRPr="00D04FFC">
        <w:rPr>
          <w:rFonts w:ascii="Times New Roman" w:hAnsi="Times New Roman" w:cs="Times New Roman"/>
          <w:sz w:val="24"/>
          <w:szCs w:val="24"/>
          <w:lang w:val="es-EC"/>
        </w:rPr>
        <w:t xml:space="preserve"> &amp; Kosmidou, 2007). No obstante, algunos estudios sugieren que en instituciones altamente rentables puede aparecer un comportamiento de “preferencia por el gasto”, donde los gerentes incrementan costos discrecionales como forma de consumir rentas internas (Bourke, 1989; Molyneux &amp; Thornton, 1992). Por tanto, la relación entre eficiencia y rentabilidad debe analizarse considerando la estructura institucional de cada entidad.</w:t>
      </w:r>
    </w:p>
    <w:p w14:paraId="42270472" w14:textId="77777777" w:rsidR="00D04FFC" w:rsidRPr="00D04FFC" w:rsidRDefault="00D04FFC" w:rsidP="00D04FFC">
      <w:pPr>
        <w:jc w:val="both"/>
        <w:rPr>
          <w:rFonts w:ascii="Times New Roman" w:hAnsi="Times New Roman" w:cs="Times New Roman"/>
          <w:sz w:val="24"/>
          <w:szCs w:val="24"/>
          <w:lang w:val="es-EC"/>
        </w:rPr>
      </w:pPr>
      <w:r w:rsidRPr="00D04FFC">
        <w:rPr>
          <w:rFonts w:ascii="Times New Roman" w:hAnsi="Times New Roman" w:cs="Times New Roman"/>
          <w:sz w:val="24"/>
          <w:szCs w:val="24"/>
          <w:lang w:val="es-EC"/>
        </w:rPr>
        <w:t>En este punto, las cooperativas financieras difieren de los bancos comerciales. Mientras los bancos buscan maximizar el valor para los accionistas, las instituciones financieras cooperativas operan bajo una estructura mutual orientada al beneficio de sus socios (Cuevas &amp; Fischer, 2006; McKillop &amp; Wilson, 2011; McKillop et al., 2020). Su vínculo común puede reducir asimetrías de información en la relación crediticia; sin embargo, la regla de “un miembro, un voto” y la dispersión de la propiedad pueden generar problemas de agencia, free-</w:t>
      </w:r>
      <w:proofErr w:type="spellStart"/>
      <w:r w:rsidRPr="00D04FFC">
        <w:rPr>
          <w:rFonts w:ascii="Times New Roman" w:hAnsi="Times New Roman" w:cs="Times New Roman"/>
          <w:sz w:val="24"/>
          <w:szCs w:val="24"/>
          <w:lang w:val="es-EC"/>
        </w:rPr>
        <w:t>riding</w:t>
      </w:r>
      <w:proofErr w:type="spellEnd"/>
      <w:r w:rsidRPr="00D04FFC">
        <w:rPr>
          <w:rFonts w:ascii="Times New Roman" w:hAnsi="Times New Roman" w:cs="Times New Roman"/>
          <w:sz w:val="24"/>
          <w:szCs w:val="24"/>
          <w:lang w:val="es-EC"/>
        </w:rPr>
        <w:t xml:space="preserve"> en el monitoreo y menor disciplina sobre los gerentes. Estas características pueden traducirse en mayores costos operativos o en decisiones financieras distintas a las observadas en bancos comerciales.</w:t>
      </w:r>
    </w:p>
    <w:p w14:paraId="1FD01441" w14:textId="77777777" w:rsidR="00D04FFC" w:rsidRPr="00D04FFC" w:rsidRDefault="00D04FFC" w:rsidP="00D04FFC">
      <w:pPr>
        <w:jc w:val="both"/>
        <w:rPr>
          <w:rFonts w:ascii="Times New Roman" w:hAnsi="Times New Roman" w:cs="Times New Roman"/>
          <w:sz w:val="24"/>
          <w:szCs w:val="24"/>
          <w:lang w:val="es-EC"/>
        </w:rPr>
      </w:pPr>
      <w:r w:rsidRPr="00D04FFC">
        <w:rPr>
          <w:rFonts w:ascii="Times New Roman" w:hAnsi="Times New Roman" w:cs="Times New Roman"/>
          <w:sz w:val="24"/>
          <w:szCs w:val="24"/>
          <w:lang w:val="es-EC"/>
        </w:rPr>
        <w:t xml:space="preserve">La brecha de investigación se encuentra precisamente en la intersección entre rentabilidad, gobernanza cooperativa y dolarización. Aunque existe amplia evidencia sobre determinantes de rentabilidad bancaria en Europa, Estados Unidos y economías emergentes, se conoce menos sobre cómo estos mecanismos operan en cooperativas financieras de una economía dolarizada. La mayoría de </w:t>
      </w:r>
      <w:proofErr w:type="gramStart"/>
      <w:r w:rsidRPr="00D04FFC">
        <w:rPr>
          <w:rFonts w:ascii="Times New Roman" w:hAnsi="Times New Roman" w:cs="Times New Roman"/>
          <w:sz w:val="24"/>
          <w:szCs w:val="24"/>
          <w:lang w:val="es-EC"/>
        </w:rPr>
        <w:t>estudios</w:t>
      </w:r>
      <w:proofErr w:type="gramEnd"/>
      <w:r w:rsidRPr="00D04FFC">
        <w:rPr>
          <w:rFonts w:ascii="Times New Roman" w:hAnsi="Times New Roman" w:cs="Times New Roman"/>
          <w:sz w:val="24"/>
          <w:szCs w:val="24"/>
          <w:lang w:val="es-EC"/>
        </w:rPr>
        <w:t xml:space="preserve"> se concentra en bancos comerciales, dejando en segundo plano a instituciones cooperativas que cumplen un rol clave en inclusión financiera y crédito territorial.</w:t>
      </w:r>
    </w:p>
    <w:p w14:paraId="3B363555" w14:textId="1910305C" w:rsidR="000E31FD" w:rsidRPr="00E01724" w:rsidRDefault="00D04FFC" w:rsidP="00D04FFC">
      <w:pPr>
        <w:jc w:val="both"/>
        <w:rPr>
          <w:rFonts w:ascii="Times New Roman" w:hAnsi="Times New Roman" w:cs="Times New Roman"/>
          <w:sz w:val="24"/>
          <w:szCs w:val="24"/>
          <w:lang w:val="es-EC"/>
        </w:rPr>
      </w:pPr>
      <w:r w:rsidRPr="00D04FFC">
        <w:rPr>
          <w:rFonts w:ascii="Times New Roman" w:hAnsi="Times New Roman" w:cs="Times New Roman"/>
          <w:sz w:val="24"/>
          <w:szCs w:val="24"/>
          <w:lang w:val="es-EC"/>
        </w:rPr>
        <w:t xml:space="preserve">Este estudio contribuye a llenar esa brecha al analizar cómo </w:t>
      </w:r>
      <w:r>
        <w:rPr>
          <w:rFonts w:ascii="Times New Roman" w:hAnsi="Times New Roman" w:cs="Times New Roman"/>
          <w:sz w:val="24"/>
          <w:szCs w:val="24"/>
          <w:lang w:val="es-EC"/>
        </w:rPr>
        <w:t xml:space="preserve">la </w:t>
      </w:r>
      <w:r w:rsidRPr="00D04FFC">
        <w:rPr>
          <w:rFonts w:ascii="Times New Roman" w:hAnsi="Times New Roman" w:cs="Times New Roman"/>
          <w:sz w:val="24"/>
          <w:szCs w:val="24"/>
          <w:lang w:val="es-EC"/>
        </w:rPr>
        <w:t xml:space="preserve">capitalización, </w:t>
      </w:r>
      <w:r>
        <w:rPr>
          <w:rFonts w:ascii="Times New Roman" w:hAnsi="Times New Roman" w:cs="Times New Roman"/>
          <w:sz w:val="24"/>
          <w:szCs w:val="24"/>
          <w:lang w:val="es-EC"/>
        </w:rPr>
        <w:t xml:space="preserve">el </w:t>
      </w:r>
      <w:r w:rsidRPr="00D04FFC">
        <w:rPr>
          <w:rFonts w:ascii="Times New Roman" w:hAnsi="Times New Roman" w:cs="Times New Roman"/>
          <w:sz w:val="24"/>
          <w:szCs w:val="24"/>
          <w:lang w:val="es-EC"/>
        </w:rPr>
        <w:t xml:space="preserve">riesgo crediticio, </w:t>
      </w:r>
      <w:r>
        <w:rPr>
          <w:rFonts w:ascii="Times New Roman" w:hAnsi="Times New Roman" w:cs="Times New Roman"/>
          <w:sz w:val="24"/>
          <w:szCs w:val="24"/>
          <w:lang w:val="es-EC"/>
        </w:rPr>
        <w:t xml:space="preserve">la </w:t>
      </w:r>
      <w:r w:rsidRPr="00D04FFC">
        <w:rPr>
          <w:rFonts w:ascii="Times New Roman" w:hAnsi="Times New Roman" w:cs="Times New Roman"/>
          <w:sz w:val="24"/>
          <w:szCs w:val="24"/>
          <w:lang w:val="es-EC"/>
        </w:rPr>
        <w:t xml:space="preserve">eficiencia, liquidez y shocks externos explican la rentabilidad de cooperativas ecuatorianas, diferenciando entre ROA y ROE. Al emplear modelos de panel dinámico, la investigación permite capturar persistencia de beneficios y controlar posibles problemas de endogeneidad entre capital, riesgo y desempeño. Así, el </w:t>
      </w:r>
      <w:proofErr w:type="spellStart"/>
      <w:r>
        <w:rPr>
          <w:rFonts w:ascii="Times New Roman" w:hAnsi="Times New Roman" w:cs="Times New Roman"/>
          <w:sz w:val="24"/>
          <w:szCs w:val="24"/>
          <w:lang w:val="es-EC"/>
        </w:rPr>
        <w:t>estuio</w:t>
      </w:r>
      <w:proofErr w:type="spellEnd"/>
      <w:r w:rsidRPr="00D04FFC">
        <w:rPr>
          <w:rFonts w:ascii="Times New Roman" w:hAnsi="Times New Roman" w:cs="Times New Roman"/>
          <w:sz w:val="24"/>
          <w:szCs w:val="24"/>
          <w:lang w:val="es-EC"/>
        </w:rPr>
        <w:t xml:space="preserve"> aporta evidencia sobre la resiliencia de las cooperativas de ahorro y crédito en un sistema financiero sin banco central emisor, ofreciendo implicaciones relevantes para supervisión prudencial y política </w:t>
      </w:r>
      <w:proofErr w:type="spellStart"/>
      <w:r w:rsidRPr="00D04FFC">
        <w:rPr>
          <w:rFonts w:ascii="Times New Roman" w:hAnsi="Times New Roman" w:cs="Times New Roman"/>
          <w:sz w:val="24"/>
          <w:szCs w:val="24"/>
          <w:lang w:val="es-EC"/>
        </w:rPr>
        <w:t>macrofinanciera</w:t>
      </w:r>
      <w:proofErr w:type="spellEnd"/>
      <w:r w:rsidRPr="00D04FFC">
        <w:rPr>
          <w:rFonts w:ascii="Times New Roman" w:hAnsi="Times New Roman" w:cs="Times New Roman"/>
          <w:sz w:val="24"/>
          <w:szCs w:val="24"/>
          <w:lang w:val="es-EC"/>
        </w:rPr>
        <w:t xml:space="preserve"> en economías dolarizadas</w:t>
      </w:r>
      <w:r w:rsidR="00000000" w:rsidRPr="00E01724">
        <w:rPr>
          <w:rFonts w:ascii="Times New Roman" w:hAnsi="Times New Roman" w:cs="Times New Roman"/>
          <w:sz w:val="24"/>
          <w:szCs w:val="24"/>
          <w:lang w:val="es-EC"/>
        </w:rPr>
        <w:t>.</w:t>
      </w:r>
    </w:p>
    <w:p w14:paraId="29A8C450" w14:textId="77777777" w:rsidR="000E31FD" w:rsidRPr="001A7D3E" w:rsidRDefault="00000000">
      <w:pPr>
        <w:pStyle w:val="Ttulo1"/>
        <w:rPr>
          <w:rFonts w:ascii="Times New Roman" w:hAnsi="Times New Roman" w:cs="Times New Roman"/>
          <w:b/>
          <w:bCs w:val="0"/>
          <w:sz w:val="24"/>
          <w:szCs w:val="24"/>
          <w:lang w:val="es-EC"/>
        </w:rPr>
      </w:pPr>
      <w:r w:rsidRPr="001A7D3E">
        <w:rPr>
          <w:rFonts w:ascii="Times New Roman" w:hAnsi="Times New Roman" w:cs="Times New Roman"/>
          <w:b/>
          <w:bCs w:val="0"/>
          <w:sz w:val="24"/>
          <w:szCs w:val="24"/>
          <w:lang w:val="es-EC"/>
        </w:rPr>
        <w:t>Proceso de uso de herramientas</w:t>
      </w:r>
    </w:p>
    <w:p w14:paraId="4A800103" w14:textId="77777777" w:rsidR="000E31FD" w:rsidRPr="00E01724" w:rsidRDefault="00000000">
      <w:pPr>
        <w:rPr>
          <w:rFonts w:ascii="Times New Roman" w:hAnsi="Times New Roman" w:cs="Times New Roman"/>
          <w:sz w:val="24"/>
          <w:szCs w:val="24"/>
          <w:lang w:val="es-EC"/>
        </w:rPr>
      </w:pPr>
      <w:r w:rsidRPr="00E01724">
        <w:rPr>
          <w:rFonts w:ascii="Times New Roman" w:hAnsi="Times New Roman" w:cs="Times New Roman"/>
          <w:sz w:val="24"/>
          <w:szCs w:val="24"/>
          <w:lang w:val="es-EC"/>
        </w:rPr>
        <w:t xml:space="preserve">Para esta revisión cargué los siguientes </w:t>
      </w:r>
      <w:proofErr w:type="spellStart"/>
      <w:r w:rsidRPr="00E01724">
        <w:rPr>
          <w:rFonts w:ascii="Times New Roman" w:hAnsi="Times New Roman" w:cs="Times New Roman"/>
          <w:sz w:val="24"/>
          <w:szCs w:val="24"/>
          <w:lang w:val="es-EC"/>
        </w:rPr>
        <w:t>papers</w:t>
      </w:r>
      <w:proofErr w:type="spellEnd"/>
      <w:r w:rsidRPr="00E01724">
        <w:rPr>
          <w:rFonts w:ascii="Times New Roman" w:hAnsi="Times New Roman" w:cs="Times New Roman"/>
          <w:sz w:val="24"/>
          <w:szCs w:val="24"/>
          <w:lang w:val="es-EC"/>
        </w:rPr>
        <w:t xml:space="preserve"> en </w:t>
      </w:r>
      <w:proofErr w:type="spellStart"/>
      <w:r w:rsidRPr="00E01724">
        <w:rPr>
          <w:rFonts w:ascii="Times New Roman" w:hAnsi="Times New Roman" w:cs="Times New Roman"/>
          <w:sz w:val="24"/>
          <w:szCs w:val="24"/>
          <w:lang w:val="es-EC"/>
        </w:rPr>
        <w:t>NotebookLM</w:t>
      </w:r>
      <w:proofErr w:type="spellEnd"/>
      <w:r w:rsidRPr="00E01724">
        <w:rPr>
          <w:rFonts w:ascii="Times New Roman" w:hAnsi="Times New Roman" w:cs="Times New Roman"/>
          <w:sz w:val="24"/>
          <w:szCs w:val="24"/>
          <w:lang w:val="es-EC"/>
        </w:rPr>
        <w:t>:</w:t>
      </w:r>
    </w:p>
    <w:p w14:paraId="093522A7" w14:textId="77777777" w:rsidR="001A7D3E" w:rsidRPr="001A7D3E" w:rsidRDefault="00000000">
      <w:pPr>
        <w:pStyle w:val="Listaconvietas"/>
        <w:spacing w:after="80"/>
        <w:rPr>
          <w:rFonts w:ascii="Times New Roman" w:hAnsi="Times New Roman" w:cs="Times New Roman"/>
          <w:sz w:val="24"/>
          <w:szCs w:val="24"/>
        </w:rPr>
      </w:pPr>
      <w:r w:rsidRPr="00E01724">
        <w:rPr>
          <w:rFonts w:ascii="Times New Roman" w:hAnsi="Times New Roman" w:cs="Times New Roman"/>
          <w:sz w:val="24"/>
          <w:szCs w:val="24"/>
          <w:lang w:val="es-EC"/>
        </w:rPr>
        <w:lastRenderedPageBreak/>
        <w:t xml:space="preserve">Bourke (1989); </w:t>
      </w:r>
    </w:p>
    <w:p w14:paraId="642921A1" w14:textId="77777777" w:rsidR="001A7D3E" w:rsidRDefault="00000000">
      <w:pPr>
        <w:pStyle w:val="Listaconvietas"/>
        <w:spacing w:after="80"/>
        <w:rPr>
          <w:rFonts w:ascii="Times New Roman" w:hAnsi="Times New Roman" w:cs="Times New Roman"/>
          <w:sz w:val="24"/>
          <w:szCs w:val="24"/>
        </w:rPr>
      </w:pPr>
      <w:r w:rsidRPr="001A7D3E">
        <w:rPr>
          <w:rFonts w:ascii="Times New Roman" w:hAnsi="Times New Roman" w:cs="Times New Roman"/>
          <w:sz w:val="24"/>
          <w:szCs w:val="24"/>
        </w:rPr>
        <w:t xml:space="preserve">Molyneux y Thornton (1992); </w:t>
      </w:r>
    </w:p>
    <w:p w14:paraId="17B34784" w14:textId="77777777" w:rsidR="001A7D3E" w:rsidRDefault="00000000">
      <w:pPr>
        <w:pStyle w:val="Listaconvietas"/>
        <w:spacing w:after="80"/>
        <w:rPr>
          <w:rFonts w:ascii="Times New Roman" w:hAnsi="Times New Roman" w:cs="Times New Roman"/>
          <w:sz w:val="24"/>
          <w:szCs w:val="24"/>
        </w:rPr>
      </w:pPr>
      <w:proofErr w:type="spellStart"/>
      <w:r w:rsidRPr="001A7D3E">
        <w:rPr>
          <w:rFonts w:ascii="Times New Roman" w:hAnsi="Times New Roman" w:cs="Times New Roman"/>
          <w:sz w:val="24"/>
          <w:szCs w:val="24"/>
        </w:rPr>
        <w:t>Demirgüç</w:t>
      </w:r>
      <w:proofErr w:type="spellEnd"/>
      <w:r w:rsidRPr="001A7D3E">
        <w:rPr>
          <w:rFonts w:ascii="Times New Roman" w:hAnsi="Times New Roman" w:cs="Times New Roman"/>
          <w:sz w:val="24"/>
          <w:szCs w:val="24"/>
        </w:rPr>
        <w:t xml:space="preserve">-Kunt y Huizinga (1999); </w:t>
      </w:r>
    </w:p>
    <w:p w14:paraId="3859BBA2" w14:textId="77777777" w:rsidR="001A7D3E" w:rsidRDefault="00000000">
      <w:pPr>
        <w:pStyle w:val="Listaconvietas"/>
        <w:spacing w:after="80"/>
        <w:rPr>
          <w:rFonts w:ascii="Times New Roman" w:hAnsi="Times New Roman" w:cs="Times New Roman"/>
          <w:sz w:val="24"/>
          <w:szCs w:val="24"/>
        </w:rPr>
      </w:pPr>
      <w:r w:rsidRPr="001A7D3E">
        <w:rPr>
          <w:rFonts w:ascii="Times New Roman" w:hAnsi="Times New Roman" w:cs="Times New Roman"/>
          <w:sz w:val="24"/>
          <w:szCs w:val="24"/>
        </w:rPr>
        <w:t xml:space="preserve">Goddard et al. </w:t>
      </w:r>
      <w:r w:rsidRPr="00E01724">
        <w:rPr>
          <w:rFonts w:ascii="Times New Roman" w:hAnsi="Times New Roman" w:cs="Times New Roman"/>
          <w:sz w:val="24"/>
          <w:szCs w:val="24"/>
        </w:rPr>
        <w:t xml:space="preserve">(2004); </w:t>
      </w:r>
    </w:p>
    <w:p w14:paraId="7CD58BBF" w14:textId="77777777" w:rsidR="001A7D3E" w:rsidRDefault="00000000">
      <w:pPr>
        <w:pStyle w:val="Listaconvietas"/>
        <w:spacing w:after="80"/>
        <w:rPr>
          <w:rFonts w:ascii="Times New Roman" w:hAnsi="Times New Roman" w:cs="Times New Roman"/>
          <w:sz w:val="24"/>
          <w:szCs w:val="24"/>
        </w:rPr>
      </w:pPr>
      <w:r w:rsidRPr="00E01724">
        <w:rPr>
          <w:rFonts w:ascii="Times New Roman" w:hAnsi="Times New Roman" w:cs="Times New Roman"/>
          <w:sz w:val="24"/>
          <w:szCs w:val="24"/>
        </w:rPr>
        <w:t xml:space="preserve">Athanasoglou et al. (2008); </w:t>
      </w:r>
    </w:p>
    <w:p w14:paraId="2BB3A2AA" w14:textId="379F5052" w:rsidR="000E31FD" w:rsidRPr="00E01724" w:rsidRDefault="00000000">
      <w:pPr>
        <w:pStyle w:val="Listaconvietas"/>
        <w:spacing w:after="80"/>
        <w:rPr>
          <w:rFonts w:ascii="Times New Roman" w:hAnsi="Times New Roman" w:cs="Times New Roman"/>
          <w:sz w:val="24"/>
          <w:szCs w:val="24"/>
        </w:rPr>
      </w:pPr>
      <w:r w:rsidRPr="00E01724">
        <w:rPr>
          <w:rFonts w:ascii="Times New Roman" w:hAnsi="Times New Roman" w:cs="Times New Roman"/>
          <w:sz w:val="24"/>
          <w:szCs w:val="24"/>
        </w:rPr>
        <w:t xml:space="preserve">Dietrich y </w:t>
      </w:r>
      <w:proofErr w:type="spellStart"/>
      <w:r w:rsidRPr="00E01724">
        <w:rPr>
          <w:rFonts w:ascii="Times New Roman" w:hAnsi="Times New Roman" w:cs="Times New Roman"/>
          <w:sz w:val="24"/>
          <w:szCs w:val="24"/>
        </w:rPr>
        <w:t>Wanzenried</w:t>
      </w:r>
      <w:proofErr w:type="spellEnd"/>
      <w:r w:rsidRPr="00E01724">
        <w:rPr>
          <w:rFonts w:ascii="Times New Roman" w:hAnsi="Times New Roman" w:cs="Times New Roman"/>
          <w:sz w:val="24"/>
          <w:szCs w:val="24"/>
        </w:rPr>
        <w:t xml:space="preserve"> (2011)</w:t>
      </w:r>
      <w:r w:rsidR="001A7D3E">
        <w:rPr>
          <w:rFonts w:ascii="Times New Roman" w:hAnsi="Times New Roman" w:cs="Times New Roman"/>
          <w:sz w:val="24"/>
          <w:szCs w:val="24"/>
        </w:rPr>
        <w:t>;</w:t>
      </w:r>
    </w:p>
    <w:p w14:paraId="0508F0EB" w14:textId="77777777" w:rsidR="001A7D3E" w:rsidRPr="001A7D3E" w:rsidRDefault="00000000">
      <w:pPr>
        <w:pStyle w:val="Listaconvietas"/>
        <w:spacing w:after="80"/>
        <w:rPr>
          <w:rFonts w:ascii="Times New Roman" w:hAnsi="Times New Roman" w:cs="Times New Roman"/>
          <w:sz w:val="24"/>
          <w:szCs w:val="24"/>
        </w:rPr>
      </w:pPr>
      <w:r w:rsidRPr="00E01724">
        <w:rPr>
          <w:rFonts w:ascii="Times New Roman" w:hAnsi="Times New Roman" w:cs="Times New Roman"/>
          <w:sz w:val="24"/>
          <w:szCs w:val="24"/>
          <w:lang w:val="es-EC"/>
        </w:rPr>
        <w:t>Berger y DeYoung (1997);</w:t>
      </w:r>
    </w:p>
    <w:p w14:paraId="280BDFC2" w14:textId="6A93DAEF" w:rsidR="001A7D3E" w:rsidRDefault="00000000">
      <w:pPr>
        <w:pStyle w:val="Listaconvietas"/>
        <w:spacing w:after="80"/>
        <w:rPr>
          <w:rFonts w:ascii="Times New Roman" w:hAnsi="Times New Roman" w:cs="Times New Roman"/>
          <w:sz w:val="24"/>
          <w:szCs w:val="24"/>
          <w:lang w:val="es-EC"/>
        </w:rPr>
      </w:pPr>
      <w:r w:rsidRPr="00E01724">
        <w:rPr>
          <w:rFonts w:ascii="Times New Roman" w:hAnsi="Times New Roman" w:cs="Times New Roman"/>
          <w:sz w:val="24"/>
          <w:szCs w:val="24"/>
          <w:lang w:val="es-EC"/>
        </w:rPr>
        <w:t xml:space="preserve">Berger y Mester (1997); </w:t>
      </w:r>
    </w:p>
    <w:p w14:paraId="3348BE36" w14:textId="77777777" w:rsidR="001A7D3E" w:rsidRDefault="00000000">
      <w:pPr>
        <w:pStyle w:val="Listaconvietas"/>
        <w:spacing w:after="80"/>
        <w:rPr>
          <w:rFonts w:ascii="Times New Roman" w:hAnsi="Times New Roman" w:cs="Times New Roman"/>
          <w:sz w:val="24"/>
          <w:szCs w:val="24"/>
          <w:lang w:val="es-EC"/>
        </w:rPr>
      </w:pPr>
      <w:proofErr w:type="spellStart"/>
      <w:r w:rsidRPr="00E01724">
        <w:rPr>
          <w:rFonts w:ascii="Times New Roman" w:hAnsi="Times New Roman" w:cs="Times New Roman"/>
          <w:sz w:val="24"/>
          <w:szCs w:val="24"/>
          <w:lang w:val="es-EC"/>
        </w:rPr>
        <w:t>Pasiouras</w:t>
      </w:r>
      <w:proofErr w:type="spellEnd"/>
      <w:r w:rsidRPr="00E01724">
        <w:rPr>
          <w:rFonts w:ascii="Times New Roman" w:hAnsi="Times New Roman" w:cs="Times New Roman"/>
          <w:sz w:val="24"/>
          <w:szCs w:val="24"/>
          <w:lang w:val="es-EC"/>
        </w:rPr>
        <w:t xml:space="preserve"> y Kosmidou (2007); </w:t>
      </w:r>
    </w:p>
    <w:p w14:paraId="481F7276" w14:textId="77777777" w:rsidR="001A7D3E" w:rsidRDefault="00000000">
      <w:pPr>
        <w:pStyle w:val="Listaconvietas"/>
        <w:spacing w:after="80"/>
        <w:rPr>
          <w:rFonts w:ascii="Times New Roman" w:hAnsi="Times New Roman" w:cs="Times New Roman"/>
          <w:sz w:val="24"/>
          <w:szCs w:val="24"/>
          <w:lang w:val="es-EC"/>
        </w:rPr>
      </w:pPr>
      <w:r w:rsidRPr="00E01724">
        <w:rPr>
          <w:rFonts w:ascii="Times New Roman" w:hAnsi="Times New Roman" w:cs="Times New Roman"/>
          <w:sz w:val="24"/>
          <w:szCs w:val="24"/>
          <w:lang w:val="es-EC"/>
        </w:rPr>
        <w:t xml:space="preserve">Tan y Floros (2012); </w:t>
      </w:r>
    </w:p>
    <w:p w14:paraId="61C00D24" w14:textId="77777777" w:rsidR="001A7D3E" w:rsidRDefault="00000000">
      <w:pPr>
        <w:pStyle w:val="Listaconvietas"/>
        <w:spacing w:after="80"/>
        <w:rPr>
          <w:rFonts w:ascii="Times New Roman" w:hAnsi="Times New Roman" w:cs="Times New Roman"/>
          <w:sz w:val="24"/>
          <w:szCs w:val="24"/>
          <w:lang w:val="es-EC"/>
        </w:rPr>
      </w:pPr>
      <w:proofErr w:type="spellStart"/>
      <w:r w:rsidRPr="00E01724">
        <w:rPr>
          <w:rFonts w:ascii="Times New Roman" w:hAnsi="Times New Roman" w:cs="Times New Roman"/>
          <w:sz w:val="24"/>
          <w:szCs w:val="24"/>
          <w:lang w:val="es-EC"/>
        </w:rPr>
        <w:t>Louzis</w:t>
      </w:r>
      <w:proofErr w:type="spellEnd"/>
      <w:r w:rsidRPr="00E01724">
        <w:rPr>
          <w:rFonts w:ascii="Times New Roman" w:hAnsi="Times New Roman" w:cs="Times New Roman"/>
          <w:sz w:val="24"/>
          <w:szCs w:val="24"/>
          <w:lang w:val="es-EC"/>
        </w:rPr>
        <w:t xml:space="preserve"> et al. </w:t>
      </w:r>
      <w:r w:rsidRPr="001A7D3E">
        <w:rPr>
          <w:rFonts w:ascii="Times New Roman" w:hAnsi="Times New Roman" w:cs="Times New Roman"/>
          <w:sz w:val="24"/>
          <w:szCs w:val="24"/>
          <w:lang w:val="es-EC"/>
        </w:rPr>
        <w:t xml:space="preserve">(2012); </w:t>
      </w:r>
    </w:p>
    <w:p w14:paraId="25740DAE" w14:textId="6678553A" w:rsidR="000E31FD" w:rsidRPr="001A7D3E" w:rsidRDefault="00000000">
      <w:pPr>
        <w:pStyle w:val="Listaconvietas"/>
        <w:spacing w:after="80"/>
        <w:rPr>
          <w:rFonts w:ascii="Times New Roman" w:hAnsi="Times New Roman" w:cs="Times New Roman"/>
          <w:sz w:val="24"/>
          <w:szCs w:val="24"/>
          <w:lang w:val="es-EC"/>
        </w:rPr>
      </w:pPr>
      <w:r w:rsidRPr="001A7D3E">
        <w:rPr>
          <w:rFonts w:ascii="Times New Roman" w:hAnsi="Times New Roman" w:cs="Times New Roman"/>
          <w:sz w:val="24"/>
          <w:szCs w:val="24"/>
          <w:lang w:val="es-EC"/>
        </w:rPr>
        <w:t>Klein (2013)</w:t>
      </w:r>
      <w:r w:rsidR="001A7D3E">
        <w:rPr>
          <w:rFonts w:ascii="Times New Roman" w:hAnsi="Times New Roman" w:cs="Times New Roman"/>
          <w:sz w:val="24"/>
          <w:szCs w:val="24"/>
          <w:lang w:val="es-EC"/>
        </w:rPr>
        <w:t>;</w:t>
      </w:r>
    </w:p>
    <w:p w14:paraId="5B501497" w14:textId="77777777" w:rsidR="001A7D3E" w:rsidRPr="001A7D3E" w:rsidRDefault="00000000">
      <w:pPr>
        <w:pStyle w:val="Listaconvietas"/>
        <w:spacing w:after="80"/>
        <w:rPr>
          <w:rFonts w:ascii="Times New Roman" w:hAnsi="Times New Roman" w:cs="Times New Roman"/>
          <w:sz w:val="24"/>
          <w:szCs w:val="24"/>
        </w:rPr>
      </w:pPr>
      <w:r w:rsidRPr="00E01724">
        <w:rPr>
          <w:rFonts w:ascii="Times New Roman" w:hAnsi="Times New Roman" w:cs="Times New Roman"/>
          <w:sz w:val="24"/>
          <w:szCs w:val="24"/>
          <w:lang w:val="es-EC"/>
        </w:rPr>
        <w:t xml:space="preserve">Cuevas y Fischer (2006); </w:t>
      </w:r>
    </w:p>
    <w:p w14:paraId="7A1AA9B1" w14:textId="77777777" w:rsidR="001A7D3E" w:rsidRDefault="00000000">
      <w:pPr>
        <w:pStyle w:val="Listaconvietas"/>
        <w:spacing w:after="80"/>
        <w:rPr>
          <w:rFonts w:ascii="Times New Roman" w:hAnsi="Times New Roman" w:cs="Times New Roman"/>
          <w:sz w:val="24"/>
          <w:szCs w:val="24"/>
        </w:rPr>
      </w:pPr>
      <w:r w:rsidRPr="001A7D3E">
        <w:rPr>
          <w:rFonts w:ascii="Times New Roman" w:hAnsi="Times New Roman" w:cs="Times New Roman"/>
          <w:sz w:val="24"/>
          <w:szCs w:val="24"/>
        </w:rPr>
        <w:t xml:space="preserve">McKillop y Wilson (2011); </w:t>
      </w:r>
    </w:p>
    <w:p w14:paraId="7A448EEB" w14:textId="77777777" w:rsidR="001A7D3E" w:rsidRDefault="00000000">
      <w:pPr>
        <w:pStyle w:val="Listaconvietas"/>
        <w:spacing w:after="80"/>
        <w:rPr>
          <w:rFonts w:ascii="Times New Roman" w:hAnsi="Times New Roman" w:cs="Times New Roman"/>
          <w:sz w:val="24"/>
          <w:szCs w:val="24"/>
        </w:rPr>
      </w:pPr>
      <w:r w:rsidRPr="001A7D3E">
        <w:rPr>
          <w:rFonts w:ascii="Times New Roman" w:hAnsi="Times New Roman" w:cs="Times New Roman"/>
          <w:sz w:val="24"/>
          <w:szCs w:val="24"/>
        </w:rPr>
        <w:t xml:space="preserve">McKillop et al. </w:t>
      </w:r>
      <w:r w:rsidRPr="00E01724">
        <w:rPr>
          <w:rFonts w:ascii="Times New Roman" w:hAnsi="Times New Roman" w:cs="Times New Roman"/>
          <w:sz w:val="24"/>
          <w:szCs w:val="24"/>
        </w:rPr>
        <w:t xml:space="preserve">(2020); </w:t>
      </w:r>
    </w:p>
    <w:p w14:paraId="31F0585C" w14:textId="77777777" w:rsidR="001A7D3E" w:rsidRDefault="00000000">
      <w:pPr>
        <w:pStyle w:val="Listaconvietas"/>
        <w:spacing w:after="80"/>
        <w:rPr>
          <w:rFonts w:ascii="Times New Roman" w:hAnsi="Times New Roman" w:cs="Times New Roman"/>
          <w:sz w:val="24"/>
          <w:szCs w:val="24"/>
        </w:rPr>
      </w:pPr>
      <w:r w:rsidRPr="00E01724">
        <w:rPr>
          <w:rFonts w:ascii="Times New Roman" w:hAnsi="Times New Roman" w:cs="Times New Roman"/>
          <w:sz w:val="24"/>
          <w:szCs w:val="24"/>
        </w:rPr>
        <w:t xml:space="preserve">Goodell (2020); </w:t>
      </w:r>
    </w:p>
    <w:p w14:paraId="32C377A1" w14:textId="77777777" w:rsidR="001A7D3E" w:rsidRDefault="00000000">
      <w:pPr>
        <w:pStyle w:val="Listaconvietas"/>
        <w:spacing w:after="80"/>
        <w:rPr>
          <w:rFonts w:ascii="Times New Roman" w:hAnsi="Times New Roman" w:cs="Times New Roman"/>
          <w:sz w:val="24"/>
          <w:szCs w:val="24"/>
        </w:rPr>
      </w:pPr>
      <w:proofErr w:type="spellStart"/>
      <w:r w:rsidRPr="00E01724">
        <w:rPr>
          <w:rFonts w:ascii="Times New Roman" w:hAnsi="Times New Roman" w:cs="Times New Roman"/>
          <w:sz w:val="24"/>
          <w:szCs w:val="24"/>
        </w:rPr>
        <w:t>Elnahass</w:t>
      </w:r>
      <w:proofErr w:type="spellEnd"/>
      <w:r w:rsidRPr="00E01724">
        <w:rPr>
          <w:rFonts w:ascii="Times New Roman" w:hAnsi="Times New Roman" w:cs="Times New Roman"/>
          <w:sz w:val="24"/>
          <w:szCs w:val="24"/>
        </w:rPr>
        <w:t xml:space="preserve"> et al. (2021); </w:t>
      </w:r>
    </w:p>
    <w:p w14:paraId="684265D3" w14:textId="77777777" w:rsidR="001A7D3E" w:rsidRDefault="00000000">
      <w:pPr>
        <w:pStyle w:val="Listaconvietas"/>
        <w:spacing w:after="80"/>
        <w:rPr>
          <w:rFonts w:ascii="Times New Roman" w:hAnsi="Times New Roman" w:cs="Times New Roman"/>
          <w:sz w:val="24"/>
          <w:szCs w:val="24"/>
          <w:lang w:val="es-EC"/>
        </w:rPr>
      </w:pPr>
      <w:r w:rsidRPr="001A7D3E">
        <w:rPr>
          <w:rFonts w:ascii="Times New Roman" w:hAnsi="Times New Roman" w:cs="Times New Roman"/>
          <w:sz w:val="24"/>
          <w:szCs w:val="24"/>
          <w:lang w:val="es-EC"/>
        </w:rPr>
        <w:t xml:space="preserve">Beckerman y Solimano (2002); </w:t>
      </w:r>
    </w:p>
    <w:p w14:paraId="703D8F58" w14:textId="0FD13747" w:rsidR="000E31FD" w:rsidRPr="001A7D3E" w:rsidRDefault="00000000">
      <w:pPr>
        <w:pStyle w:val="Listaconvietas"/>
        <w:spacing w:after="80"/>
        <w:rPr>
          <w:rFonts w:ascii="Times New Roman" w:hAnsi="Times New Roman" w:cs="Times New Roman"/>
          <w:sz w:val="24"/>
          <w:szCs w:val="24"/>
          <w:lang w:val="es-EC"/>
        </w:rPr>
      </w:pPr>
      <w:r w:rsidRPr="001A7D3E">
        <w:rPr>
          <w:rFonts w:ascii="Times New Roman" w:hAnsi="Times New Roman" w:cs="Times New Roman"/>
          <w:sz w:val="24"/>
          <w:szCs w:val="24"/>
          <w:lang w:val="es-EC"/>
        </w:rPr>
        <w:t xml:space="preserve">Jácome y </w:t>
      </w:r>
      <w:proofErr w:type="spellStart"/>
      <w:r w:rsidRPr="001A7D3E">
        <w:rPr>
          <w:rFonts w:ascii="Times New Roman" w:hAnsi="Times New Roman" w:cs="Times New Roman"/>
          <w:sz w:val="24"/>
          <w:szCs w:val="24"/>
          <w:lang w:val="es-EC"/>
        </w:rPr>
        <w:t>Lönnberg</w:t>
      </w:r>
      <w:proofErr w:type="spellEnd"/>
      <w:r w:rsidRPr="001A7D3E">
        <w:rPr>
          <w:rFonts w:ascii="Times New Roman" w:hAnsi="Times New Roman" w:cs="Times New Roman"/>
          <w:sz w:val="24"/>
          <w:szCs w:val="24"/>
          <w:lang w:val="es-EC"/>
        </w:rPr>
        <w:t xml:space="preserve"> (2010).</w:t>
      </w:r>
    </w:p>
    <w:p w14:paraId="04B11996" w14:textId="77777777" w:rsidR="000E31FD" w:rsidRPr="00E01724" w:rsidRDefault="00000000">
      <w:pPr>
        <w:rPr>
          <w:rFonts w:ascii="Times New Roman" w:hAnsi="Times New Roman" w:cs="Times New Roman"/>
          <w:sz w:val="24"/>
          <w:szCs w:val="24"/>
          <w:lang w:val="es-EC"/>
        </w:rPr>
      </w:pPr>
      <w:r w:rsidRPr="00E01724">
        <w:rPr>
          <w:rFonts w:ascii="Times New Roman" w:hAnsi="Times New Roman" w:cs="Times New Roman"/>
          <w:sz w:val="24"/>
          <w:szCs w:val="24"/>
          <w:lang w:val="es-EC"/>
        </w:rPr>
        <w:t xml:space="preserve">Las principales preguntas que le hice a </w:t>
      </w:r>
      <w:proofErr w:type="spellStart"/>
      <w:r w:rsidRPr="00E01724">
        <w:rPr>
          <w:rFonts w:ascii="Times New Roman" w:hAnsi="Times New Roman" w:cs="Times New Roman"/>
          <w:sz w:val="24"/>
          <w:szCs w:val="24"/>
          <w:lang w:val="es-EC"/>
        </w:rPr>
        <w:t>NotebookLM</w:t>
      </w:r>
      <w:proofErr w:type="spellEnd"/>
      <w:r w:rsidRPr="00E01724">
        <w:rPr>
          <w:rFonts w:ascii="Times New Roman" w:hAnsi="Times New Roman" w:cs="Times New Roman"/>
          <w:sz w:val="24"/>
          <w:szCs w:val="24"/>
          <w:lang w:val="es-EC"/>
        </w:rPr>
        <w:t xml:space="preserve"> fueron:</w:t>
      </w:r>
    </w:p>
    <w:p w14:paraId="192F314A" w14:textId="77777777" w:rsidR="000E31FD" w:rsidRPr="00E01724" w:rsidRDefault="00000000">
      <w:pPr>
        <w:pStyle w:val="Listaconnmeros"/>
        <w:spacing w:after="80"/>
        <w:rPr>
          <w:rFonts w:ascii="Times New Roman" w:hAnsi="Times New Roman" w:cs="Times New Roman"/>
          <w:sz w:val="24"/>
          <w:szCs w:val="24"/>
          <w:lang w:val="es-EC"/>
        </w:rPr>
      </w:pPr>
      <w:r w:rsidRPr="00E01724">
        <w:rPr>
          <w:rFonts w:ascii="Times New Roman" w:hAnsi="Times New Roman" w:cs="Times New Roman"/>
          <w:sz w:val="24"/>
          <w:szCs w:val="24"/>
          <w:lang w:val="es-EC"/>
        </w:rPr>
        <w:t>¿Cuáles son los determinantes más recurrentes de la rentabilidad en instituciones financieras y cómo se relacionan con ROA y ROE?</w:t>
      </w:r>
    </w:p>
    <w:p w14:paraId="42829449" w14:textId="77777777" w:rsidR="000E31FD" w:rsidRPr="00E01724" w:rsidRDefault="00000000">
      <w:pPr>
        <w:pStyle w:val="Listaconnmeros"/>
        <w:spacing w:after="80"/>
        <w:rPr>
          <w:rFonts w:ascii="Times New Roman" w:hAnsi="Times New Roman" w:cs="Times New Roman"/>
          <w:sz w:val="24"/>
          <w:szCs w:val="24"/>
          <w:lang w:val="es-EC"/>
        </w:rPr>
      </w:pPr>
      <w:r w:rsidRPr="00E01724">
        <w:rPr>
          <w:rFonts w:ascii="Times New Roman" w:hAnsi="Times New Roman" w:cs="Times New Roman"/>
          <w:sz w:val="24"/>
          <w:szCs w:val="24"/>
          <w:lang w:val="es-EC"/>
        </w:rPr>
        <w:t xml:space="preserve">¿Qué diferencias identifica la literatura entre bancos comerciales y cooperativas financieras o </w:t>
      </w:r>
      <w:proofErr w:type="spellStart"/>
      <w:r w:rsidRPr="00E01724">
        <w:rPr>
          <w:rFonts w:ascii="Times New Roman" w:hAnsi="Times New Roman" w:cs="Times New Roman"/>
          <w:sz w:val="24"/>
          <w:szCs w:val="24"/>
          <w:lang w:val="es-EC"/>
        </w:rPr>
        <w:t>credit</w:t>
      </w:r>
      <w:proofErr w:type="spellEnd"/>
      <w:r w:rsidRPr="00E01724">
        <w:rPr>
          <w:rFonts w:ascii="Times New Roman" w:hAnsi="Times New Roman" w:cs="Times New Roman"/>
          <w:sz w:val="24"/>
          <w:szCs w:val="24"/>
          <w:lang w:val="es-EC"/>
        </w:rPr>
        <w:t xml:space="preserve"> </w:t>
      </w:r>
      <w:proofErr w:type="spellStart"/>
      <w:r w:rsidRPr="00E01724">
        <w:rPr>
          <w:rFonts w:ascii="Times New Roman" w:hAnsi="Times New Roman" w:cs="Times New Roman"/>
          <w:sz w:val="24"/>
          <w:szCs w:val="24"/>
          <w:lang w:val="es-EC"/>
        </w:rPr>
        <w:t>unions</w:t>
      </w:r>
      <w:proofErr w:type="spellEnd"/>
      <w:r w:rsidRPr="00E01724">
        <w:rPr>
          <w:rFonts w:ascii="Times New Roman" w:hAnsi="Times New Roman" w:cs="Times New Roman"/>
          <w:sz w:val="24"/>
          <w:szCs w:val="24"/>
          <w:lang w:val="es-EC"/>
        </w:rPr>
        <w:t>?</w:t>
      </w:r>
    </w:p>
    <w:p w14:paraId="267F9B66" w14:textId="77777777" w:rsidR="000E31FD" w:rsidRPr="00E01724" w:rsidRDefault="00000000">
      <w:pPr>
        <w:pStyle w:val="Listaconnmeros"/>
        <w:spacing w:after="80"/>
        <w:rPr>
          <w:rFonts w:ascii="Times New Roman" w:hAnsi="Times New Roman" w:cs="Times New Roman"/>
          <w:sz w:val="24"/>
          <w:szCs w:val="24"/>
          <w:lang w:val="es-EC"/>
        </w:rPr>
      </w:pPr>
      <w:r w:rsidRPr="00E01724">
        <w:rPr>
          <w:rFonts w:ascii="Times New Roman" w:hAnsi="Times New Roman" w:cs="Times New Roman"/>
          <w:sz w:val="24"/>
          <w:szCs w:val="24"/>
          <w:lang w:val="es-EC"/>
        </w:rPr>
        <w:t>¿Cómo se puede justificar el análisis de liquidez, capitalización y riesgo crediticio en una economía dolarizada como Ecuador?</w:t>
      </w:r>
    </w:p>
    <w:p w14:paraId="08795A98" w14:textId="77777777" w:rsidR="000E31FD" w:rsidRPr="00E01724" w:rsidRDefault="00000000">
      <w:pPr>
        <w:rPr>
          <w:rFonts w:ascii="Times New Roman" w:hAnsi="Times New Roman" w:cs="Times New Roman"/>
          <w:sz w:val="24"/>
          <w:szCs w:val="24"/>
          <w:lang w:val="es-EC"/>
        </w:rPr>
      </w:pPr>
      <w:r w:rsidRPr="00E01724">
        <w:rPr>
          <w:rFonts w:ascii="Times New Roman" w:hAnsi="Times New Roman" w:cs="Times New Roman"/>
          <w:sz w:val="24"/>
          <w:szCs w:val="24"/>
          <w:lang w:val="es-EC"/>
        </w:rPr>
        <w:t xml:space="preserve">Los </w:t>
      </w:r>
      <w:proofErr w:type="spellStart"/>
      <w:r w:rsidRPr="00E01724">
        <w:rPr>
          <w:rFonts w:ascii="Times New Roman" w:hAnsi="Times New Roman" w:cs="Times New Roman"/>
          <w:sz w:val="24"/>
          <w:szCs w:val="24"/>
          <w:lang w:val="es-EC"/>
        </w:rPr>
        <w:t>prompts</w:t>
      </w:r>
      <w:proofErr w:type="spellEnd"/>
      <w:r w:rsidRPr="00E01724">
        <w:rPr>
          <w:rFonts w:ascii="Times New Roman" w:hAnsi="Times New Roman" w:cs="Times New Roman"/>
          <w:sz w:val="24"/>
          <w:szCs w:val="24"/>
          <w:lang w:val="es-EC"/>
        </w:rPr>
        <w:t xml:space="preserve"> principales que usé para escribir el texto fueron:</w:t>
      </w:r>
    </w:p>
    <w:p w14:paraId="32953816" w14:textId="77777777" w:rsidR="000E31FD" w:rsidRDefault="00000000">
      <w:pPr>
        <w:pStyle w:val="Listaconvietas"/>
        <w:spacing w:after="80"/>
        <w:rPr>
          <w:rFonts w:ascii="Times New Roman" w:hAnsi="Times New Roman" w:cs="Times New Roman"/>
          <w:sz w:val="24"/>
          <w:szCs w:val="24"/>
          <w:lang w:val="es-EC"/>
        </w:rPr>
      </w:pPr>
      <w:r w:rsidRPr="00E01724">
        <w:rPr>
          <w:rFonts w:ascii="Times New Roman" w:hAnsi="Times New Roman" w:cs="Times New Roman"/>
          <w:sz w:val="24"/>
          <w:szCs w:val="24"/>
          <w:lang w:val="es-EC"/>
        </w:rPr>
        <w:t>Actúa como investigadora académica en finanzas. A partir de estos artículos, sintetiza el estado del arte sobre rentabilidad en instituciones financieras, diferenciando bancos y cooperativas de ahorro y crédito.</w:t>
      </w:r>
    </w:p>
    <w:p w14:paraId="5758C9E6" w14:textId="75BEE261" w:rsidR="000974A3" w:rsidRPr="00E01724" w:rsidRDefault="000974A3" w:rsidP="000974A3">
      <w:pPr>
        <w:pStyle w:val="Listaconvietas"/>
        <w:numPr>
          <w:ilvl w:val="0"/>
          <w:numId w:val="0"/>
        </w:numPr>
        <w:spacing w:after="80"/>
        <w:rPr>
          <w:rFonts w:ascii="Times New Roman" w:hAnsi="Times New Roman" w:cs="Times New Roman"/>
          <w:sz w:val="24"/>
          <w:szCs w:val="24"/>
          <w:lang w:val="es-EC"/>
        </w:rPr>
      </w:pPr>
      <w:r w:rsidRPr="000974A3">
        <w:rPr>
          <w:rFonts w:ascii="Times New Roman" w:hAnsi="Times New Roman" w:cs="Times New Roman"/>
          <w:sz w:val="24"/>
          <w:szCs w:val="24"/>
          <w:lang w:val="es-EC"/>
        </w:rPr>
        <w:lastRenderedPageBreak/>
        <w:drawing>
          <wp:inline distT="0" distB="0" distL="0" distR="0" wp14:anchorId="36FF8E29" wp14:editId="0109DE90">
            <wp:extent cx="5943600" cy="3803650"/>
            <wp:effectExtent l="0" t="0" r="0" b="6350"/>
            <wp:docPr id="115504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4493" name=""/>
                    <pic:cNvPicPr/>
                  </pic:nvPicPr>
                  <pic:blipFill>
                    <a:blip r:embed="rId8"/>
                    <a:stretch>
                      <a:fillRect/>
                    </a:stretch>
                  </pic:blipFill>
                  <pic:spPr>
                    <a:xfrm>
                      <a:off x="0" y="0"/>
                      <a:ext cx="5943600" cy="3803650"/>
                    </a:xfrm>
                    <a:prstGeom prst="rect">
                      <a:avLst/>
                    </a:prstGeom>
                  </pic:spPr>
                </pic:pic>
              </a:graphicData>
            </a:graphic>
          </wp:inline>
        </w:drawing>
      </w:r>
    </w:p>
    <w:p w14:paraId="219566AE" w14:textId="77777777" w:rsidR="000E31FD" w:rsidRDefault="00000000">
      <w:pPr>
        <w:pStyle w:val="Listaconvietas"/>
        <w:spacing w:after="80"/>
        <w:rPr>
          <w:rFonts w:ascii="Times New Roman" w:hAnsi="Times New Roman" w:cs="Times New Roman"/>
          <w:sz w:val="24"/>
          <w:szCs w:val="24"/>
          <w:lang w:val="es-EC"/>
        </w:rPr>
      </w:pPr>
      <w:r w:rsidRPr="00E01724">
        <w:rPr>
          <w:rFonts w:ascii="Times New Roman" w:hAnsi="Times New Roman" w:cs="Times New Roman"/>
          <w:sz w:val="24"/>
          <w:szCs w:val="24"/>
          <w:lang w:val="es-EC"/>
        </w:rPr>
        <w:t>Organiza la literatura en mecanismos: riesgo crediticio, eficiencia, liquidez, capitalización y shocks externos. Para cada mecanismo, explica su relación esperada con ROA y ROE.</w:t>
      </w:r>
    </w:p>
    <w:p w14:paraId="67DAD596" w14:textId="168CE9F8" w:rsidR="000974A3" w:rsidRPr="00E01724" w:rsidRDefault="000974A3" w:rsidP="000974A3">
      <w:pPr>
        <w:pStyle w:val="Listaconvietas"/>
        <w:numPr>
          <w:ilvl w:val="0"/>
          <w:numId w:val="0"/>
        </w:numPr>
        <w:spacing w:after="80"/>
        <w:rPr>
          <w:rFonts w:ascii="Times New Roman" w:hAnsi="Times New Roman" w:cs="Times New Roman"/>
          <w:sz w:val="24"/>
          <w:szCs w:val="24"/>
          <w:lang w:val="es-EC"/>
        </w:rPr>
      </w:pPr>
      <w:r w:rsidRPr="000974A3">
        <w:rPr>
          <w:rFonts w:ascii="Times New Roman" w:hAnsi="Times New Roman" w:cs="Times New Roman"/>
          <w:sz w:val="24"/>
          <w:szCs w:val="24"/>
          <w:lang w:val="es-EC"/>
        </w:rPr>
        <w:drawing>
          <wp:inline distT="0" distB="0" distL="0" distR="0" wp14:anchorId="36F8924E" wp14:editId="64B55A69">
            <wp:extent cx="5943600" cy="3547745"/>
            <wp:effectExtent l="0" t="0" r="0" b="0"/>
            <wp:docPr id="361454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54751" name=""/>
                    <pic:cNvPicPr/>
                  </pic:nvPicPr>
                  <pic:blipFill>
                    <a:blip r:embed="rId9"/>
                    <a:stretch>
                      <a:fillRect/>
                    </a:stretch>
                  </pic:blipFill>
                  <pic:spPr>
                    <a:xfrm>
                      <a:off x="0" y="0"/>
                      <a:ext cx="5943600" cy="3547745"/>
                    </a:xfrm>
                    <a:prstGeom prst="rect">
                      <a:avLst/>
                    </a:prstGeom>
                  </pic:spPr>
                </pic:pic>
              </a:graphicData>
            </a:graphic>
          </wp:inline>
        </w:drawing>
      </w:r>
    </w:p>
    <w:p w14:paraId="7B90EE02" w14:textId="77777777" w:rsidR="000E31FD" w:rsidRDefault="00000000">
      <w:pPr>
        <w:pStyle w:val="Listaconvietas"/>
        <w:spacing w:after="80"/>
        <w:rPr>
          <w:rFonts w:ascii="Times New Roman" w:hAnsi="Times New Roman" w:cs="Times New Roman"/>
          <w:sz w:val="24"/>
          <w:szCs w:val="24"/>
        </w:rPr>
      </w:pPr>
      <w:r w:rsidRPr="00E01724">
        <w:rPr>
          <w:rFonts w:ascii="Times New Roman" w:hAnsi="Times New Roman" w:cs="Times New Roman"/>
          <w:sz w:val="24"/>
          <w:szCs w:val="24"/>
          <w:lang w:val="es-EC"/>
        </w:rPr>
        <w:lastRenderedPageBreak/>
        <w:t xml:space="preserve">Redacta una revisión de literatura de 500-800 palabras en español académico para un </w:t>
      </w:r>
      <w:proofErr w:type="spellStart"/>
      <w:proofErr w:type="gramStart"/>
      <w:r w:rsidRPr="00E01724">
        <w:rPr>
          <w:rFonts w:ascii="Times New Roman" w:hAnsi="Times New Roman" w:cs="Times New Roman"/>
          <w:sz w:val="24"/>
          <w:szCs w:val="24"/>
          <w:lang w:val="es-EC"/>
        </w:rPr>
        <w:t>paper</w:t>
      </w:r>
      <w:proofErr w:type="spellEnd"/>
      <w:proofErr w:type="gramEnd"/>
      <w:r w:rsidRPr="00E01724">
        <w:rPr>
          <w:rFonts w:ascii="Times New Roman" w:hAnsi="Times New Roman" w:cs="Times New Roman"/>
          <w:sz w:val="24"/>
          <w:szCs w:val="24"/>
          <w:lang w:val="es-EC"/>
        </w:rPr>
        <w:t xml:space="preserve"> sobre cooperativas financieras ecuatorianas en una economía emergente dolarizada. </w:t>
      </w:r>
      <w:proofErr w:type="spellStart"/>
      <w:r w:rsidRPr="00E01724">
        <w:rPr>
          <w:rFonts w:ascii="Times New Roman" w:hAnsi="Times New Roman" w:cs="Times New Roman"/>
          <w:sz w:val="24"/>
          <w:szCs w:val="24"/>
        </w:rPr>
        <w:t>Incluye</w:t>
      </w:r>
      <w:proofErr w:type="spellEnd"/>
      <w:r w:rsidRPr="00E01724">
        <w:rPr>
          <w:rFonts w:ascii="Times New Roman" w:hAnsi="Times New Roman" w:cs="Times New Roman"/>
          <w:sz w:val="24"/>
          <w:szCs w:val="24"/>
        </w:rPr>
        <w:t xml:space="preserve"> </w:t>
      </w:r>
      <w:proofErr w:type="spellStart"/>
      <w:r w:rsidRPr="00E01724">
        <w:rPr>
          <w:rFonts w:ascii="Times New Roman" w:hAnsi="Times New Roman" w:cs="Times New Roman"/>
          <w:sz w:val="24"/>
          <w:szCs w:val="24"/>
        </w:rPr>
        <w:t>contexto</w:t>
      </w:r>
      <w:proofErr w:type="spellEnd"/>
      <w:r w:rsidRPr="00E01724">
        <w:rPr>
          <w:rFonts w:ascii="Times New Roman" w:hAnsi="Times New Roman" w:cs="Times New Roman"/>
          <w:sz w:val="24"/>
          <w:szCs w:val="24"/>
        </w:rPr>
        <w:t xml:space="preserve">, </w:t>
      </w:r>
      <w:proofErr w:type="spellStart"/>
      <w:r w:rsidRPr="00E01724">
        <w:rPr>
          <w:rFonts w:ascii="Times New Roman" w:hAnsi="Times New Roman" w:cs="Times New Roman"/>
          <w:sz w:val="24"/>
          <w:szCs w:val="24"/>
        </w:rPr>
        <w:t>estado</w:t>
      </w:r>
      <w:proofErr w:type="spellEnd"/>
      <w:r w:rsidRPr="00E01724">
        <w:rPr>
          <w:rFonts w:ascii="Times New Roman" w:hAnsi="Times New Roman" w:cs="Times New Roman"/>
          <w:sz w:val="24"/>
          <w:szCs w:val="24"/>
        </w:rPr>
        <w:t xml:space="preserve"> del </w:t>
      </w:r>
      <w:proofErr w:type="spellStart"/>
      <w:r w:rsidRPr="00E01724">
        <w:rPr>
          <w:rFonts w:ascii="Times New Roman" w:hAnsi="Times New Roman" w:cs="Times New Roman"/>
          <w:sz w:val="24"/>
          <w:szCs w:val="24"/>
        </w:rPr>
        <w:t>arte</w:t>
      </w:r>
      <w:proofErr w:type="spellEnd"/>
      <w:r w:rsidRPr="00E01724">
        <w:rPr>
          <w:rFonts w:ascii="Times New Roman" w:hAnsi="Times New Roman" w:cs="Times New Roman"/>
          <w:sz w:val="24"/>
          <w:szCs w:val="24"/>
        </w:rPr>
        <w:t xml:space="preserve">, </w:t>
      </w:r>
      <w:proofErr w:type="spellStart"/>
      <w:r w:rsidRPr="00E01724">
        <w:rPr>
          <w:rFonts w:ascii="Times New Roman" w:hAnsi="Times New Roman" w:cs="Times New Roman"/>
          <w:sz w:val="24"/>
          <w:szCs w:val="24"/>
        </w:rPr>
        <w:t>brecha</w:t>
      </w:r>
      <w:proofErr w:type="spellEnd"/>
      <w:r w:rsidRPr="00E01724">
        <w:rPr>
          <w:rFonts w:ascii="Times New Roman" w:hAnsi="Times New Roman" w:cs="Times New Roman"/>
          <w:sz w:val="24"/>
          <w:szCs w:val="24"/>
        </w:rPr>
        <w:t xml:space="preserve"> y </w:t>
      </w:r>
      <w:proofErr w:type="spellStart"/>
      <w:r w:rsidRPr="00E01724">
        <w:rPr>
          <w:rFonts w:ascii="Times New Roman" w:hAnsi="Times New Roman" w:cs="Times New Roman"/>
          <w:sz w:val="24"/>
          <w:szCs w:val="24"/>
        </w:rPr>
        <w:t>contribución</w:t>
      </w:r>
      <w:proofErr w:type="spellEnd"/>
      <w:r w:rsidRPr="00E01724">
        <w:rPr>
          <w:rFonts w:ascii="Times New Roman" w:hAnsi="Times New Roman" w:cs="Times New Roman"/>
          <w:sz w:val="24"/>
          <w:szCs w:val="24"/>
        </w:rPr>
        <w:t>.</w:t>
      </w:r>
    </w:p>
    <w:p w14:paraId="6F67B356" w14:textId="77777777" w:rsidR="00D04FFC" w:rsidRDefault="00D04FFC" w:rsidP="00D04FFC">
      <w:pPr>
        <w:pStyle w:val="Listaconvietas"/>
        <w:numPr>
          <w:ilvl w:val="0"/>
          <w:numId w:val="0"/>
        </w:numPr>
        <w:spacing w:after="80"/>
        <w:rPr>
          <w:rFonts w:ascii="Times New Roman" w:hAnsi="Times New Roman" w:cs="Times New Roman"/>
          <w:sz w:val="24"/>
          <w:szCs w:val="24"/>
        </w:rPr>
      </w:pPr>
    </w:p>
    <w:p w14:paraId="5B887A19" w14:textId="1193DD20" w:rsidR="00D04FFC" w:rsidRPr="00E01724" w:rsidRDefault="00D04FFC" w:rsidP="00D04FFC">
      <w:pPr>
        <w:pStyle w:val="Listaconvietas"/>
        <w:numPr>
          <w:ilvl w:val="0"/>
          <w:numId w:val="0"/>
        </w:numPr>
        <w:spacing w:after="80"/>
        <w:rPr>
          <w:rFonts w:ascii="Times New Roman" w:hAnsi="Times New Roman" w:cs="Times New Roman"/>
          <w:sz w:val="24"/>
          <w:szCs w:val="24"/>
        </w:rPr>
      </w:pPr>
      <w:r w:rsidRPr="00D04FFC">
        <w:rPr>
          <w:rFonts w:ascii="Times New Roman" w:hAnsi="Times New Roman" w:cs="Times New Roman"/>
          <w:sz w:val="24"/>
          <w:szCs w:val="24"/>
        </w:rPr>
        <w:drawing>
          <wp:inline distT="0" distB="0" distL="0" distR="0" wp14:anchorId="7096DA02" wp14:editId="0A5713EC">
            <wp:extent cx="5943600" cy="3689350"/>
            <wp:effectExtent l="0" t="0" r="0" b="6350"/>
            <wp:docPr id="1523456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56285" name=""/>
                    <pic:cNvPicPr/>
                  </pic:nvPicPr>
                  <pic:blipFill>
                    <a:blip r:embed="rId10"/>
                    <a:stretch>
                      <a:fillRect/>
                    </a:stretch>
                  </pic:blipFill>
                  <pic:spPr>
                    <a:xfrm>
                      <a:off x="0" y="0"/>
                      <a:ext cx="5943600" cy="3689350"/>
                    </a:xfrm>
                    <a:prstGeom prst="rect">
                      <a:avLst/>
                    </a:prstGeom>
                  </pic:spPr>
                </pic:pic>
              </a:graphicData>
            </a:graphic>
          </wp:inline>
        </w:drawing>
      </w:r>
    </w:p>
    <w:p w14:paraId="0207C9E7" w14:textId="77777777" w:rsidR="000E31FD" w:rsidRPr="00E01724" w:rsidRDefault="00000000">
      <w:pPr>
        <w:pStyle w:val="Ttulo1"/>
        <w:rPr>
          <w:rFonts w:ascii="Times New Roman" w:hAnsi="Times New Roman" w:cs="Times New Roman"/>
          <w:sz w:val="24"/>
          <w:szCs w:val="24"/>
        </w:rPr>
      </w:pPr>
      <w:r w:rsidRPr="00E01724">
        <w:rPr>
          <w:rFonts w:ascii="Times New Roman" w:hAnsi="Times New Roman" w:cs="Times New Roman"/>
          <w:sz w:val="24"/>
          <w:szCs w:val="24"/>
        </w:rPr>
        <w:t>Declaración de uso de IA</w:t>
      </w:r>
    </w:p>
    <w:p w14:paraId="7FD94A1A" w14:textId="132AF8E2" w:rsidR="000E31FD" w:rsidRPr="00E01724" w:rsidRDefault="00000000" w:rsidP="00B9555A">
      <w:pPr>
        <w:jc w:val="both"/>
        <w:rPr>
          <w:lang w:val="es-EC"/>
        </w:rPr>
      </w:pPr>
      <w:r w:rsidRPr="00E01724">
        <w:rPr>
          <w:rFonts w:ascii="Times New Roman" w:hAnsi="Times New Roman" w:cs="Times New Roman"/>
          <w:sz w:val="24"/>
          <w:szCs w:val="24"/>
          <w:lang w:val="es-EC"/>
        </w:rPr>
        <w:t xml:space="preserve">Esta revisión de literatura fue elaborada con asistencia de herramientas de inteligencia artificial. Para efectos de esta actividad, se </w:t>
      </w:r>
      <w:r w:rsidR="00B9555A">
        <w:rPr>
          <w:rFonts w:ascii="Times New Roman" w:hAnsi="Times New Roman" w:cs="Times New Roman"/>
          <w:sz w:val="24"/>
          <w:szCs w:val="24"/>
          <w:lang w:val="es-EC"/>
        </w:rPr>
        <w:t xml:space="preserve">utilizó </w:t>
      </w:r>
      <w:proofErr w:type="spellStart"/>
      <w:r w:rsidRPr="00E01724">
        <w:rPr>
          <w:rFonts w:ascii="Times New Roman" w:hAnsi="Times New Roman" w:cs="Times New Roman"/>
          <w:sz w:val="24"/>
          <w:szCs w:val="24"/>
          <w:lang w:val="es-EC"/>
        </w:rPr>
        <w:t>NotebookLM</w:t>
      </w:r>
      <w:proofErr w:type="spellEnd"/>
      <w:r w:rsidRPr="00E01724">
        <w:rPr>
          <w:rFonts w:ascii="Times New Roman" w:hAnsi="Times New Roman" w:cs="Times New Roman"/>
          <w:sz w:val="24"/>
          <w:szCs w:val="24"/>
          <w:lang w:val="es-EC"/>
        </w:rPr>
        <w:t xml:space="preserve"> para organizar y sintetizar </w:t>
      </w:r>
      <w:proofErr w:type="spellStart"/>
      <w:r w:rsidRPr="00E01724">
        <w:rPr>
          <w:rFonts w:ascii="Times New Roman" w:hAnsi="Times New Roman" w:cs="Times New Roman"/>
          <w:sz w:val="24"/>
          <w:szCs w:val="24"/>
          <w:lang w:val="es-EC"/>
        </w:rPr>
        <w:t>papers</w:t>
      </w:r>
      <w:proofErr w:type="spellEnd"/>
      <w:r w:rsidR="00B9555A">
        <w:rPr>
          <w:rFonts w:ascii="Times New Roman" w:hAnsi="Times New Roman" w:cs="Times New Roman"/>
          <w:sz w:val="24"/>
          <w:szCs w:val="24"/>
          <w:lang w:val="es-EC"/>
        </w:rPr>
        <w:t xml:space="preserve">; </w:t>
      </w:r>
      <w:r w:rsidRPr="00E01724">
        <w:rPr>
          <w:rFonts w:ascii="Times New Roman" w:hAnsi="Times New Roman" w:cs="Times New Roman"/>
          <w:sz w:val="24"/>
          <w:szCs w:val="24"/>
          <w:lang w:val="es-EC"/>
        </w:rPr>
        <w:t xml:space="preserve">estructurar la revisión, mejorar la coherencia argumental y redactar una versión académica inicial. </w:t>
      </w:r>
      <w:r w:rsidR="00D04FFC">
        <w:rPr>
          <w:rFonts w:ascii="Times New Roman" w:hAnsi="Times New Roman" w:cs="Times New Roman"/>
          <w:sz w:val="24"/>
          <w:szCs w:val="24"/>
          <w:lang w:val="es-EC"/>
        </w:rPr>
        <w:t xml:space="preserve">Luego se usó </w:t>
      </w:r>
      <w:proofErr w:type="spellStart"/>
      <w:r w:rsidR="00D04FFC">
        <w:rPr>
          <w:rFonts w:ascii="Times New Roman" w:hAnsi="Times New Roman" w:cs="Times New Roman"/>
          <w:sz w:val="24"/>
          <w:szCs w:val="24"/>
          <w:lang w:val="es-EC"/>
        </w:rPr>
        <w:t>ChatGPT</w:t>
      </w:r>
      <w:proofErr w:type="spellEnd"/>
      <w:r w:rsidR="00D04FFC">
        <w:rPr>
          <w:rFonts w:ascii="Times New Roman" w:hAnsi="Times New Roman" w:cs="Times New Roman"/>
          <w:sz w:val="24"/>
          <w:szCs w:val="24"/>
          <w:lang w:val="es-EC"/>
        </w:rPr>
        <w:t xml:space="preserve"> para pulir la redacción. </w:t>
      </w:r>
      <w:r w:rsidRPr="00E01724">
        <w:rPr>
          <w:rFonts w:ascii="Times New Roman" w:hAnsi="Times New Roman" w:cs="Times New Roman"/>
          <w:sz w:val="24"/>
          <w:szCs w:val="24"/>
          <w:lang w:val="es-EC"/>
        </w:rPr>
        <w:t>La selección de literatura, la pertinencia de las afirmaciones y la responsabilidad del contenido corresponden exclusivamente a la autora.</w:t>
      </w:r>
    </w:p>
    <w:sectPr w:rsidR="000E31FD" w:rsidRPr="00E01724"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9FDE0" w14:textId="77777777" w:rsidR="009B2826" w:rsidRDefault="009B2826" w:rsidP="001E41B7">
      <w:pPr>
        <w:spacing w:after="0" w:line="240" w:lineRule="auto"/>
      </w:pPr>
      <w:r>
        <w:separator/>
      </w:r>
    </w:p>
  </w:endnote>
  <w:endnote w:type="continuationSeparator" w:id="0">
    <w:p w14:paraId="63B20F0D" w14:textId="77777777" w:rsidR="009B2826" w:rsidRDefault="009B2826" w:rsidP="001E4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DDBE4" w14:textId="77777777" w:rsidR="009B2826" w:rsidRDefault="009B2826" w:rsidP="001E41B7">
      <w:pPr>
        <w:spacing w:after="0" w:line="240" w:lineRule="auto"/>
      </w:pPr>
      <w:r>
        <w:separator/>
      </w:r>
    </w:p>
  </w:footnote>
  <w:footnote w:type="continuationSeparator" w:id="0">
    <w:p w14:paraId="25D2714C" w14:textId="77777777" w:rsidR="009B2826" w:rsidRDefault="009B2826" w:rsidP="001E41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98CC6C1A"/>
    <w:lvl w:ilvl="0">
      <w:start w:val="1"/>
      <w:numFmt w:val="bullet"/>
      <w:pStyle w:val="Listaconvietas"/>
      <w:lvlText w:val=""/>
      <w:lvlJc w:val="left"/>
      <w:pPr>
        <w:tabs>
          <w:tab w:val="num" w:pos="360"/>
        </w:tabs>
        <w:ind w:left="360" w:hanging="360"/>
      </w:pPr>
      <w:rPr>
        <w:rFonts w:ascii="Symbol" w:hAnsi="Symbol" w:hint="default"/>
      </w:rPr>
    </w:lvl>
  </w:abstractNum>
  <w:num w:numId="1" w16cid:durableId="1640264143">
    <w:abstractNumId w:val="8"/>
  </w:num>
  <w:num w:numId="2" w16cid:durableId="987902964">
    <w:abstractNumId w:val="6"/>
  </w:num>
  <w:num w:numId="3" w16cid:durableId="1168979742">
    <w:abstractNumId w:val="5"/>
  </w:num>
  <w:num w:numId="4" w16cid:durableId="16662486">
    <w:abstractNumId w:val="4"/>
  </w:num>
  <w:num w:numId="5" w16cid:durableId="1505170928">
    <w:abstractNumId w:val="7"/>
  </w:num>
  <w:num w:numId="6" w16cid:durableId="485319855">
    <w:abstractNumId w:val="3"/>
  </w:num>
  <w:num w:numId="7" w16cid:durableId="931401017">
    <w:abstractNumId w:val="2"/>
  </w:num>
  <w:num w:numId="8" w16cid:durableId="378091059">
    <w:abstractNumId w:val="1"/>
  </w:num>
  <w:num w:numId="9" w16cid:durableId="1532569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4A3"/>
    <w:rsid w:val="000E31FD"/>
    <w:rsid w:val="0015074B"/>
    <w:rsid w:val="001A7D3E"/>
    <w:rsid w:val="001E0DAC"/>
    <w:rsid w:val="001E41B7"/>
    <w:rsid w:val="00274CE7"/>
    <w:rsid w:val="0029639D"/>
    <w:rsid w:val="00326F90"/>
    <w:rsid w:val="009B2826"/>
    <w:rsid w:val="00AA1D8D"/>
    <w:rsid w:val="00B47730"/>
    <w:rsid w:val="00B9555A"/>
    <w:rsid w:val="00CB0664"/>
    <w:rsid w:val="00D04FFC"/>
    <w:rsid w:val="00E017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53E7F6"/>
  <w14:defaultImageDpi w14:val="330"/>
  <w15:docId w15:val="{9A08F6B5-FA3D-4446-AE1A-80DE3F8F2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rPr>
  </w:style>
  <w:style w:type="paragraph" w:styleId="Ttulo1">
    <w:name w:val="heading 1"/>
    <w:basedOn w:val="Normal"/>
    <w:next w:val="Normal"/>
    <w:link w:val="Ttulo1Car"/>
    <w:uiPriority w:val="9"/>
    <w:qFormat/>
    <w:rsid w:val="00FC693F"/>
    <w:pPr>
      <w:keepNext/>
      <w:keepLines/>
      <w:spacing w:before="400" w:after="120"/>
      <w:outlineLvl w:val="0"/>
    </w:pPr>
    <w:rPr>
      <w:rFonts w:asciiTheme="majorHAnsi" w:eastAsiaTheme="majorEastAsia" w:hAnsiTheme="majorHAnsi" w:cstheme="majorBidi"/>
      <w:bCs/>
      <w:color w:val="000000"/>
      <w:sz w:val="40"/>
      <w:szCs w:val="28"/>
    </w:rPr>
  </w:style>
  <w:style w:type="paragraph" w:styleId="Ttulo2">
    <w:name w:val="heading 2"/>
    <w:basedOn w:val="Normal"/>
    <w:next w:val="Normal"/>
    <w:link w:val="Ttulo2Car"/>
    <w:uiPriority w:val="9"/>
    <w:unhideWhenUsed/>
    <w:qFormat/>
    <w:rsid w:val="00FC693F"/>
    <w:pPr>
      <w:keepNext/>
      <w:keepLines/>
      <w:spacing w:before="360" w:after="120"/>
      <w:outlineLvl w:val="1"/>
    </w:pPr>
    <w:rPr>
      <w:rFonts w:asciiTheme="majorHAnsi" w:eastAsiaTheme="majorEastAsia" w:hAnsiTheme="majorHAnsi" w:cstheme="majorBidi"/>
      <w:bCs/>
      <w:color w:val="000000"/>
      <w:sz w:val="32"/>
      <w:szCs w:val="26"/>
    </w:rPr>
  </w:style>
  <w:style w:type="paragraph" w:styleId="Ttulo3">
    <w:name w:val="heading 3"/>
    <w:basedOn w:val="Normal"/>
    <w:next w:val="Normal"/>
    <w:link w:val="Ttulo3Car"/>
    <w:uiPriority w:val="9"/>
    <w:unhideWhenUsed/>
    <w:qFormat/>
    <w:rsid w:val="00FC693F"/>
    <w:pPr>
      <w:keepNext/>
      <w:keepLines/>
      <w:spacing w:before="320" w:after="80"/>
      <w:outlineLvl w:val="2"/>
    </w:pPr>
    <w:rPr>
      <w:rFonts w:asciiTheme="majorHAnsi" w:eastAsiaTheme="majorEastAsia" w:hAnsiTheme="majorHAnsi" w:cstheme="majorBidi"/>
      <w:bCs/>
      <w:color w:val="434343"/>
      <w:sz w:val="28"/>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1298</Words>
  <Characters>7140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Viviana Carriel Bustamante</cp:lastModifiedBy>
  <cp:revision>3</cp:revision>
  <dcterms:created xsi:type="dcterms:W3CDTF">2026-07-06T22:07:00Z</dcterms:created>
  <dcterms:modified xsi:type="dcterms:W3CDTF">2026-07-06T22:08:00Z</dcterms:modified>
  <cp:category/>
</cp:coreProperties>
</file>