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DE721" w14:textId="329F0166" w:rsidR="001F17AB" w:rsidRPr="001F17AB" w:rsidRDefault="001F17AB" w:rsidP="001F17AB">
      <w:pPr>
        <w:pStyle w:val="Ttulo1"/>
        <w:rPr>
          <w:rFonts w:ascii="Times New Roman" w:hAnsi="Times New Roman" w:cs="Times New Roman"/>
          <w:b/>
          <w:bCs w:val="0"/>
          <w:sz w:val="24"/>
          <w:szCs w:val="24"/>
        </w:rPr>
      </w:pPr>
      <w:r w:rsidRPr="001F17AB">
        <w:rPr>
          <w:rFonts w:ascii="Times New Roman" w:hAnsi="Times New Roman" w:cs="Times New Roman"/>
          <w:b/>
          <w:bCs w:val="0"/>
          <w:sz w:val="24"/>
          <w:szCs w:val="24"/>
        </w:rPr>
        <w:t>Literature Review</w:t>
      </w:r>
    </w:p>
    <w:p w14:paraId="75DE0688" w14:textId="19056B71"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 xml:space="preserve">The financial literature on bank profitability has evolved from static approaches focused on concentration and market power toward more dynamic models that incorporate profit persistence, operational efficiency, credit risk and macroeconomic conditions. Early studies showed that the profitability of financial institutions depends on both internal factors and external variables related to the competitive and macroeconomic environment (Bourke, 1989; Molyneux &amp; Thornton, 1992; </w:t>
      </w:r>
      <w:proofErr w:type="spellStart"/>
      <w:r w:rsidRPr="001F17AB">
        <w:rPr>
          <w:rFonts w:ascii="Times New Roman" w:hAnsi="Times New Roman" w:cs="Times New Roman"/>
          <w:sz w:val="24"/>
          <w:szCs w:val="24"/>
        </w:rPr>
        <w:t>Demirgüç</w:t>
      </w:r>
      <w:proofErr w:type="spellEnd"/>
      <w:r w:rsidRPr="001F17AB">
        <w:rPr>
          <w:rFonts w:ascii="Times New Roman" w:hAnsi="Times New Roman" w:cs="Times New Roman"/>
          <w:sz w:val="24"/>
          <w:szCs w:val="24"/>
        </w:rPr>
        <w:t xml:space="preserve">-Kunt &amp; Huizinga, 1999). Subsequent evidence incorporated dynamic panel models to capture the persistence of profitability and the potential endogeneity between capitalization, risk and financial performance (Goddard et al., 2004; Athanasoglou et al., 2008; Dietrich &amp; </w:t>
      </w:r>
      <w:proofErr w:type="spellStart"/>
      <w:r w:rsidRPr="001F17AB">
        <w:rPr>
          <w:rFonts w:ascii="Times New Roman" w:hAnsi="Times New Roman" w:cs="Times New Roman"/>
          <w:sz w:val="24"/>
          <w:szCs w:val="24"/>
        </w:rPr>
        <w:t>Wanzenried</w:t>
      </w:r>
      <w:proofErr w:type="spellEnd"/>
      <w:r w:rsidRPr="001F17AB">
        <w:rPr>
          <w:rFonts w:ascii="Times New Roman" w:hAnsi="Times New Roman" w:cs="Times New Roman"/>
          <w:sz w:val="24"/>
          <w:szCs w:val="24"/>
        </w:rPr>
        <w:t>, 2011). This evolution is particularly relevant for emerging economies with strong monetary constraints, where profitability is not only a performance indicator but also a mechanism of financial resilience.</w:t>
      </w:r>
    </w:p>
    <w:p w14:paraId="61AD886A" w14:textId="77777777"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 xml:space="preserve">The Ecuadorian case provides a particularly important institutional context. Ecuador adopted official dollarization in 2000 as a last-resort response to a banking, exchange-rate and inflationary crisis (Beckerman &amp; Solimano, 2002). This regime eliminated monetary discretion and contributed to price stabilization, but it also reduced the policy instruments available to respond to macro-financial shocks. In the absence of domestic money issuance, a full lender of last resort and exchange-rate devaluation, financial institutions must absorb a larger share of adjustment through their own liquidity, capitalization and risk management (Jácome &amp; </w:t>
      </w:r>
      <w:proofErr w:type="spellStart"/>
      <w:r w:rsidRPr="001F17AB">
        <w:rPr>
          <w:rFonts w:ascii="Times New Roman" w:hAnsi="Times New Roman" w:cs="Times New Roman"/>
          <w:sz w:val="24"/>
          <w:szCs w:val="24"/>
        </w:rPr>
        <w:t>Lönnberg</w:t>
      </w:r>
      <w:proofErr w:type="spellEnd"/>
      <w:r w:rsidRPr="001F17AB">
        <w:rPr>
          <w:rFonts w:ascii="Times New Roman" w:hAnsi="Times New Roman" w:cs="Times New Roman"/>
          <w:sz w:val="24"/>
          <w:szCs w:val="24"/>
        </w:rPr>
        <w:t>, 2010). Therefore, studying the profitability of savings and credit cooperatives in a dollarized economy makes it possible to analyze not only their accounting performance, but also their capacity to sustain institutional stability in a context of macroeconomic constraints.</w:t>
      </w:r>
    </w:p>
    <w:p w14:paraId="011FA4BB" w14:textId="77777777"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The literature identifies several internal determinants of financial profitability. Capitalization generally shows a positive relationship with performance, since better-capitalized institutions face lower insolvency risk, reduce funding costs and transmit greater confidence to depositors and creditors (</w:t>
      </w:r>
      <w:proofErr w:type="spellStart"/>
      <w:r w:rsidRPr="001F17AB">
        <w:rPr>
          <w:rFonts w:ascii="Times New Roman" w:hAnsi="Times New Roman" w:cs="Times New Roman"/>
          <w:sz w:val="24"/>
          <w:szCs w:val="24"/>
        </w:rPr>
        <w:t>Demirgüç</w:t>
      </w:r>
      <w:proofErr w:type="spellEnd"/>
      <w:r w:rsidRPr="001F17AB">
        <w:rPr>
          <w:rFonts w:ascii="Times New Roman" w:hAnsi="Times New Roman" w:cs="Times New Roman"/>
          <w:sz w:val="24"/>
          <w:szCs w:val="24"/>
        </w:rPr>
        <w:t xml:space="preserve">-Kunt &amp; Huizinga, 1999; Athanasoglou et al., 2008; Dietrich &amp; </w:t>
      </w:r>
      <w:proofErr w:type="spellStart"/>
      <w:r w:rsidRPr="001F17AB">
        <w:rPr>
          <w:rFonts w:ascii="Times New Roman" w:hAnsi="Times New Roman" w:cs="Times New Roman"/>
          <w:sz w:val="24"/>
          <w:szCs w:val="24"/>
        </w:rPr>
        <w:t>Wanzenried</w:t>
      </w:r>
      <w:proofErr w:type="spellEnd"/>
      <w:r w:rsidRPr="001F17AB">
        <w:rPr>
          <w:rFonts w:ascii="Times New Roman" w:hAnsi="Times New Roman" w:cs="Times New Roman"/>
          <w:sz w:val="24"/>
          <w:szCs w:val="24"/>
        </w:rPr>
        <w:t>, 2011). However, its effect may differ between ROA and ROE: while higher capitalization can strengthen returns on assets by reducing vulnerability, it may also reduce returns on equity if surpluses are distributed over a broader capital base.</w:t>
      </w:r>
    </w:p>
    <w:p w14:paraId="1C49DDD7" w14:textId="77777777"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lastRenderedPageBreak/>
        <w:t xml:space="preserve">Credit risk is another central determinant. Delinquency and loan-loss provisions usually have a negative effect on profitability because they reduce effective income, increase provisioning expenses and raise recovery costs (Berger &amp; DeYoung, 1997; </w:t>
      </w:r>
      <w:proofErr w:type="spellStart"/>
      <w:r w:rsidRPr="001F17AB">
        <w:rPr>
          <w:rFonts w:ascii="Times New Roman" w:hAnsi="Times New Roman" w:cs="Times New Roman"/>
          <w:sz w:val="24"/>
          <w:szCs w:val="24"/>
        </w:rPr>
        <w:t>Louzis</w:t>
      </w:r>
      <w:proofErr w:type="spellEnd"/>
      <w:r w:rsidRPr="001F17AB">
        <w:rPr>
          <w:rFonts w:ascii="Times New Roman" w:hAnsi="Times New Roman" w:cs="Times New Roman"/>
          <w:sz w:val="24"/>
          <w:szCs w:val="24"/>
        </w:rPr>
        <w:t xml:space="preserve"> et al., 2012; Klein, 2013). The “bad management” hypothesis suggests that low operational efficiency may precede portfolio deterioration due to weaknesses in credit assessment, monitoring and collection practices (Berger &amp; DeYoung, 1997). This mechanism is especially relevant for cooperatives that serve households, </w:t>
      </w:r>
      <w:proofErr w:type="gramStart"/>
      <w:r w:rsidRPr="001F17AB">
        <w:rPr>
          <w:rFonts w:ascii="Times New Roman" w:hAnsi="Times New Roman" w:cs="Times New Roman"/>
          <w:sz w:val="24"/>
          <w:szCs w:val="24"/>
        </w:rPr>
        <w:t>microenterprises</w:t>
      </w:r>
      <w:proofErr w:type="gramEnd"/>
      <w:r w:rsidRPr="001F17AB">
        <w:rPr>
          <w:rFonts w:ascii="Times New Roman" w:hAnsi="Times New Roman" w:cs="Times New Roman"/>
          <w:sz w:val="24"/>
          <w:szCs w:val="24"/>
        </w:rPr>
        <w:t xml:space="preserve"> and segments more exposed to informality or income volatility.</w:t>
      </w:r>
    </w:p>
    <w:p w14:paraId="48D6CEC5" w14:textId="77777777"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 xml:space="preserve">Operational efficiency also occupies an important place in </w:t>
      </w:r>
      <w:proofErr w:type="gramStart"/>
      <w:r w:rsidRPr="001F17AB">
        <w:rPr>
          <w:rFonts w:ascii="Times New Roman" w:hAnsi="Times New Roman" w:cs="Times New Roman"/>
          <w:sz w:val="24"/>
          <w:szCs w:val="24"/>
        </w:rPr>
        <w:t>the literature</w:t>
      </w:r>
      <w:proofErr w:type="gramEnd"/>
      <w:r w:rsidRPr="001F17AB">
        <w:rPr>
          <w:rFonts w:ascii="Times New Roman" w:hAnsi="Times New Roman" w:cs="Times New Roman"/>
          <w:sz w:val="24"/>
          <w:szCs w:val="24"/>
        </w:rPr>
        <w:t xml:space="preserve">. In general, higher relative operating expenses are associated with lower profitability, as they reflect cost inefficiencies or a weaker capacity to transform assets into earnings (Berger &amp; Mester, 1997; </w:t>
      </w:r>
      <w:proofErr w:type="spellStart"/>
      <w:r w:rsidRPr="001F17AB">
        <w:rPr>
          <w:rFonts w:ascii="Times New Roman" w:hAnsi="Times New Roman" w:cs="Times New Roman"/>
          <w:sz w:val="24"/>
          <w:szCs w:val="24"/>
        </w:rPr>
        <w:t>Pasiouras</w:t>
      </w:r>
      <w:proofErr w:type="spellEnd"/>
      <w:r w:rsidRPr="001F17AB">
        <w:rPr>
          <w:rFonts w:ascii="Times New Roman" w:hAnsi="Times New Roman" w:cs="Times New Roman"/>
          <w:sz w:val="24"/>
          <w:szCs w:val="24"/>
        </w:rPr>
        <w:t xml:space="preserve"> &amp; Kosmidou, 2007). However, some studies suggest that highly profitable institutions may exhibit “expense-preference” behavior, whereby managers increase discretionary costs as a way of consuming internal rents (Bourke, 1989; Molyneux &amp; Thornton, 1992). Therefore, the relationship between efficiency and profitability must be analyzed </w:t>
      </w:r>
      <w:proofErr w:type="gramStart"/>
      <w:r w:rsidRPr="001F17AB">
        <w:rPr>
          <w:rFonts w:ascii="Times New Roman" w:hAnsi="Times New Roman" w:cs="Times New Roman"/>
          <w:sz w:val="24"/>
          <w:szCs w:val="24"/>
        </w:rPr>
        <w:t>in light of</w:t>
      </w:r>
      <w:proofErr w:type="gramEnd"/>
      <w:r w:rsidRPr="001F17AB">
        <w:rPr>
          <w:rFonts w:ascii="Times New Roman" w:hAnsi="Times New Roman" w:cs="Times New Roman"/>
          <w:sz w:val="24"/>
          <w:szCs w:val="24"/>
        </w:rPr>
        <w:t xml:space="preserve"> each institution’s organizational structure.</w:t>
      </w:r>
    </w:p>
    <w:p w14:paraId="3F6F24E4" w14:textId="70C01FFF"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 xml:space="preserve">At this point, </w:t>
      </w:r>
      <w:r w:rsidR="009F5F31">
        <w:rPr>
          <w:rFonts w:ascii="Times New Roman" w:hAnsi="Times New Roman" w:cs="Times New Roman"/>
          <w:sz w:val="24"/>
          <w:szCs w:val="24"/>
        </w:rPr>
        <w:t>credit unions</w:t>
      </w:r>
      <w:r w:rsidRPr="001F17AB">
        <w:rPr>
          <w:rFonts w:ascii="Times New Roman" w:hAnsi="Times New Roman" w:cs="Times New Roman"/>
          <w:sz w:val="24"/>
          <w:szCs w:val="24"/>
        </w:rPr>
        <w:t xml:space="preserve"> differ from commercial banks. While banks seek to maximize shareholder value, cooperative financial institutions operate under a mutual structure oriented toward member benefits (Cuevas &amp; Fischer, 2006; McKillop &amp; Wilson, 2011; McKillop et al., 2020). Their common bond may reduce information asymmetries in lending relationships; however, the “one member, one vote” rule and dispersed ownership may generate agency problems, </w:t>
      </w:r>
      <w:proofErr w:type="gramStart"/>
      <w:r w:rsidRPr="001F17AB">
        <w:rPr>
          <w:rFonts w:ascii="Times New Roman" w:hAnsi="Times New Roman" w:cs="Times New Roman"/>
          <w:sz w:val="24"/>
          <w:szCs w:val="24"/>
        </w:rPr>
        <w:t>free-riding</w:t>
      </w:r>
      <w:proofErr w:type="gramEnd"/>
      <w:r w:rsidRPr="001F17AB">
        <w:rPr>
          <w:rFonts w:ascii="Times New Roman" w:hAnsi="Times New Roman" w:cs="Times New Roman"/>
          <w:sz w:val="24"/>
          <w:szCs w:val="24"/>
        </w:rPr>
        <w:t xml:space="preserve"> in monitoring and weaker managerial discipline. These characteristics may translate into higher operating costs or financial decisions that differ from those observed in commercial banks.</w:t>
      </w:r>
    </w:p>
    <w:p w14:paraId="2A7F8E44" w14:textId="15927E56" w:rsidR="001F17AB" w:rsidRPr="001F17AB"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t xml:space="preserve">The research gap lies precisely at the intersection of profitability, cooperative governance and dollarization. Although there is extensive evidence on the determinants of bank profitability in Europe, the United States and emerging economies, less is known about how these mechanisms operate in </w:t>
      </w:r>
      <w:r w:rsidR="009F5F31">
        <w:rPr>
          <w:rFonts w:ascii="Times New Roman" w:hAnsi="Times New Roman" w:cs="Times New Roman"/>
          <w:sz w:val="24"/>
          <w:szCs w:val="24"/>
        </w:rPr>
        <w:t>credit unions</w:t>
      </w:r>
      <w:r w:rsidRPr="001F17AB">
        <w:rPr>
          <w:rFonts w:ascii="Times New Roman" w:hAnsi="Times New Roman" w:cs="Times New Roman"/>
          <w:sz w:val="24"/>
          <w:szCs w:val="24"/>
        </w:rPr>
        <w:t xml:space="preserve"> within a dollarized economy. Most studies focus on commercial banks, leaving cooperative institutions in the background despite their key role in financial inclusion and territorial credit provision.</w:t>
      </w:r>
    </w:p>
    <w:p w14:paraId="681F7621" w14:textId="55D6F5C2" w:rsidR="00935170" w:rsidRDefault="001F17AB" w:rsidP="001F17AB">
      <w:pPr>
        <w:pStyle w:val="Ttulo1"/>
        <w:rPr>
          <w:rFonts w:ascii="Times New Roman" w:hAnsi="Times New Roman" w:cs="Times New Roman"/>
          <w:sz w:val="24"/>
          <w:szCs w:val="24"/>
        </w:rPr>
      </w:pPr>
      <w:r w:rsidRPr="001F17AB">
        <w:rPr>
          <w:rFonts w:ascii="Times New Roman" w:hAnsi="Times New Roman" w:cs="Times New Roman"/>
          <w:sz w:val="24"/>
          <w:szCs w:val="24"/>
        </w:rPr>
        <w:lastRenderedPageBreak/>
        <w:t xml:space="preserve">This study contributes to filling this gap by analyzing how capitalization, credit risk, efficiency, liquidity and external shocks explain the profitability of Ecuadorian cooperatives, distinguishing between ROA and ROE. By employing dynamic panel models, the research captures profit persistence and </w:t>
      </w:r>
      <w:proofErr w:type="gramStart"/>
      <w:r w:rsidRPr="001F17AB">
        <w:rPr>
          <w:rFonts w:ascii="Times New Roman" w:hAnsi="Times New Roman" w:cs="Times New Roman"/>
          <w:sz w:val="24"/>
          <w:szCs w:val="24"/>
        </w:rPr>
        <w:t>controls for</w:t>
      </w:r>
      <w:proofErr w:type="gramEnd"/>
      <w:r w:rsidRPr="001F17AB">
        <w:rPr>
          <w:rFonts w:ascii="Times New Roman" w:hAnsi="Times New Roman" w:cs="Times New Roman"/>
          <w:sz w:val="24"/>
          <w:szCs w:val="24"/>
        </w:rPr>
        <w:t xml:space="preserve"> potential endogeneity between capital, risk and performance. Thus, the paper provides evidence on the resilience of savings and credit cooperatives in a financial system without a money-issuing central bank, offering relevant implications for prudential supervision and macro-financial policy in dollarized </w:t>
      </w:r>
      <w:proofErr w:type="spellStart"/>
      <w:proofErr w:type="gramStart"/>
      <w:r w:rsidRPr="001F17AB">
        <w:rPr>
          <w:rFonts w:ascii="Times New Roman" w:hAnsi="Times New Roman" w:cs="Times New Roman"/>
          <w:sz w:val="24"/>
          <w:szCs w:val="24"/>
        </w:rPr>
        <w:t>economies.Translation</w:t>
      </w:r>
      <w:proofErr w:type="spellEnd"/>
      <w:proofErr w:type="gramEnd"/>
      <w:r w:rsidRPr="001F17AB">
        <w:rPr>
          <w:rFonts w:ascii="Times New Roman" w:hAnsi="Times New Roman" w:cs="Times New Roman"/>
          <w:sz w:val="24"/>
          <w:szCs w:val="24"/>
        </w:rPr>
        <w:t xml:space="preserve"> Process</w:t>
      </w:r>
    </w:p>
    <w:p w14:paraId="56561C86" w14:textId="53EFB1B4" w:rsidR="001F17AB" w:rsidRPr="009F5F31" w:rsidRDefault="001F17AB" w:rsidP="001F17AB">
      <w:pPr>
        <w:rPr>
          <w:rFonts w:ascii="Times New Roman" w:hAnsi="Times New Roman" w:cs="Times New Roman"/>
          <w:b/>
          <w:bCs/>
          <w:sz w:val="24"/>
          <w:szCs w:val="24"/>
          <w:lang w:val="es-EC"/>
        </w:rPr>
      </w:pPr>
      <w:r w:rsidRPr="009F5F31">
        <w:rPr>
          <w:rFonts w:ascii="Times New Roman" w:hAnsi="Times New Roman" w:cs="Times New Roman"/>
          <w:b/>
          <w:bCs/>
          <w:sz w:val="24"/>
          <w:szCs w:val="24"/>
          <w:lang w:val="es-EC"/>
        </w:rPr>
        <w:t>PROCESO</w:t>
      </w:r>
    </w:p>
    <w:p w14:paraId="1A03AF86" w14:textId="06DB8732" w:rsidR="00935170" w:rsidRPr="001F17AB" w:rsidRDefault="009F5F31">
      <w:pPr>
        <w:rPr>
          <w:rFonts w:ascii="Times New Roman" w:hAnsi="Times New Roman" w:cs="Times New Roman"/>
          <w:sz w:val="24"/>
          <w:szCs w:val="24"/>
          <w:lang w:val="es-EC"/>
        </w:rPr>
      </w:pPr>
      <w:r>
        <w:rPr>
          <w:rFonts w:ascii="Times New Roman" w:hAnsi="Times New Roman" w:cs="Times New Roman"/>
          <w:sz w:val="24"/>
          <w:szCs w:val="24"/>
          <w:lang w:val="es-EC"/>
        </w:rPr>
        <w:t>Las h</w:t>
      </w:r>
      <w:r w:rsidR="00000000" w:rsidRPr="001F17AB">
        <w:rPr>
          <w:rFonts w:ascii="Times New Roman" w:hAnsi="Times New Roman" w:cs="Times New Roman"/>
          <w:sz w:val="24"/>
          <w:szCs w:val="24"/>
          <w:lang w:val="es-EC"/>
        </w:rPr>
        <w:t>erramientas usadas para la traducción</w:t>
      </w:r>
      <w:r>
        <w:rPr>
          <w:rFonts w:ascii="Times New Roman" w:hAnsi="Times New Roman" w:cs="Times New Roman"/>
          <w:sz w:val="24"/>
          <w:szCs w:val="24"/>
          <w:lang w:val="es-EC"/>
        </w:rPr>
        <w:t xml:space="preserve"> fueron</w:t>
      </w:r>
      <w:r w:rsidR="00000000" w:rsidRPr="001F17AB">
        <w:rPr>
          <w:rFonts w:ascii="Times New Roman" w:hAnsi="Times New Roman" w:cs="Times New Roman"/>
          <w:sz w:val="24"/>
          <w:szCs w:val="24"/>
          <w:lang w:val="es-EC"/>
        </w:rPr>
        <w:t xml:space="preserve">: </w:t>
      </w:r>
      <w:proofErr w:type="spellStart"/>
      <w:r w:rsidR="00000000" w:rsidRPr="001F17AB">
        <w:rPr>
          <w:rFonts w:ascii="Times New Roman" w:hAnsi="Times New Roman" w:cs="Times New Roman"/>
          <w:sz w:val="24"/>
          <w:szCs w:val="24"/>
          <w:lang w:val="es-EC"/>
        </w:rPr>
        <w:t>ChatGPT</w:t>
      </w:r>
      <w:proofErr w:type="spellEnd"/>
      <w:r w:rsidR="00000000" w:rsidRPr="001F17AB">
        <w:rPr>
          <w:rFonts w:ascii="Times New Roman" w:hAnsi="Times New Roman" w:cs="Times New Roman"/>
          <w:sz w:val="24"/>
          <w:szCs w:val="24"/>
          <w:lang w:val="es-EC"/>
        </w:rPr>
        <w:t xml:space="preserve"> para la traducción académica inicial; </w:t>
      </w:r>
      <w:proofErr w:type="spellStart"/>
      <w:r w:rsidR="00000000" w:rsidRPr="001F17AB">
        <w:rPr>
          <w:rFonts w:ascii="Times New Roman" w:hAnsi="Times New Roman" w:cs="Times New Roman"/>
          <w:sz w:val="24"/>
          <w:szCs w:val="24"/>
          <w:lang w:val="es-EC"/>
        </w:rPr>
        <w:t>DeepL</w:t>
      </w:r>
      <w:proofErr w:type="spellEnd"/>
      <w:r w:rsidR="00000000" w:rsidRPr="001F17AB">
        <w:rPr>
          <w:rFonts w:ascii="Times New Roman" w:hAnsi="Times New Roman" w:cs="Times New Roman"/>
          <w:sz w:val="24"/>
          <w:szCs w:val="24"/>
          <w:lang w:val="es-EC"/>
        </w:rPr>
        <w:t xml:space="preserve"> y </w:t>
      </w:r>
      <w:proofErr w:type="spellStart"/>
      <w:r w:rsidR="00000000" w:rsidRPr="001F17AB">
        <w:rPr>
          <w:rFonts w:ascii="Times New Roman" w:hAnsi="Times New Roman" w:cs="Times New Roman"/>
          <w:sz w:val="24"/>
          <w:szCs w:val="24"/>
          <w:lang w:val="es-EC"/>
        </w:rPr>
        <w:t>Linguee</w:t>
      </w:r>
      <w:proofErr w:type="spellEnd"/>
      <w:r w:rsidR="00000000" w:rsidRPr="001F17AB">
        <w:rPr>
          <w:rFonts w:ascii="Times New Roman" w:hAnsi="Times New Roman" w:cs="Times New Roman"/>
          <w:sz w:val="24"/>
          <w:szCs w:val="24"/>
          <w:lang w:val="es-EC"/>
        </w:rPr>
        <w:t xml:space="preserve"> para verificar términos técnicos; Grammarly para pulir estilo, puntuación y fluidez; back-</w:t>
      </w:r>
      <w:proofErr w:type="spellStart"/>
      <w:r w:rsidR="00000000" w:rsidRPr="001F17AB">
        <w:rPr>
          <w:rFonts w:ascii="Times New Roman" w:hAnsi="Times New Roman" w:cs="Times New Roman"/>
          <w:sz w:val="24"/>
          <w:szCs w:val="24"/>
          <w:lang w:val="es-EC"/>
        </w:rPr>
        <w:t>translation</w:t>
      </w:r>
      <w:proofErr w:type="spellEnd"/>
      <w:r w:rsidR="00000000" w:rsidRPr="001F17AB">
        <w:rPr>
          <w:rFonts w:ascii="Times New Roman" w:hAnsi="Times New Roman" w:cs="Times New Roman"/>
          <w:sz w:val="24"/>
          <w:szCs w:val="24"/>
          <w:lang w:val="es-EC"/>
        </w:rPr>
        <w:t xml:space="preserve"> para comprobar que el significado original se mantuviera.</w:t>
      </w:r>
    </w:p>
    <w:p w14:paraId="1A7171DC" w14:textId="2E1C8B17" w:rsidR="00935170" w:rsidRPr="009F5F31" w:rsidRDefault="009F5F31">
      <w:pPr>
        <w:rPr>
          <w:rFonts w:ascii="Times New Roman" w:hAnsi="Times New Roman" w:cs="Times New Roman"/>
          <w:sz w:val="24"/>
          <w:szCs w:val="24"/>
          <w:lang w:val="es-EC"/>
        </w:rPr>
      </w:pPr>
      <w:r>
        <w:rPr>
          <w:rFonts w:ascii="Times New Roman" w:hAnsi="Times New Roman" w:cs="Times New Roman"/>
          <w:sz w:val="24"/>
          <w:szCs w:val="24"/>
          <w:lang w:val="es-EC"/>
        </w:rPr>
        <w:t>Los t</w:t>
      </w:r>
      <w:r w:rsidR="00000000" w:rsidRPr="009F5F31">
        <w:rPr>
          <w:rFonts w:ascii="Times New Roman" w:hAnsi="Times New Roman" w:cs="Times New Roman"/>
          <w:sz w:val="24"/>
          <w:szCs w:val="24"/>
          <w:lang w:val="es-EC"/>
        </w:rPr>
        <w:t>érminos técnicos que verifiqué específicamente:</w:t>
      </w:r>
    </w:p>
    <w:p w14:paraId="0D29D805" w14:textId="77777777" w:rsidR="00935170" w:rsidRPr="001F17AB" w:rsidRDefault="00000000">
      <w:pPr>
        <w:pStyle w:val="Listaconvietas"/>
        <w:spacing w:after="80"/>
        <w:rPr>
          <w:rFonts w:ascii="Times New Roman" w:hAnsi="Times New Roman" w:cs="Times New Roman"/>
          <w:sz w:val="24"/>
          <w:szCs w:val="24"/>
        </w:rPr>
      </w:pPr>
      <w:proofErr w:type="spellStart"/>
      <w:r w:rsidRPr="001F17AB">
        <w:rPr>
          <w:rFonts w:ascii="Times New Roman" w:hAnsi="Times New Roman" w:cs="Times New Roman"/>
          <w:sz w:val="24"/>
          <w:szCs w:val="24"/>
        </w:rPr>
        <w:t>cooperativas</w:t>
      </w:r>
      <w:proofErr w:type="spellEnd"/>
      <w:r w:rsidRPr="001F17AB">
        <w:rPr>
          <w:rFonts w:ascii="Times New Roman" w:hAnsi="Times New Roman" w:cs="Times New Roman"/>
          <w:sz w:val="24"/>
          <w:szCs w:val="24"/>
        </w:rPr>
        <w:t xml:space="preserve"> de </w:t>
      </w:r>
      <w:proofErr w:type="spellStart"/>
      <w:r w:rsidRPr="001F17AB">
        <w:rPr>
          <w:rFonts w:ascii="Times New Roman" w:hAnsi="Times New Roman" w:cs="Times New Roman"/>
          <w:sz w:val="24"/>
          <w:szCs w:val="24"/>
        </w:rPr>
        <w:t>ahorro</w:t>
      </w:r>
      <w:proofErr w:type="spellEnd"/>
      <w:r w:rsidRPr="001F17AB">
        <w:rPr>
          <w:rFonts w:ascii="Times New Roman" w:hAnsi="Times New Roman" w:cs="Times New Roman"/>
          <w:sz w:val="24"/>
          <w:szCs w:val="24"/>
        </w:rPr>
        <w:t xml:space="preserve"> y crédito = savings and credit cooperatives / credit unions</w:t>
      </w:r>
    </w:p>
    <w:p w14:paraId="1950FC27" w14:textId="77777777" w:rsidR="00935170" w:rsidRPr="001F17AB" w:rsidRDefault="00000000">
      <w:pPr>
        <w:pStyle w:val="Listaconvietas"/>
        <w:spacing w:after="80"/>
        <w:rPr>
          <w:rFonts w:ascii="Times New Roman" w:hAnsi="Times New Roman" w:cs="Times New Roman"/>
          <w:sz w:val="24"/>
          <w:szCs w:val="24"/>
        </w:rPr>
      </w:pPr>
      <w:r w:rsidRPr="001F17AB">
        <w:rPr>
          <w:rFonts w:ascii="Times New Roman" w:hAnsi="Times New Roman" w:cs="Times New Roman"/>
          <w:sz w:val="24"/>
          <w:szCs w:val="24"/>
        </w:rPr>
        <w:t>rentabilidad = profitability</w:t>
      </w:r>
    </w:p>
    <w:p w14:paraId="52E630D2" w14:textId="77777777" w:rsidR="00935170" w:rsidRPr="001F17AB" w:rsidRDefault="00000000">
      <w:pPr>
        <w:pStyle w:val="Listaconvietas"/>
        <w:spacing w:after="80"/>
        <w:rPr>
          <w:rFonts w:ascii="Times New Roman" w:hAnsi="Times New Roman" w:cs="Times New Roman"/>
          <w:sz w:val="24"/>
          <w:szCs w:val="24"/>
        </w:rPr>
      </w:pPr>
      <w:r w:rsidRPr="001F17AB">
        <w:rPr>
          <w:rFonts w:ascii="Times New Roman" w:hAnsi="Times New Roman" w:cs="Times New Roman"/>
          <w:sz w:val="24"/>
          <w:szCs w:val="24"/>
        </w:rPr>
        <w:t>morosidad = delinquency / non-performing loans</w:t>
      </w:r>
    </w:p>
    <w:p w14:paraId="63EBBB28" w14:textId="77777777" w:rsidR="00935170" w:rsidRPr="001F17AB" w:rsidRDefault="00000000">
      <w:pPr>
        <w:pStyle w:val="Listaconvietas"/>
        <w:spacing w:after="80"/>
        <w:rPr>
          <w:rFonts w:ascii="Times New Roman" w:hAnsi="Times New Roman" w:cs="Times New Roman"/>
          <w:sz w:val="24"/>
          <w:szCs w:val="24"/>
        </w:rPr>
      </w:pPr>
      <w:r w:rsidRPr="001F17AB">
        <w:rPr>
          <w:rFonts w:ascii="Times New Roman" w:hAnsi="Times New Roman" w:cs="Times New Roman"/>
          <w:sz w:val="24"/>
          <w:szCs w:val="24"/>
        </w:rPr>
        <w:t>suficiencia patrimonial = capital adequacy</w:t>
      </w:r>
    </w:p>
    <w:p w14:paraId="6577E9AF" w14:textId="77777777" w:rsidR="00935170" w:rsidRPr="001F17AB" w:rsidRDefault="00000000">
      <w:pPr>
        <w:pStyle w:val="Listaconvietas"/>
        <w:spacing w:after="80"/>
        <w:rPr>
          <w:rFonts w:ascii="Times New Roman" w:hAnsi="Times New Roman" w:cs="Times New Roman"/>
          <w:sz w:val="24"/>
          <w:szCs w:val="24"/>
          <w:lang w:val="es-EC"/>
        </w:rPr>
      </w:pPr>
      <w:r w:rsidRPr="001F17AB">
        <w:rPr>
          <w:rFonts w:ascii="Times New Roman" w:hAnsi="Times New Roman" w:cs="Times New Roman"/>
          <w:sz w:val="24"/>
          <w:szCs w:val="24"/>
          <w:lang w:val="es-EC"/>
        </w:rPr>
        <w:t xml:space="preserve">economía emergente dolarizada = </w:t>
      </w:r>
      <w:proofErr w:type="spellStart"/>
      <w:r w:rsidRPr="001F17AB">
        <w:rPr>
          <w:rFonts w:ascii="Times New Roman" w:hAnsi="Times New Roman" w:cs="Times New Roman"/>
          <w:sz w:val="24"/>
          <w:szCs w:val="24"/>
          <w:lang w:val="es-EC"/>
        </w:rPr>
        <w:t>dollarized</w:t>
      </w:r>
      <w:proofErr w:type="spellEnd"/>
      <w:r w:rsidRPr="001F17AB">
        <w:rPr>
          <w:rFonts w:ascii="Times New Roman" w:hAnsi="Times New Roman" w:cs="Times New Roman"/>
          <w:sz w:val="24"/>
          <w:szCs w:val="24"/>
          <w:lang w:val="es-EC"/>
        </w:rPr>
        <w:t xml:space="preserve"> </w:t>
      </w:r>
      <w:proofErr w:type="spellStart"/>
      <w:r w:rsidRPr="001F17AB">
        <w:rPr>
          <w:rFonts w:ascii="Times New Roman" w:hAnsi="Times New Roman" w:cs="Times New Roman"/>
          <w:sz w:val="24"/>
          <w:szCs w:val="24"/>
          <w:lang w:val="es-EC"/>
        </w:rPr>
        <w:t>emerging</w:t>
      </w:r>
      <w:proofErr w:type="spellEnd"/>
      <w:r w:rsidRPr="001F17AB">
        <w:rPr>
          <w:rFonts w:ascii="Times New Roman" w:hAnsi="Times New Roman" w:cs="Times New Roman"/>
          <w:sz w:val="24"/>
          <w:szCs w:val="24"/>
          <w:lang w:val="es-EC"/>
        </w:rPr>
        <w:t xml:space="preserve"> </w:t>
      </w:r>
      <w:proofErr w:type="spellStart"/>
      <w:r w:rsidRPr="001F17AB">
        <w:rPr>
          <w:rFonts w:ascii="Times New Roman" w:hAnsi="Times New Roman" w:cs="Times New Roman"/>
          <w:sz w:val="24"/>
          <w:szCs w:val="24"/>
          <w:lang w:val="es-EC"/>
        </w:rPr>
        <w:t>economy</w:t>
      </w:r>
      <w:proofErr w:type="spellEnd"/>
    </w:p>
    <w:p w14:paraId="444CDDF4" w14:textId="77777777" w:rsidR="00935170" w:rsidRPr="001F17AB" w:rsidRDefault="00000000">
      <w:pPr>
        <w:rPr>
          <w:rFonts w:ascii="Times New Roman" w:hAnsi="Times New Roman" w:cs="Times New Roman"/>
          <w:sz w:val="24"/>
          <w:szCs w:val="24"/>
          <w:lang w:val="es-EC"/>
        </w:rPr>
      </w:pPr>
      <w:r w:rsidRPr="001F17AB">
        <w:rPr>
          <w:rFonts w:ascii="Times New Roman" w:hAnsi="Times New Roman" w:cs="Times New Roman"/>
          <w:sz w:val="24"/>
          <w:szCs w:val="24"/>
          <w:lang w:val="es-EC"/>
        </w:rPr>
        <w:t>Las diferencias identificadas entre mi documento original y la versión corregida fueron las siguientes:</w:t>
      </w:r>
    </w:p>
    <w:p w14:paraId="53EBAB63" w14:textId="0704F5E8" w:rsidR="00935170" w:rsidRPr="001F17AB" w:rsidRDefault="00000000">
      <w:pPr>
        <w:pStyle w:val="Listaconvietas"/>
        <w:spacing w:after="80"/>
        <w:rPr>
          <w:rFonts w:ascii="Times New Roman" w:hAnsi="Times New Roman" w:cs="Times New Roman"/>
          <w:sz w:val="24"/>
          <w:szCs w:val="24"/>
          <w:lang w:val="es-EC"/>
        </w:rPr>
      </w:pPr>
      <w:r w:rsidRPr="001F17AB">
        <w:rPr>
          <w:rFonts w:ascii="Times New Roman" w:hAnsi="Times New Roman" w:cs="Times New Roman"/>
          <w:sz w:val="24"/>
          <w:szCs w:val="24"/>
          <w:lang w:val="es-EC"/>
        </w:rPr>
        <w:t>Se evitó una traducción literal de “cooperativas financieras” y se usó “</w:t>
      </w:r>
      <w:proofErr w:type="spellStart"/>
      <w:r w:rsidR="009F5F31">
        <w:rPr>
          <w:rFonts w:ascii="Times New Roman" w:hAnsi="Times New Roman" w:cs="Times New Roman"/>
          <w:sz w:val="24"/>
          <w:szCs w:val="24"/>
          <w:lang w:val="es-EC"/>
        </w:rPr>
        <w:t>credit</w:t>
      </w:r>
      <w:proofErr w:type="spellEnd"/>
      <w:r w:rsidR="009F5F31">
        <w:rPr>
          <w:rFonts w:ascii="Times New Roman" w:hAnsi="Times New Roman" w:cs="Times New Roman"/>
          <w:sz w:val="24"/>
          <w:szCs w:val="24"/>
          <w:lang w:val="es-EC"/>
        </w:rPr>
        <w:t xml:space="preserve"> </w:t>
      </w:r>
      <w:proofErr w:type="spellStart"/>
      <w:r w:rsidR="009F5F31">
        <w:rPr>
          <w:rFonts w:ascii="Times New Roman" w:hAnsi="Times New Roman" w:cs="Times New Roman"/>
          <w:sz w:val="24"/>
          <w:szCs w:val="24"/>
          <w:lang w:val="es-EC"/>
        </w:rPr>
        <w:t>unions</w:t>
      </w:r>
      <w:proofErr w:type="spellEnd"/>
      <w:r w:rsidRPr="001F17AB">
        <w:rPr>
          <w:rFonts w:ascii="Times New Roman" w:hAnsi="Times New Roman" w:cs="Times New Roman"/>
          <w:sz w:val="24"/>
          <w:szCs w:val="24"/>
          <w:lang w:val="es-EC"/>
        </w:rPr>
        <w:t>”.</w:t>
      </w:r>
    </w:p>
    <w:p w14:paraId="131AD553" w14:textId="77777777" w:rsidR="00935170" w:rsidRPr="001F17AB" w:rsidRDefault="00000000">
      <w:pPr>
        <w:pStyle w:val="Listaconvietas"/>
        <w:spacing w:after="80"/>
        <w:rPr>
          <w:rFonts w:ascii="Times New Roman" w:hAnsi="Times New Roman" w:cs="Times New Roman"/>
          <w:sz w:val="24"/>
          <w:szCs w:val="24"/>
          <w:lang w:val="es-EC"/>
        </w:rPr>
      </w:pPr>
      <w:r w:rsidRPr="001F17AB">
        <w:rPr>
          <w:rFonts w:ascii="Times New Roman" w:hAnsi="Times New Roman" w:cs="Times New Roman"/>
          <w:sz w:val="24"/>
          <w:szCs w:val="24"/>
          <w:lang w:val="es-EC"/>
        </w:rPr>
        <w:t>Se reemplazaron frases largas propias del español por oraciones más directas en inglés académico.</w:t>
      </w:r>
    </w:p>
    <w:p w14:paraId="07769B43" w14:textId="77777777" w:rsidR="00935170" w:rsidRPr="001F17AB" w:rsidRDefault="00000000">
      <w:pPr>
        <w:pStyle w:val="Listaconvietas"/>
        <w:spacing w:after="80"/>
        <w:rPr>
          <w:rFonts w:ascii="Times New Roman" w:hAnsi="Times New Roman" w:cs="Times New Roman"/>
          <w:sz w:val="24"/>
          <w:szCs w:val="24"/>
          <w:lang w:val="es-EC"/>
        </w:rPr>
      </w:pPr>
      <w:r w:rsidRPr="001F17AB">
        <w:rPr>
          <w:rFonts w:ascii="Times New Roman" w:hAnsi="Times New Roman" w:cs="Times New Roman"/>
          <w:sz w:val="24"/>
          <w:szCs w:val="24"/>
          <w:lang w:val="es-EC"/>
        </w:rPr>
        <w:t>Se mantuvo el sentido de “sostenibilidad institucional” como “</w:t>
      </w:r>
      <w:proofErr w:type="spellStart"/>
      <w:r w:rsidRPr="001F17AB">
        <w:rPr>
          <w:rFonts w:ascii="Times New Roman" w:hAnsi="Times New Roman" w:cs="Times New Roman"/>
          <w:sz w:val="24"/>
          <w:szCs w:val="24"/>
          <w:lang w:val="es-EC"/>
        </w:rPr>
        <w:t>institutional</w:t>
      </w:r>
      <w:proofErr w:type="spellEnd"/>
      <w:r w:rsidRPr="001F17AB">
        <w:rPr>
          <w:rFonts w:ascii="Times New Roman" w:hAnsi="Times New Roman" w:cs="Times New Roman"/>
          <w:sz w:val="24"/>
          <w:szCs w:val="24"/>
          <w:lang w:val="es-EC"/>
        </w:rPr>
        <w:t xml:space="preserve"> </w:t>
      </w:r>
      <w:proofErr w:type="spellStart"/>
      <w:r w:rsidRPr="001F17AB">
        <w:rPr>
          <w:rFonts w:ascii="Times New Roman" w:hAnsi="Times New Roman" w:cs="Times New Roman"/>
          <w:sz w:val="24"/>
          <w:szCs w:val="24"/>
          <w:lang w:val="es-EC"/>
        </w:rPr>
        <w:t>resilience</w:t>
      </w:r>
      <w:proofErr w:type="spellEnd"/>
      <w:r w:rsidRPr="001F17AB">
        <w:rPr>
          <w:rFonts w:ascii="Times New Roman" w:hAnsi="Times New Roman" w:cs="Times New Roman"/>
          <w:sz w:val="24"/>
          <w:szCs w:val="24"/>
          <w:lang w:val="es-EC"/>
        </w:rPr>
        <w:t>/</w:t>
      </w:r>
      <w:proofErr w:type="spellStart"/>
      <w:r w:rsidRPr="001F17AB">
        <w:rPr>
          <w:rFonts w:ascii="Times New Roman" w:hAnsi="Times New Roman" w:cs="Times New Roman"/>
          <w:sz w:val="24"/>
          <w:szCs w:val="24"/>
          <w:lang w:val="es-EC"/>
        </w:rPr>
        <w:t>sustainability</w:t>
      </w:r>
      <w:proofErr w:type="spellEnd"/>
      <w:r w:rsidRPr="001F17AB">
        <w:rPr>
          <w:rFonts w:ascii="Times New Roman" w:hAnsi="Times New Roman" w:cs="Times New Roman"/>
          <w:sz w:val="24"/>
          <w:szCs w:val="24"/>
          <w:lang w:val="es-EC"/>
        </w:rPr>
        <w:t xml:space="preserve">”, evitando traducirlo únicamente como </w:t>
      </w:r>
      <w:proofErr w:type="spellStart"/>
      <w:r w:rsidRPr="001F17AB">
        <w:rPr>
          <w:rFonts w:ascii="Times New Roman" w:hAnsi="Times New Roman" w:cs="Times New Roman"/>
          <w:sz w:val="24"/>
          <w:szCs w:val="24"/>
          <w:lang w:val="es-EC"/>
        </w:rPr>
        <w:t>accounting</w:t>
      </w:r>
      <w:proofErr w:type="spellEnd"/>
      <w:r w:rsidRPr="001F17AB">
        <w:rPr>
          <w:rFonts w:ascii="Times New Roman" w:hAnsi="Times New Roman" w:cs="Times New Roman"/>
          <w:sz w:val="24"/>
          <w:szCs w:val="24"/>
          <w:lang w:val="es-EC"/>
        </w:rPr>
        <w:t xml:space="preserve"> performance.</w:t>
      </w:r>
    </w:p>
    <w:p w14:paraId="6C2EFF1A" w14:textId="77777777" w:rsidR="00935170" w:rsidRPr="001F17AB" w:rsidRDefault="00000000">
      <w:pPr>
        <w:pStyle w:val="Listaconvietas"/>
        <w:spacing w:after="80"/>
        <w:rPr>
          <w:rFonts w:ascii="Times New Roman" w:hAnsi="Times New Roman" w:cs="Times New Roman"/>
          <w:sz w:val="24"/>
          <w:szCs w:val="24"/>
          <w:lang w:val="es-EC"/>
        </w:rPr>
      </w:pPr>
      <w:r w:rsidRPr="001F17AB">
        <w:rPr>
          <w:rFonts w:ascii="Times New Roman" w:hAnsi="Times New Roman" w:cs="Times New Roman"/>
          <w:sz w:val="24"/>
          <w:szCs w:val="24"/>
          <w:lang w:val="es-EC"/>
        </w:rPr>
        <w:t>Se verificó que ROA y ROE mantuvieran su interpretación financiera y no se confundieran con indicadores generales de desempeño.</w:t>
      </w:r>
    </w:p>
    <w:sectPr w:rsidR="00935170" w:rsidRPr="001F17AB"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9CC2C" w14:textId="77777777" w:rsidR="00062180" w:rsidRDefault="00062180" w:rsidP="00C47FCA">
      <w:pPr>
        <w:spacing w:after="0" w:line="240" w:lineRule="auto"/>
      </w:pPr>
      <w:r>
        <w:separator/>
      </w:r>
    </w:p>
  </w:endnote>
  <w:endnote w:type="continuationSeparator" w:id="0">
    <w:p w14:paraId="28901F8E" w14:textId="77777777" w:rsidR="00062180" w:rsidRDefault="00062180" w:rsidP="00C47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C97B7" w14:textId="77777777" w:rsidR="00062180" w:rsidRDefault="00062180" w:rsidP="00C47FCA">
      <w:pPr>
        <w:spacing w:after="0" w:line="240" w:lineRule="auto"/>
      </w:pPr>
      <w:r>
        <w:separator/>
      </w:r>
    </w:p>
  </w:footnote>
  <w:footnote w:type="continuationSeparator" w:id="0">
    <w:p w14:paraId="5CBF1DB0" w14:textId="77777777" w:rsidR="00062180" w:rsidRDefault="00062180" w:rsidP="00C47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9451840">
    <w:abstractNumId w:val="8"/>
  </w:num>
  <w:num w:numId="2" w16cid:durableId="1331102774">
    <w:abstractNumId w:val="6"/>
  </w:num>
  <w:num w:numId="3" w16cid:durableId="1195735043">
    <w:abstractNumId w:val="5"/>
  </w:num>
  <w:num w:numId="4" w16cid:durableId="457842607">
    <w:abstractNumId w:val="4"/>
  </w:num>
  <w:num w:numId="5" w16cid:durableId="540672234">
    <w:abstractNumId w:val="7"/>
  </w:num>
  <w:num w:numId="6" w16cid:durableId="2086340091">
    <w:abstractNumId w:val="3"/>
  </w:num>
  <w:num w:numId="7" w16cid:durableId="501508954">
    <w:abstractNumId w:val="2"/>
  </w:num>
  <w:num w:numId="8" w16cid:durableId="2101490157">
    <w:abstractNumId w:val="1"/>
  </w:num>
  <w:num w:numId="9" w16cid:durableId="1376003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180"/>
    <w:rsid w:val="0015074B"/>
    <w:rsid w:val="001F17AB"/>
    <w:rsid w:val="0029639D"/>
    <w:rsid w:val="00326F90"/>
    <w:rsid w:val="00935170"/>
    <w:rsid w:val="009F5F31"/>
    <w:rsid w:val="00AA1D8D"/>
    <w:rsid w:val="00B47730"/>
    <w:rsid w:val="00C47FCA"/>
    <w:rsid w:val="00CB0664"/>
    <w:rsid w:val="00EF67FD"/>
    <w:rsid w:val="00F55E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D251B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rPr>
  </w:style>
  <w:style w:type="paragraph" w:styleId="Ttulo1">
    <w:name w:val="heading 1"/>
    <w:basedOn w:val="Normal"/>
    <w:next w:val="Normal"/>
    <w:link w:val="Ttulo1Car"/>
    <w:uiPriority w:val="9"/>
    <w:qFormat/>
    <w:rsid w:val="00FC693F"/>
    <w:pPr>
      <w:keepNext/>
      <w:keepLines/>
      <w:spacing w:before="400" w:after="120"/>
      <w:outlineLvl w:val="0"/>
    </w:pPr>
    <w:rPr>
      <w:rFonts w:asciiTheme="majorHAnsi" w:eastAsiaTheme="majorEastAsia" w:hAnsiTheme="majorHAnsi" w:cstheme="majorBidi"/>
      <w:bCs/>
      <w:color w:val="000000"/>
      <w:sz w:val="40"/>
      <w:szCs w:val="28"/>
    </w:rPr>
  </w:style>
  <w:style w:type="paragraph" w:styleId="Ttulo2">
    <w:name w:val="heading 2"/>
    <w:basedOn w:val="Normal"/>
    <w:next w:val="Normal"/>
    <w:link w:val="Ttulo2Car"/>
    <w:uiPriority w:val="9"/>
    <w:unhideWhenUsed/>
    <w:qFormat/>
    <w:rsid w:val="00FC693F"/>
    <w:pPr>
      <w:keepNext/>
      <w:keepLines/>
      <w:spacing w:before="360" w:after="120"/>
      <w:outlineLvl w:val="1"/>
    </w:pPr>
    <w:rPr>
      <w:rFonts w:asciiTheme="majorHAnsi" w:eastAsiaTheme="majorEastAsia" w:hAnsiTheme="majorHAnsi" w:cstheme="majorBidi"/>
      <w:bCs/>
      <w:color w:val="000000"/>
      <w:sz w:val="32"/>
      <w:szCs w:val="26"/>
    </w:rPr>
  </w:style>
  <w:style w:type="paragraph" w:styleId="Ttulo3">
    <w:name w:val="heading 3"/>
    <w:basedOn w:val="Normal"/>
    <w:next w:val="Normal"/>
    <w:link w:val="Ttulo3C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1058</Words>
  <Characters>5821</Characters>
  <Application>Microsoft Office Word</Application>
  <DocSecurity>0</DocSecurity>
  <Lines>48</Lines>
  <Paragraphs>13</Paragraphs>
  <ScaleCrop>false</ScaleCrop>
  <Manager/>
  <Company/>
  <LinksUpToDate>false</LinksUpToDate>
  <CharactersWithSpaces>6866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2026-07-07T18:21:00Z</dcterms:created>
  <dcterms:modified xsi:type="dcterms:W3CDTF">2026-07-07T18:21:00Z</dcterms:modified>
  <cp:category/>
</cp:coreProperties>
</file>