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color w:val="1F3564"/>
          <w:sz w:val="32"/>
        </w:rPr>
        <w:t>Best Practices for Conducting Legal Research with Claude (Web Access)</w:t>
      </w:r>
    </w:p>
    <w:p/>
    <w:p>
      <w:pPr>
        <w:spacing w:before="0" w:after="160"/>
      </w:pPr>
      <w:r>
        <w:rPr>
          <w:rFonts w:ascii="Calibri" w:hAnsi="Calibri"/>
          <w:b/>
          <w:sz w:val="22"/>
        </w:rPr>
        <w:t xml:space="preserve">Objective.  </w:t>
      </w:r>
      <w:r>
        <w:rPr>
          <w:rFonts w:ascii="Calibri" w:hAnsi="Calibri"/>
          <w:sz w:val="22"/>
        </w:rPr>
        <w:t>This document identifies when and how Claude can be used reliably for legal research in a restricted environment: web chat only, with no direct connection to Westlaw, LexisNexis, or any verified legal database.</w:t>
      </w:r>
    </w:p>
    <w:p>
      <w:pPr>
        <w:spacing w:before="0" w:after="160"/>
      </w:pPr>
      <w:r>
        <w:rPr>
          <w:rFonts w:ascii="Calibri" w:hAnsi="Calibri"/>
          <w:b/>
          <w:sz w:val="22"/>
        </w:rPr>
        <w:t xml:space="preserve">Audience.  </w:t>
      </w:r>
      <w:r>
        <w:rPr>
          <w:rFonts w:ascii="Calibri" w:hAnsi="Calibri"/>
          <w:sz w:val="22"/>
        </w:rPr>
        <w:t>Attorneys at the firm using Claude via web access.</w:t>
      </w:r>
    </w:p>
    <w:p>
      <w:pPr>
        <w:spacing w:before="0" w:after="160"/>
      </w:pPr>
      <w:r>
        <w:rPr>
          <w:rFonts w:ascii="Calibri" w:hAnsi="Calibri"/>
          <w:b/>
          <w:sz w:val="22"/>
        </w:rPr>
        <w:t xml:space="preserve">Summary.  </w:t>
      </w:r>
      <w:r>
        <w:rPr>
          <w:rFonts w:ascii="Calibri" w:hAnsi="Calibri"/>
          <w:sz w:val="22"/>
        </w:rPr>
        <w:t>Claude is a reasoning tool, not a research database. For statutory and regulatory research, web search works because authoritative primary text is fully available on official government websites. For case law, there is no reliable web path: research must be done in Westlaw or LexisNexis first, with verified opinions uploaded into Claude before any analysis begins. In both cases, nothing leaves your desk without a QC pass.</w:t>
      </w:r>
    </w:p>
    <w:p/>
    <w:p>
      <w:pPr>
        <w:spacing w:before="0" w:after="160"/>
      </w:pPr>
      <w:r>
        <w:rPr>
          <w:rFonts w:ascii="Calibri" w:hAnsi="Calibri"/>
          <w:b w:val="0"/>
          <w:sz w:val="22"/>
        </w:rPr>
        <w:t>397 U.S. attorneys have had hallucinated content documented in court filings as of May 2026</w:t>
      </w:r>
      <w:r>
        <w:rPr>
          <w:rFonts w:ascii="Calibri" w:hAnsi="Calibri"/>
          <w:b w:val="0"/>
          <w:sz w:val="22"/>
          <w:vertAlign w:val="superscript"/>
        </w:rPr>
        <w:t>¹</w:t>
      </w:r>
      <w:r>
        <w:rPr>
          <w:rFonts w:ascii="Calibri" w:hAnsi="Calibri"/>
          <w:b w:val="0"/>
          <w:sz w:val="22"/>
        </w:rPr>
        <w:t xml:space="preserve"> -- across tools including ChatGPT, LexisNexis, Westlaw CoCounsel, Fastcase, Perplexity, Google AI, and Claude. Yes, even the AI tools built into LexisNexis and Westlaw have produced hallucinated cases. The problem is not specific to any one tool. It is a property of how large language models work when generating text without grounding to a verified source.</w:t>
      </w:r>
    </w:p>
    <w:p>
      <w:pPr>
        <w:spacing w:before="0" w:after="240"/>
      </w:pPr>
      <w:r>
        <w:rPr>
          <w:rFonts w:ascii="Calibri" w:hAnsi="Calibri"/>
          <w:b w:val="0"/>
          <w:sz w:val="22"/>
        </w:rPr>
        <w:t>The principle is consistent across every research type: bring verified sources to Claude; let Claude analyze, draft, and synthesize from what you provide. Claude as a reasoning layer, not a research layer.</w:t>
      </w:r>
      <w:r>
        <w:rPr>
          <w:rFonts w:ascii="Calibri" w:hAnsi="Calibri"/>
          <w:b w:val="0"/>
          <w:sz w:val="22"/>
          <w:vertAlign w:val="superscript"/>
        </w:rPr>
        <w:t>²</w:t>
      </w:r>
    </w:p>
    <w:p>
      <w:pPr>
        <w:spacing w:before="0" w:after="240"/>
      </w:pPr>
      <w:r>
        <w:rPr>
          <w:rFonts w:ascii="Calibri" w:hAnsi="Calibri"/>
          <w:b/>
          <w:sz w:val="22"/>
        </w:rPr>
        <w:t xml:space="preserve">Note: </w:t>
      </w:r>
      <w:r>
        <w:rPr>
          <w:rFonts w:ascii="Calibri" w:hAnsi="Calibri"/>
          <w:sz w:val="22"/>
        </w:rPr>
        <w:t>This document covers legal research only. It does not cover legal analysis, drafting, or citation formatting.</w:t>
      </w:r>
    </w:p>
    <w:p>
      <w:pPr>
        <w:spacing w:before="280" w:after="120"/>
      </w:pPr>
      <w:r>
        <w:rPr>
          <w:rFonts w:ascii="Calibri" w:hAnsi="Calibri"/>
          <w:b/>
          <w:color w:val="1F3564"/>
          <w:sz w:val="24"/>
        </w:rPr>
        <w:t>Why does Claude (and other large language models) behave this way?</w:t>
      </w:r>
    </w:p>
    <w:p>
      <w:pPr>
        <w:spacing w:before="0" w:after="160"/>
      </w:pPr>
      <w:r>
        <w:rPr>
          <w:rFonts w:ascii="Calibri" w:hAnsi="Calibri"/>
          <w:b w:val="0"/>
          <w:sz w:val="22"/>
        </w:rPr>
        <w:t>Large language models are not databases. They do not store discrete facts that can be retrieved on demand. They learn statistical patterns from training data and apply those patterns to generate text. At each step, the model selects the most statistically probable next token: the next word or word fragment, given everything that preceded it. There is no mechanism for verifying whether the output is factually true.</w:t>
      </w:r>
    </w:p>
    <w:p>
      <w:pPr>
        <w:spacing w:before="0" w:after="160"/>
      </w:pPr>
      <w:r>
        <w:rPr>
          <w:rFonts w:ascii="Calibri" w:hAnsi="Calibri"/>
          <w:b w:val="0"/>
          <w:sz w:val="22"/>
        </w:rPr>
        <w:t>Researchers have identified three specific mechanisms that produce hallucination. The first is parametric knowledge bias: models "prioritize parametric knowledge over the provided input," meaning statistical patterns absorbed during training can override information you directly supply to the model.</w:t>
      </w:r>
      <w:r>
        <w:rPr>
          <w:rFonts w:ascii="Calibri" w:hAnsi="Calibri"/>
          <w:b w:val="0"/>
          <w:sz w:val="22"/>
          <w:vertAlign w:val="superscript"/>
        </w:rPr>
        <w:t>⁴</w:t>
      </w:r>
      <w:r>
        <w:rPr>
          <w:rFonts w:ascii="Calibri" w:hAnsi="Calibri"/>
          <w:b w:val="0"/>
          <w:sz w:val="22"/>
        </w:rPr>
        <w:t xml:space="preserve"> The second is a training-inference mismatch: during training, models learn from correct, verified sequences; during inference, they generate entirely from their own prior outputs, compounding errors across longer texts.</w:t>
      </w:r>
      <w:r>
        <w:rPr>
          <w:rFonts w:ascii="Calibri" w:hAnsi="Calibri"/>
          <w:b w:val="0"/>
          <w:sz w:val="22"/>
          <w:vertAlign w:val="superscript"/>
        </w:rPr>
        <w:t>⁵</w:t>
      </w:r>
      <w:r>
        <w:rPr>
          <w:rFonts w:ascii="Calibri" w:hAnsi="Calibri"/>
          <w:b w:val="0"/>
          <w:sz w:val="22"/>
        </w:rPr>
        <w:t xml:space="preserve"> The third is a knowledge shortcut: models "tend to overly depend on positional close, co-occurrence statistics" rather than reasoning from verified facts.</w:t>
      </w:r>
      <w:r>
        <w:rPr>
          <w:rFonts w:ascii="Calibri" w:hAnsi="Calibri"/>
          <w:b w:val="0"/>
          <w:sz w:val="22"/>
          <w:vertAlign w:val="superscript"/>
        </w:rPr>
        <w:t>⁵</w:t>
      </w:r>
    </w:p>
    <w:p>
      <w:pPr>
        <w:spacing w:before="0" w:after="160"/>
      </w:pPr>
      <w:r>
        <w:rPr>
          <w:rFonts w:ascii="Calibri" w:hAnsi="Calibri"/>
          <w:b w:val="0"/>
          <w:sz w:val="22"/>
        </w:rPr>
        <w:t>Legal citations are structurally vulnerable for a specific reason. A case citation has a highly predictable format: party name, reporter abbreviation, volume number, page number, court abbreviation, year in parentheses. This is precisely the kind of pattern a model trained on millions of legal documents will reproduce fluently. When asked to produce a citation, the model generates text that perfectly fits the format, whether or not the specific combination corresponds to a real case. Even RAG-based systems, which retrieve documents before generating text, are not immune. As Magesh et al. found studying Westlaw AI and Lexis+ AI, such systems "may be more faithful to [their] training data than to the retrieval context," producing plausible outputs that diverge from the verified primary sources they retrieved.</w:t>
      </w:r>
      <w:r>
        <w:rPr>
          <w:rFonts w:ascii="Calibri" w:hAnsi="Calibri"/>
          <w:b w:val="0"/>
          <w:sz w:val="22"/>
          <w:vertAlign w:val="superscript"/>
        </w:rPr>
        <w:t>⁶</w:t>
      </w:r>
    </w:p>
    <w:p>
      <w:pPr>
        <w:spacing w:before="0" w:after="160"/>
      </w:pPr>
      <w:r>
        <w:rPr>
          <w:rFonts w:ascii="Calibri" w:hAnsi="Calibri"/>
          <w:b w:val="0"/>
          <w:sz w:val="22"/>
        </w:rPr>
        <w:t>The output sounds confident because it was trained on legal text, which is authoritative in tone. Generating confident legal propositions is precisely what the model learned to do. There is no internal signal for uncertainty. A hallucinated citation is generated with the same surface confidence as a real one.</w:t>
      </w:r>
    </w:p>
    <w:p>
      <w:pPr>
        <w:spacing w:before="0" w:after="280"/>
      </w:pPr>
      <w:r>
        <w:rPr>
          <w:rFonts w:ascii="Calibri" w:hAnsi="Calibri"/>
          <w:b w:val="0"/>
          <w:sz w:val="22"/>
        </w:rPr>
        <w:t>Think of an expert witness, brilliant in their field, asked to testify about a matter at the edge of their direct knowledge. They do not say "I don't know." Their mind fills the gap with the most plausible answer given everything they know. The testimony is confident, well-reasoned, and sounds authoritative. Some of it is genuine expertise; some is extrapolation the expert cannot themselves distinguish from knowledge. Cross-examination might reveal the difference, but only if you know exactly which questions to ask. Claude has no cross-examination. It produces the testimony without flagging where knowledge ends and pattern-matching begins.</w:t>
      </w:r>
      <w:r>
        <w:rPr>
          <w:rFonts w:ascii="Calibri" w:hAnsi="Calibri"/>
          <w:b w:val="0"/>
          <w:sz w:val="22"/>
          <w:vertAlign w:val="superscript"/>
        </w:rPr>
        <w:t>⁷</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584"/>
            <w:shd w:val="clear" w:color="auto" w:fill="1F3564"/>
          </w:tcPr>
          <w:p>
            <w:pPr>
              <w:spacing w:before="40" w:after="40"/>
              <w:jc w:val="center"/>
            </w:pPr>
            <w:r/>
            <w:r>
              <w:rPr>
                <w:rFonts w:ascii="Calibri" w:hAnsi="Calibri"/>
                <w:b/>
                <w:color w:val="FFFFFF"/>
                <w:sz w:val="18"/>
              </w:rPr>
              <w:t>Research type</w:t>
            </w:r>
          </w:p>
        </w:tc>
        <w:tc>
          <w:tcPr>
            <w:tcW w:type="dxa" w:w="2016"/>
            <w:shd w:val="clear" w:color="auto" w:fill="1F3564"/>
          </w:tcPr>
          <w:p>
            <w:pPr>
              <w:spacing w:before="40" w:after="40"/>
              <w:jc w:val="center"/>
            </w:pPr>
            <w:r/>
            <w:r>
              <w:rPr>
                <w:rFonts w:ascii="Calibri" w:hAnsi="Calibri"/>
                <w:b/>
                <w:color w:val="FFFFFF"/>
                <w:sz w:val="18"/>
              </w:rPr>
              <w:t>Viable path</w:t>
              <w:br/>
              <w:t>(web-only Claude)</w:t>
            </w:r>
          </w:p>
        </w:tc>
        <w:tc>
          <w:tcPr>
            <w:tcW w:type="dxa" w:w="2304"/>
            <w:shd w:val="clear" w:color="auto" w:fill="1F3564"/>
          </w:tcPr>
          <w:p>
            <w:pPr>
              <w:spacing w:before="40" w:after="40"/>
              <w:jc w:val="center"/>
            </w:pPr>
            <w:r/>
            <w:r>
              <w:rPr>
                <w:rFonts w:ascii="Calibri" w:hAnsi="Calibri"/>
                <w:b/>
                <w:color w:val="FFFFFF"/>
                <w:sz w:val="18"/>
              </w:rPr>
              <w:t>Pre-session setup</w:t>
            </w:r>
          </w:p>
        </w:tc>
        <w:tc>
          <w:tcPr>
            <w:tcW w:type="dxa" w:w="2592"/>
            <w:shd w:val="clear" w:color="auto" w:fill="1F3564"/>
          </w:tcPr>
          <w:p>
            <w:pPr>
              <w:spacing w:before="40" w:after="40"/>
              <w:jc w:val="center"/>
            </w:pPr>
            <w:r/>
            <w:r>
              <w:rPr>
                <w:rFonts w:ascii="Calibri" w:hAnsi="Calibri"/>
                <w:b/>
                <w:color w:val="FFFFFF"/>
                <w:sz w:val="18"/>
              </w:rPr>
              <w:t>Opening prompt³</w:t>
            </w:r>
          </w:p>
        </w:tc>
        <w:tc>
          <w:tcPr>
            <w:tcW w:type="dxa" w:w="1584"/>
            <w:shd w:val="clear" w:color="auto" w:fill="1F3564"/>
          </w:tcPr>
          <w:p>
            <w:pPr>
              <w:spacing w:before="40" w:after="40"/>
              <w:jc w:val="center"/>
            </w:pPr>
            <w:r/>
            <w:r>
              <w:rPr>
                <w:rFonts w:ascii="Calibri" w:hAnsi="Calibri"/>
                <w:b/>
                <w:color w:val="FFFFFF"/>
                <w:sz w:val="18"/>
              </w:rPr>
              <w:t>Before distribution</w:t>
            </w:r>
          </w:p>
        </w:tc>
      </w:tr>
      <w:tr>
        <w:tc>
          <w:tcPr>
            <w:tcW w:type="dxa" w:w="1584"/>
            <w:shd w:val="clear" w:color="auto" w:fill="F2F4F8"/>
            <w:vAlign w:val="top"/>
          </w:tcPr>
          <w:p>
            <w:pPr>
              <w:spacing w:before="40" w:after="40"/>
            </w:pPr>
            <w:r/>
            <w:r>
              <w:rPr>
                <w:rFonts w:ascii="Calibri" w:hAnsi="Calibri"/>
                <w:b w:val="0"/>
                <w:sz w:val="18"/>
              </w:rPr>
              <w:t>Case law</w:t>
            </w:r>
          </w:p>
        </w:tc>
        <w:tc>
          <w:tcPr>
            <w:tcW w:type="dxa" w:w="2016"/>
            <w:shd w:val="clear" w:color="auto" w:fill="F2F4F8"/>
            <w:vAlign w:val="top"/>
          </w:tcPr>
          <w:p>
            <w:pPr>
              <w:spacing w:before="40" w:after="40"/>
            </w:pPr>
            <w:r/>
            <w:r>
              <w:rPr>
                <w:rFonts w:ascii="Calibri" w:hAnsi="Calibri"/>
                <w:b w:val="0"/>
                <w:sz w:val="18"/>
              </w:rPr>
              <w:t>No reliable web path -- do not use web search for case law</w:t>
            </w:r>
          </w:p>
        </w:tc>
        <w:tc>
          <w:tcPr>
            <w:tcW w:type="dxa" w:w="2304"/>
            <w:shd w:val="clear" w:color="auto" w:fill="F2F4F8"/>
            <w:vAlign w:val="top"/>
          </w:tcPr>
          <w:p>
            <w:pPr>
              <w:spacing w:before="40" w:after="40"/>
            </w:pPr>
            <w:r/>
            <w:r>
              <w:rPr>
                <w:rFonts w:ascii="Calibri" w:hAnsi="Calibri"/>
                <w:b w:val="0"/>
                <w:sz w:val="18"/>
              </w:rPr>
              <w:t>Research entirely in Westlaw or LexisNexis.⁸ Download the verified opinions. Upload them into the Claude conversation before typing anything.</w:t>
            </w:r>
          </w:p>
        </w:tc>
        <w:tc>
          <w:tcPr>
            <w:tcW w:type="dxa" w:w="2592"/>
            <w:shd w:val="clear" w:color="auto" w:fill="F2F4F8"/>
            <w:vAlign w:val="top"/>
          </w:tcPr>
          <w:p>
            <w:pPr>
              <w:spacing w:before="40" w:after="40"/>
            </w:pPr>
            <w:r/>
            <w:r>
              <w:rPr>
                <w:rFonts w:ascii="Calibri" w:hAnsi="Calibri"/>
                <w:b w:val="0"/>
                <w:sz w:val="18"/>
              </w:rPr>
              <w:t>"Answer only from the documents I have uploaded. Do not use background knowledge or fill in gaps from memory. For every statement, classify it as: EXPRESSLY STATED (in my documents) / VERIFIED ONLINE (you retrieved and read the source) / SUPPORTED (consistent with materials but not directly stated) / NOT FOUND / INFERENCE. Label each claim."</w:t>
            </w:r>
          </w:p>
        </w:tc>
        <w:tc>
          <w:tcPr>
            <w:tcW w:type="dxa" w:w="1584"/>
            <w:shd w:val="clear" w:color="auto" w:fill="F2F4F8"/>
            <w:vAlign w:val="top"/>
          </w:tcPr>
          <w:p>
            <w:pPr>
              <w:spacing w:before="40" w:after="40"/>
            </w:pPr>
            <w:r/>
            <w:r>
              <w:rPr>
                <w:rFonts w:ascii="Calibri" w:hAnsi="Calibri"/>
                <w:b w:val="0"/>
                <w:sz w:val="18"/>
              </w:rPr>
              <w:t>"Take an adversarial stance toward this document. Treat every claim as unverified until confirmed against an official source. Flag anything unsupported, uncited, or missing a disclaimer. Rate each issue: Critical / High / Medium / Low. End with a verdict: READY / NEEDS REVISION / MAJOR CORRECTIONS REQUIRED."</w:t>
            </w:r>
          </w:p>
        </w:tc>
      </w:tr>
      <w:tr>
        <w:tc>
          <w:tcPr>
            <w:tcW w:type="dxa" w:w="1584"/>
            <w:shd w:val="clear" w:color="auto" w:fill="FFFFFF"/>
            <w:vAlign w:val="top"/>
          </w:tcPr>
          <w:p>
            <w:pPr>
              <w:spacing w:before="40" w:after="40"/>
            </w:pPr>
            <w:r/>
            <w:r>
              <w:rPr>
                <w:rFonts w:ascii="Calibri" w:hAnsi="Calibri"/>
                <w:b w:val="0"/>
                <w:sz w:val="18"/>
              </w:rPr>
              <w:t>Federal statutes</w:t>
            </w:r>
          </w:p>
        </w:tc>
        <w:tc>
          <w:tcPr>
            <w:tcW w:type="dxa" w:w="2016"/>
            <w:shd w:val="clear" w:color="auto" w:fill="FFFFFF"/>
            <w:vAlign w:val="top"/>
          </w:tcPr>
          <w:p>
            <w:pPr>
              <w:spacing w:before="40" w:after="40"/>
            </w:pPr>
            <w:r/>
            <w:r>
              <w:rPr>
                <w:rFonts w:ascii="Calibri" w:hAnsi="Calibri"/>
                <w:b w:val="0"/>
                <w:sz w:val="18"/>
              </w:rPr>
              <w:t>Web search works -- authoritative text is fully available on congress.gov and USA.gov</w:t>
            </w:r>
          </w:p>
        </w:tc>
        <w:tc>
          <w:tcPr>
            <w:tcW w:type="dxa" w:w="2304"/>
            <w:shd w:val="clear" w:color="auto" w:fill="FFFFFF"/>
            <w:vAlign w:val="top"/>
          </w:tcPr>
          <w:p>
            <w:pPr>
              <w:spacing w:before="40" w:after="40"/>
            </w:pPr>
            <w:r/>
            <w:r>
              <w:rPr>
                <w:rFonts w:ascii="Calibri" w:hAnsi="Calibri"/>
                <w:b w:val="0"/>
                <w:sz w:val="18"/>
              </w:rPr>
              <w:t>Add a custom instruction in Claude settings: "Cite every statute by official section number. Link to the official government source. Quote the exact statutory language you are relying on. Never paraphrase a statute without also providing the direct quote."</w:t>
            </w:r>
          </w:p>
        </w:tc>
        <w:tc>
          <w:tcPr>
            <w:tcW w:type="dxa" w:w="2592"/>
            <w:shd w:val="clear" w:color="auto" w:fill="FFFFFF"/>
            <w:vAlign w:val="top"/>
          </w:tcPr>
          <w:p>
            <w:pPr>
              <w:spacing w:before="40" w:after="40"/>
            </w:pPr>
            <w:r/>
            <w:r>
              <w:rPr>
                <w:rFonts w:ascii="Calibri" w:hAnsi="Calibri"/>
                <w:b w:val="0"/>
                <w:sz w:val="18"/>
              </w:rPr>
              <w:t>"Before stating anything as true, retrieve it from an official source. For every claim, include an inline citation with a direct link. If you cannot verify something from an official government source, label it [UNVERIFIED]. End with a Verification Notes section listing what you checked and where."</w:t>
            </w:r>
          </w:p>
        </w:tc>
        <w:tc>
          <w:tcPr>
            <w:tcW w:type="dxa" w:w="1584"/>
            <w:shd w:val="clear" w:color="auto" w:fill="FFFFFF"/>
            <w:vAlign w:val="top"/>
          </w:tcPr>
          <w:p>
            <w:pPr>
              <w:spacing w:before="40" w:after="40"/>
            </w:pPr>
            <w:r/>
            <w:r>
              <w:rPr>
                <w:rFonts w:ascii="Calibri" w:hAnsi="Calibri"/>
                <w:b w:val="0"/>
                <w:sz w:val="18"/>
              </w:rPr>
              <w:t>"Take an adversarial stance toward this document. Treat every claim as unverified until confirmed against an official source. Flag anything unsupported, uncited, or missing a disclaimer. Rate each issue: Critical / High / Medium / Low. End with a verdict: READY / NEEDS REVISION / MAJOR CORRECTIONS REQUIRED."</w:t>
            </w:r>
          </w:p>
        </w:tc>
      </w:tr>
      <w:tr>
        <w:tc>
          <w:tcPr>
            <w:tcW w:type="dxa" w:w="1584"/>
            <w:shd w:val="clear" w:color="auto" w:fill="F2F4F8"/>
            <w:vAlign w:val="top"/>
          </w:tcPr>
          <w:p>
            <w:pPr>
              <w:spacing w:before="40" w:after="40"/>
            </w:pPr>
            <w:r/>
            <w:r>
              <w:rPr>
                <w:rFonts w:ascii="Calibri" w:hAnsi="Calibri"/>
                <w:b w:val="0"/>
                <w:sz w:val="18"/>
              </w:rPr>
              <w:t>Federal regulations</w:t>
            </w:r>
          </w:p>
          <w:p>
            <w:pPr>
              <w:spacing w:before="20" w:after="20"/>
            </w:pPr>
            <w:r>
              <w:rPr>
                <w:rFonts w:ascii="Calibri" w:hAnsi="Calibri"/>
                <w:b w:val="0"/>
                <w:sz w:val="18"/>
              </w:rPr>
              <w:t>(eCFR)</w:t>
            </w:r>
          </w:p>
        </w:tc>
        <w:tc>
          <w:tcPr>
            <w:tcW w:type="dxa" w:w="2016"/>
            <w:shd w:val="clear" w:color="auto" w:fill="F2F4F8"/>
            <w:vAlign w:val="top"/>
          </w:tcPr>
          <w:p>
            <w:pPr>
              <w:spacing w:before="40" w:after="40"/>
            </w:pPr>
            <w:r/>
            <w:r>
              <w:rPr>
                <w:rFonts w:ascii="Calibri" w:hAnsi="Calibri"/>
                <w:b w:val="0"/>
                <w:sz w:val="18"/>
              </w:rPr>
              <w:t>Web search works -- eCFR is authoritative and current</w:t>
            </w:r>
          </w:p>
        </w:tc>
        <w:tc>
          <w:tcPr>
            <w:tcW w:type="dxa" w:w="2304"/>
            <w:shd w:val="clear" w:color="auto" w:fill="F2F4F8"/>
            <w:vAlign w:val="top"/>
          </w:tcPr>
          <w:p>
            <w:pPr>
              <w:spacing w:before="40" w:after="40"/>
            </w:pPr>
            <w:r/>
            <w:r>
              <w:rPr>
                <w:rFonts w:ascii="Calibri" w:hAnsi="Calibri"/>
                <w:b w:val="0"/>
                <w:sz w:val="18"/>
              </w:rPr>
              <w:t>Same custom instruction as federal statutes. Also note: always check the "last amended" date on eCFR to confirm you have the current version.</w:t>
            </w:r>
          </w:p>
        </w:tc>
        <w:tc>
          <w:tcPr>
            <w:tcW w:type="dxa" w:w="2592"/>
            <w:shd w:val="clear" w:color="auto" w:fill="F2F4F8"/>
            <w:vAlign w:val="top"/>
          </w:tcPr>
          <w:p>
            <w:pPr>
              <w:spacing w:before="40" w:after="40"/>
            </w:pPr>
            <w:r/>
            <w:r>
              <w:rPr>
                <w:rFonts w:ascii="Calibri" w:hAnsi="Calibri"/>
                <w:b w:val="0"/>
                <w:sz w:val="18"/>
              </w:rPr>
              <w:t>Same opening prompt as federal statutes.</w:t>
            </w:r>
          </w:p>
        </w:tc>
        <w:tc>
          <w:tcPr>
            <w:tcW w:type="dxa" w:w="1584"/>
            <w:shd w:val="clear" w:color="auto" w:fill="F2F4F8"/>
            <w:vAlign w:val="top"/>
          </w:tcPr>
          <w:p>
            <w:pPr>
              <w:spacing w:before="40" w:after="40"/>
            </w:pPr>
            <w:r/>
            <w:r>
              <w:rPr>
                <w:rFonts w:ascii="Calibri" w:hAnsi="Calibri"/>
                <w:b w:val="0"/>
                <w:sz w:val="18"/>
              </w:rPr>
              <w:t>Same QC prompt.</w:t>
            </w:r>
          </w:p>
        </w:tc>
      </w:tr>
      <w:tr>
        <w:tc>
          <w:tcPr>
            <w:tcW w:type="dxa" w:w="1584"/>
            <w:shd w:val="clear" w:color="auto" w:fill="FFFFFF"/>
            <w:vAlign w:val="top"/>
          </w:tcPr>
          <w:p>
            <w:pPr>
              <w:spacing w:before="40" w:after="40"/>
            </w:pPr>
            <w:r/>
            <w:r>
              <w:rPr>
                <w:rFonts w:ascii="Calibri" w:hAnsi="Calibri"/>
                <w:b w:val="0"/>
                <w:sz w:val="18"/>
              </w:rPr>
              <w:t>State statutes</w:t>
            </w:r>
          </w:p>
        </w:tc>
        <w:tc>
          <w:tcPr>
            <w:tcW w:type="dxa" w:w="2016"/>
            <w:shd w:val="clear" w:color="auto" w:fill="FFFFFF"/>
            <w:vAlign w:val="top"/>
          </w:tcPr>
          <w:p>
            <w:pPr>
              <w:spacing w:before="40" w:after="40"/>
            </w:pPr>
            <w:r/>
            <w:r>
              <w:rPr>
                <w:rFonts w:ascii="Calibri" w:hAnsi="Calibri"/>
                <w:b w:val="0"/>
                <w:sz w:val="18"/>
              </w:rPr>
              <w:t>Works where the state legislature publishes official full text online (most do)</w:t>
            </w:r>
          </w:p>
        </w:tc>
        <w:tc>
          <w:tcPr>
            <w:tcW w:type="dxa" w:w="2304"/>
            <w:shd w:val="clear" w:color="auto" w:fill="FFFFFF"/>
            <w:vAlign w:val="top"/>
          </w:tcPr>
          <w:p>
            <w:pPr>
              <w:spacing w:before="40" w:after="40"/>
            </w:pPr>
            <w:r/>
            <w:r>
              <w:rPr>
                <w:rFonts w:ascii="Calibri" w:hAnsi="Calibri"/>
                <w:b w:val="0"/>
                <w:sz w:val="18"/>
              </w:rPr>
              <w:t>Confirm the state's official legislative website has complete, authoritative text before opening Claude. Same custom instruction as federal statutes.</w:t>
            </w:r>
          </w:p>
        </w:tc>
        <w:tc>
          <w:tcPr>
            <w:tcW w:type="dxa" w:w="2592"/>
            <w:shd w:val="clear" w:color="auto" w:fill="FFFFFF"/>
            <w:vAlign w:val="top"/>
          </w:tcPr>
          <w:p>
            <w:pPr>
              <w:spacing w:before="40" w:after="40"/>
            </w:pPr>
            <w:r/>
            <w:r>
              <w:rPr>
                <w:rFonts w:ascii="Calibri" w:hAnsi="Calibri"/>
                <w:b w:val="0"/>
                <w:sz w:val="18"/>
              </w:rPr>
              <w:t>Same opening prompt as federal statutes.</w:t>
            </w:r>
          </w:p>
        </w:tc>
        <w:tc>
          <w:tcPr>
            <w:tcW w:type="dxa" w:w="1584"/>
            <w:shd w:val="clear" w:color="auto" w:fill="FFFFFF"/>
            <w:vAlign w:val="top"/>
          </w:tcPr>
          <w:p>
            <w:pPr>
              <w:spacing w:before="40" w:after="40"/>
            </w:pPr>
            <w:r/>
            <w:r>
              <w:rPr>
                <w:rFonts w:ascii="Calibri" w:hAnsi="Calibri"/>
                <w:b w:val="0"/>
                <w:sz w:val="18"/>
              </w:rPr>
              <w:t>Same QC prompt.</w:t>
            </w:r>
          </w:p>
        </w:tc>
      </w:tr>
      <w:tr>
        <w:tc>
          <w:tcPr>
            <w:tcW w:type="dxa" w:w="1584"/>
            <w:shd w:val="clear" w:color="auto" w:fill="F2F4F8"/>
            <w:vAlign w:val="top"/>
          </w:tcPr>
          <w:p>
            <w:pPr>
              <w:spacing w:before="40" w:after="40"/>
            </w:pPr>
            <w:r/>
            <w:r>
              <w:rPr>
                <w:rFonts w:ascii="Calibri" w:hAnsi="Calibri"/>
                <w:b w:val="0"/>
                <w:sz w:val="18"/>
              </w:rPr>
              <w:t>Agency guidance /</w:t>
            </w:r>
          </w:p>
          <w:p>
            <w:pPr>
              <w:spacing w:before="20" w:after="20"/>
            </w:pPr>
            <w:r>
              <w:rPr>
                <w:rFonts w:ascii="Calibri" w:hAnsi="Calibri"/>
                <w:b w:val="0"/>
                <w:sz w:val="18"/>
              </w:rPr>
              <w:t>opinion letters</w:t>
            </w:r>
          </w:p>
        </w:tc>
        <w:tc>
          <w:tcPr>
            <w:tcW w:type="dxa" w:w="2016"/>
            <w:shd w:val="clear" w:color="auto" w:fill="F2F4F8"/>
            <w:vAlign w:val="top"/>
          </w:tcPr>
          <w:p>
            <w:pPr>
              <w:spacing w:before="40" w:after="40"/>
            </w:pPr>
            <w:r/>
            <w:r>
              <w:rPr>
                <w:rFonts w:ascii="Calibri" w:hAnsi="Calibri"/>
                <w:b w:val="0"/>
                <w:sz w:val="18"/>
              </w:rPr>
              <w:t>Works if the agency publishes authoritative full text on its official website -- check first</w:t>
            </w:r>
          </w:p>
        </w:tc>
        <w:tc>
          <w:tcPr>
            <w:tcW w:type="dxa" w:w="2304"/>
            <w:shd w:val="clear" w:color="auto" w:fill="F2F4F8"/>
            <w:vAlign w:val="top"/>
          </w:tcPr>
          <w:p>
            <w:pPr>
              <w:spacing w:before="40" w:after="40"/>
            </w:pPr>
            <w:r/>
            <w:r>
              <w:rPr>
                <w:rFonts w:ascii="Calibri" w:hAnsi="Calibri"/>
                <w:b w:val="0"/>
                <w:sz w:val="18"/>
              </w:rPr>
              <w:t>Confirm the agency's official website has the complete document. If yes, proceed with web search. If no, download it and upload to Claude before starting.⁸</w:t>
            </w:r>
          </w:p>
        </w:tc>
        <w:tc>
          <w:tcPr>
            <w:tcW w:type="dxa" w:w="2592"/>
            <w:shd w:val="clear" w:color="auto" w:fill="F2F4F8"/>
            <w:vAlign w:val="top"/>
          </w:tcPr>
          <w:p>
            <w:pPr>
              <w:spacing w:before="40" w:after="40"/>
            </w:pPr>
            <w:r/>
            <w:r>
              <w:rPr>
                <w:rFonts w:ascii="Calibri" w:hAnsi="Calibri"/>
                <w:b w:val="0"/>
                <w:sz w:val="18"/>
              </w:rPr>
              <w:t>If web-accessible: same opening prompt as federal statutes.</w:t>
            </w:r>
          </w:p>
          <w:p>
            <w:pPr>
              <w:spacing w:before="20" w:after="20"/>
            </w:pPr>
            <w:r>
              <w:rPr>
                <w:rFonts w:ascii="Calibri" w:hAnsi="Calibri"/>
                <w:b w:val="0"/>
                <w:sz w:val="18"/>
              </w:rPr>
              <w:t>If working from uploaded documents: same opening prompt as case law.</w:t>
            </w:r>
          </w:p>
        </w:tc>
        <w:tc>
          <w:tcPr>
            <w:tcW w:type="dxa" w:w="1584"/>
            <w:shd w:val="clear" w:color="auto" w:fill="F2F4F8"/>
            <w:vAlign w:val="top"/>
          </w:tcPr>
          <w:p>
            <w:pPr>
              <w:spacing w:before="40" w:after="40"/>
            </w:pPr>
            <w:r/>
            <w:r>
              <w:rPr>
                <w:rFonts w:ascii="Calibri" w:hAnsi="Calibri"/>
                <w:b w:val="0"/>
                <w:sz w:val="18"/>
              </w:rPr>
              <w:t>Same QC prompt.</w:t>
            </w:r>
          </w:p>
        </w:tc>
      </w:tr>
    </w:tbl>
    <w:p/>
    <w:p>
      <w:pPr>
        <w:pStyle w:val="Heading2"/>
      </w:pPr>
      <w:r>
        <w:rPr>
          <w:rFonts w:ascii="Calibri" w:hAnsi="Calibri"/>
          <w:color w:val="1F3564"/>
        </w:rPr>
        <w:t>The three prompts, ready to copy</w:t>
      </w:r>
    </w:p>
    <w:p>
      <w:pPr>
        <w:spacing w:before="0" w:after="40"/>
      </w:pPr>
      <w:r>
        <w:rPr>
          <w:rFonts w:ascii="Calibri" w:hAnsi="Calibri"/>
          <w:b/>
          <w:sz w:val="20"/>
        </w:rPr>
        <w:t>Opening prompt -- web research (statutes, regulations, accessible agency guidance):</w:t>
      </w:r>
    </w:p>
    <w:p>
      <w:pPr>
        <w:spacing w:before="80" w:after="80"/>
        <w:ind w:left="576" w:right="576"/>
        <w:pBdr>
          <w:left w:val="single" w:sz="4" w:space="4" w:color="888888"/>
        </w:pBdr>
      </w:pPr>
      <w:r>
        <w:rPr>
          <w:rFonts w:ascii="Calibri" w:hAnsi="Calibri"/>
          <w:i/>
          <w:sz w:val="20"/>
        </w:rPr>
        <w:t>Before stating anything as true, retrieve it from an official source. For every claim you make, include an inline citation with a direct link to the source. If you cannot verify something from an official government source, label it explicitly as [UNVERIFIED] rather than stating it as fact. End your response with a Verification Notes section listing what you checked and where.</w:t>
      </w:r>
    </w:p>
    <w:p/>
    <w:p>
      <w:pPr>
        <w:spacing w:before="0" w:after="40"/>
      </w:pPr>
      <w:r>
        <w:rPr>
          <w:rFonts w:ascii="Calibri" w:hAnsi="Calibri"/>
          <w:b/>
          <w:sz w:val="20"/>
        </w:rPr>
        <w:t>Opening prompt -- uploaded documents (case law, downloaded agency docs):</w:t>
      </w:r>
    </w:p>
    <w:p>
      <w:pPr>
        <w:spacing w:before="80" w:after="80"/>
        <w:ind w:left="576" w:right="576"/>
        <w:pBdr>
          <w:left w:val="single" w:sz="4" w:space="4" w:color="888888"/>
        </w:pBdr>
      </w:pPr>
      <w:r>
        <w:rPr>
          <w:rFonts w:ascii="Calibri" w:hAnsi="Calibri"/>
          <w:i/>
          <w:sz w:val="20"/>
        </w:rPr>
        <w:t>Answer only from the documents I have provided and any online sources you can actually access and read in this session. Do not use background knowledge or fill in gaps from memory. For every statement, classify it as: EXPRESSLY STATED (directly in my documents) / VERIFIED ONLINE (you retrieved and read the source) / SUPPORTED (consistent with materials but not directly stated) / NOT FOUND (not in the materials) / INFERENCE (your reasoning, not sourced). Label each claim accordingly.</w:t>
      </w:r>
    </w:p>
    <w:p/>
    <w:p>
      <w:pPr>
        <w:spacing w:before="0" w:after="40"/>
      </w:pPr>
      <w:r>
        <w:rPr>
          <w:rFonts w:ascii="Calibri" w:hAnsi="Calibri"/>
          <w:b/>
          <w:sz w:val="20"/>
        </w:rPr>
        <w:t>Before distribution (all research types):</w:t>
      </w:r>
    </w:p>
    <w:p>
      <w:pPr>
        <w:spacing w:before="80" w:after="80"/>
        <w:ind w:left="576" w:right="576"/>
        <w:pBdr>
          <w:left w:val="single" w:sz="4" w:space="4" w:color="888888"/>
        </w:pBdr>
      </w:pPr>
      <w:r>
        <w:rPr>
          <w:rFonts w:ascii="Calibri" w:hAnsi="Calibri"/>
          <w:i/>
          <w:sz w:val="20"/>
        </w:rPr>
        <w:t>Take an adversarial stance toward this document. Treat every claim, citation, and legal proposition as unverified until you can confirm it against an official source. Flag everything that is unsupported, missing a citation, or missing a required disclaimer. Rate each issue by severity: Critical (legal error, fabricated citation, or wrong holding) / High (unsupported claim) / Medium (missing context or qualification) / Low (minor). End with a verdict: READY / NEEDS REVISION / MAJOR CORRECTIONS REQUIRED.</w:t>
      </w:r>
    </w:p>
    <w:p/>
    <w:p>
      <w:pPr>
        <w:spacing w:before="120" w:after="120"/>
        <w:pBdr>
          <w:bottom w:val="single" w:sz="4" w:space="1" w:color="AAAAAA"/>
        </w:pBdr>
      </w:pPr>
    </w:p>
    <w:p>
      <w:pPr>
        <w:spacing w:before="40" w:after="80"/>
      </w:pPr>
      <w:r>
        <w:rPr>
          <w:rFonts w:ascii="Calibri" w:hAnsi="Calibri"/>
          <w:sz w:val="18"/>
          <w:vertAlign w:val="superscript"/>
        </w:rPr>
        <w:t>¹</w:t>
      </w:r>
      <w:r>
        <w:rPr>
          <w:rFonts w:ascii="Calibri" w:hAnsi="Calibri"/>
          <w:sz w:val="18"/>
        </w:rPr>
        <w:t xml:space="preserve"> Damien Charlotin, AI Hallucination Cases Database, filtered: USA, attorney filer, excluding pro se litigants and judicial authors, last updated May 30, 2026. damiencharlotin.com/hallucinations/.</w:t>
      </w:r>
    </w:p>
    <w:p>
      <w:pPr>
        <w:spacing w:before="40" w:after="80"/>
      </w:pPr>
      <w:r>
        <w:rPr>
          <w:rFonts w:ascii="Calibri" w:hAnsi="Calibri"/>
          <w:sz w:val="18"/>
          <w:vertAlign w:val="superscript"/>
        </w:rPr>
        <w:t>²</w:t>
      </w:r>
      <w:r>
        <w:rPr>
          <w:rFonts w:ascii="Calibri" w:hAnsi="Calibri"/>
          <w:sz w:val="18"/>
        </w:rPr>
        <w:t xml:space="preserve"> It is unclear whether the firm's licensing agreements with Westlaw and LexisNexis permit uploading retrieved content into third-party AI tools. If you know where this has been addressed, please flag it to the group.</w:t>
      </w:r>
    </w:p>
    <w:p>
      <w:pPr>
        <w:spacing w:before="40" w:after="80"/>
      </w:pPr>
      <w:r>
        <w:rPr>
          <w:rFonts w:ascii="Calibri" w:hAnsi="Calibri"/>
          <w:sz w:val="18"/>
          <w:vertAlign w:val="superscript"/>
        </w:rPr>
        <w:t>³</w:t>
      </w:r>
      <w:r>
        <w:rPr>
          <w:rFonts w:ascii="Calibri" w:hAnsi="Calibri"/>
          <w:sz w:val="18"/>
        </w:rPr>
        <w:t xml:space="preserve"> Avoid opening prompts with a role assignment ("You are an experienced litigation attorney") without substantive context. Empirical research finds that expert persona instructions on factual tasks are either null or harmful to accuracy. The model focuses on sounding like an expert rather than being accurate. Zheng et al., "When 'A Helpful Assistant' Is Not Really Helpful," EMNLP 2024 (arXiv:2311.10054); Hu et al., PRISM, USC 2026. If you are uploading documents, the context does the work. Skip the persona.</w:t>
      </w:r>
    </w:p>
    <w:p>
      <w:pPr>
        <w:spacing w:before="40" w:after="80"/>
      </w:pPr>
      <w:r>
        <w:rPr>
          <w:rFonts w:ascii="Calibri" w:hAnsi="Calibri"/>
          <w:sz w:val="18"/>
          <w:vertAlign w:val="superscript"/>
        </w:rPr>
        <w:t>⁴</w:t>
      </w:r>
      <w:r>
        <w:rPr>
          <w:rFonts w:ascii="Calibri" w:hAnsi="Calibri"/>
          <w:sz w:val="18"/>
        </w:rPr>
        <w:t xml:space="preserve"> Ziwei Ji et al., Survey of Hallucination in Natural Language Generation, 55 ACM Computing Survs. (2023), https://doi.org/10.1145/3571730. The authors identify parametric knowledge bias as a hallucination cause, noting that models "prioritize parametric knowledge over the provided input." Id. §3.2.</w:t>
      </w:r>
    </w:p>
    <w:p>
      <w:pPr>
        <w:spacing w:before="40" w:after="80"/>
      </w:pPr>
      <w:r>
        <w:rPr>
          <w:rFonts w:ascii="Calibri" w:hAnsi="Calibri"/>
          <w:sz w:val="18"/>
          <w:vertAlign w:val="superscript"/>
        </w:rPr>
        <w:t>⁵</w:t>
      </w:r>
      <w:r>
        <w:rPr>
          <w:rFonts w:ascii="Calibri" w:hAnsi="Calibri"/>
          <w:sz w:val="18"/>
        </w:rPr>
        <w:t xml:space="preserve"> Lei Huang et al., A Survey on Hallucination in Large Language Models: Principles, Taxonomy, Challenges, and Open Questions §§3.1.2, 3.2.1 (Nov. 9, 2023) (unpublished manuscript), https://arxiv.org/abs/2311.05232. On the training-inference mismatch: during training "ground truth tokens are provided as input. However, during inference, the model relies on its own generated tokens." Id. §3.2.1. On knowledge shortcuts: models "tend to overly depend on positional close, co-occurrence statistics." Id. §3.1.2.</w:t>
      </w:r>
    </w:p>
    <w:p>
      <w:pPr>
        <w:spacing w:before="40" w:after="80"/>
      </w:pPr>
      <w:r>
        <w:rPr>
          <w:rFonts w:ascii="Calibri" w:hAnsi="Calibri"/>
          <w:sz w:val="18"/>
          <w:vertAlign w:val="superscript"/>
        </w:rPr>
        <w:t>⁶</w:t>
      </w:r>
      <w:r>
        <w:rPr>
          <w:rFonts w:ascii="Calibri" w:hAnsi="Calibri"/>
          <w:sz w:val="18"/>
        </w:rPr>
        <w:t xml:space="preserve"> Varun Magesh et al., Hallucination-Free? Assessing the Reliability of Leading AI Legal Research Tools §3.2 (May 31, 2024) (unpublished manuscript), https://arxiv.org/abs/2405.20362 ("[T]he LLM may have been trained on a much greater volume of text supporting the broadly applicable rule, and may be more faithful to its training data than to the retrieval context."). Published in J. Empirical Legal Stud. (2025), https://doi.org/10.1111/jels.12413.</w:t>
      </w:r>
    </w:p>
    <w:p>
      <w:pPr>
        <w:spacing w:before="40" w:after="80"/>
      </w:pPr>
      <w:r>
        <w:rPr>
          <w:rFonts w:ascii="Calibri" w:hAnsi="Calibri"/>
          <w:sz w:val="18"/>
          <w:vertAlign w:val="superscript"/>
        </w:rPr>
        <w:t>⁷</w:t>
      </w:r>
      <w:r>
        <w:rPr>
          <w:rFonts w:ascii="Calibri" w:hAnsi="Calibri"/>
          <w:sz w:val="18"/>
        </w:rPr>
        <w:t xml:space="preserve"> Two additional analogies. The first-year associate: imagine a first-year associate who has read every reported case in the Federal Reporter but has no Westlaw access. Ask them to cite three cases supporting your argument and they produce citations that sound exactly right: correct circuit, correct era, correct legal issue. They are not fabricating. They are pattern-matching from everything they have read. The citations may not exist. You cannot tell from the surface. The reconstructed transcript: imagine a court reporter who loses their notes after a deposition. Having transcribed thousands of depositions, they reconstruct the transcript from memory. The result looks exactly like a real transcript: correct format, sequential page numbers, Q and A. Parts are confabulation. You cannot tell which is which from the face of the document. The only way to know is to find the actual record.</w:t>
      </w:r>
    </w:p>
    <w:p>
      <w:pPr>
        <w:spacing w:before="40" w:after="80"/>
      </w:pPr>
      <w:r>
        <w:rPr>
          <w:rFonts w:ascii="Calibri" w:hAnsi="Calibri"/>
          <w:sz w:val="18"/>
          <w:vertAlign w:val="superscript"/>
        </w:rPr>
        <w:t>⁸</w:t>
      </w:r>
      <w:r>
        <w:rPr>
          <w:rFonts w:ascii="Calibri" w:hAnsi="Calibri"/>
          <w:sz w:val="18"/>
        </w:rPr>
        <w:t xml:space="preserve"> See footnote 2 regarding licensing terms.</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