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87A15" w:rsidR="00F87A15" w:rsidP="00F87A15" w:rsidRDefault="00F87A15" w14:paraId="1AF1A92A" w14:textId="18FC2384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>Contexto</w:t>
      </w:r>
    </w:p>
    <w:p w:rsidRPr="00F87A15" w:rsidR="00F87A15" w:rsidP="0E6F4887" w:rsidRDefault="00F87A15" w14:paraId="1E8A01A4" w14:textId="1B47934D">
      <w:pPr>
        <w:spacing w:before="100" w:beforeAutospacing="on" w:after="100" w:afterAutospacing="on"/>
        <w:jc w:val="both"/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</w:pP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En el Sistema General de Seguridad Social en Salud (SGSSS), la 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prestación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del servicio de salud usualmente se da mediante un acuerdo contractual entre las aseguradoras, como son las Entidades Administradoras de Planes de Beneficios de Salud (EAPB), y los entes que prestan el servicio, como son las instituciones prestadoras de servicios de salud (IPS). Los mecanismos de pago de la 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ejecución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del contrato pueden darse de dos formas: </w:t>
      </w:r>
      <w:r w:rsidRPr="0E6F4887" w:rsidR="00F87A15">
        <w:rPr>
          <w:rFonts w:eastAsia="Times New Roman" w:cs="Calibri" w:cstheme="minorAscii"/>
          <w:i w:val="1"/>
          <w:iCs w:val="1"/>
          <w:kern w:val="0"/>
          <w:sz w:val="22"/>
          <w:szCs w:val="22"/>
          <w:lang w:eastAsia="es-MX"/>
          <w14:ligatures w14:val="none"/>
        </w:rPr>
        <w:t xml:space="preserve">retrospectivo 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y </w:t>
      </w:r>
      <w:r w:rsidRPr="0E6F4887" w:rsidR="00F87A15">
        <w:rPr>
          <w:rFonts w:eastAsia="Times New Roman" w:cs="Calibri" w:cstheme="minorAscii"/>
          <w:i w:val="1"/>
          <w:iCs w:val="1"/>
          <w:kern w:val="0"/>
          <w:sz w:val="22"/>
          <w:szCs w:val="22"/>
          <w:lang w:eastAsia="es-MX"/>
          <w14:ligatures w14:val="none"/>
        </w:rPr>
        <w:t>prospectivo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. Cuando el pago es posterior a la 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prestación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del servicio, y está relacionado con la 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atención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de salud individual (actividad), por cada persona atendida, liquidada por el valor establecido contractualmente, se habla de pago retrospectivo. Por otra parte, cuando el pago se realiza antes de la 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prestación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del servicio se habla de pago prospectivo, y está relacionado con las atenciones de salud, por una cohorte poblacional determinada, liquidada por el producto del valor establecido por la frecuencia de las atenciones o la cantidad de 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población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. </w:t>
      </w:r>
      <w:r w:rsidRPr="0E6F4887" w:rsidR="6F5D403A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La modalidad de Pago Global Prospectivo (PGP) requiere una optimización de recursos para atender eficazmente y eficientemente a la población asignada.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</w:t>
      </w:r>
    </w:p>
    <w:p w:rsidRPr="00F87A15" w:rsidR="00F87A15" w:rsidP="00F87A15" w:rsidRDefault="00F87A15" w14:paraId="2F6DB7C3" w14:textId="2700568F">
      <w:p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Cuando la </w:t>
      </w:r>
      <w:r w:rsidRPr="00F87A1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>población</w:t>
      </w:r>
      <w:r w:rsidRPr="00F87A1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 </w:t>
      </w:r>
      <w:r w:rsidRPr="00F87A1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>crónica</w:t>
      </w:r>
      <w:r w:rsidRPr="00F87A15">
        <w:rPr>
          <w:rFonts w:eastAsia="Times New Roman" w:cstheme="minorHAnsi"/>
          <w:b/>
          <w:bCs/>
          <w:kern w:val="0"/>
          <w:sz w:val="22"/>
          <w:szCs w:val="22"/>
          <w:lang w:eastAsia="es-MX"/>
          <w14:ligatures w14:val="none"/>
        </w:rPr>
        <w:t xml:space="preserve">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ingresa bajo la modalidad de pago global prospectivo (PGP) al Hospital Alma Máter de Antioquia, se realiza una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atención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previa por parte del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médico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general para definir la “clase funcional” del paciente y, de esta manera, definir la modalidad para el tratamiento (ambulatorio o domiciliario). Esta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clasificación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, permite una lectura de las necesidades, capacidades, habilidades y potencialidades de la persona y su familia que puedan fortalecerse, para contribuir a optimizar y mantener las mejores condiciones de salud posibles. </w:t>
      </w:r>
    </w:p>
    <w:p w:rsidRPr="00F87A15" w:rsidR="00F87A15" w:rsidP="00F87A15" w:rsidRDefault="00F87A15" w14:paraId="1F2F7CBF" w14:textId="0CBC99EA">
      <w:p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La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clasificación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funcional se aplica a todo paciente que ingrese como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población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asignada, se tienen en cuenta tres variables: </w:t>
      </w:r>
    </w:p>
    <w:p w:rsidRPr="00F87A15" w:rsidR="00F87A15" w:rsidP="00F87A15" w:rsidRDefault="00F87A15" w14:paraId="7BD17B1B" w14:textId="7777777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Estado funcional: Apoyo mono podal, fragilidad de Gröningen, Velocidad de la marcha. </w:t>
      </w:r>
    </w:p>
    <w:p w:rsidRPr="00F87A15" w:rsidR="00F87A15" w:rsidP="00F87A15" w:rsidRDefault="00F87A15" w14:paraId="2E6CC534" w14:textId="7777777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Control de la morbilidad </w:t>
      </w:r>
    </w:p>
    <w:p w:rsidRPr="00F87A15" w:rsidR="00F87A15" w:rsidP="00F87A15" w:rsidRDefault="00F87A15" w14:paraId="1DD62240" w14:textId="7777777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Factores de riesgo. </w:t>
      </w:r>
    </w:p>
    <w:p w:rsidRPr="00F87A15" w:rsidR="00F87A15" w:rsidP="00F87A15" w:rsidRDefault="00F87A15" w14:paraId="3AECBA3B" w14:textId="75250C87">
      <w:p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Las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categorías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la clase funcional son: </w:t>
      </w:r>
    </w:p>
    <w:p w:rsidRPr="00F87A15" w:rsidR="00F87A15" w:rsidP="002B473A" w:rsidRDefault="00F87A15" w14:paraId="78F5EB88" w14:textId="6B739514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Clase Funcional 1: Se puede definir como paciente con morbilidad controlada, estado funcional adecuado y factores de riesgos controlados o ausentes. </w:t>
      </w:r>
    </w:p>
    <w:p w:rsidRPr="00F87A15" w:rsidR="00F87A15" w:rsidP="00FF4DDE" w:rsidRDefault="00F87A15" w14:paraId="445F1387" w14:textId="2FD9A1D1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Clase Funcional 2A: Morbilidad controlada, estado funcional adecuado y uno o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más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factores de riesgo presentes no controlados. </w:t>
      </w:r>
    </w:p>
    <w:p w:rsidRPr="00F87A15" w:rsidR="00F87A15" w:rsidP="009827AC" w:rsidRDefault="00F87A15" w14:paraId="69F214A1" w14:textId="19CBE441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Clase Funcional 2B: Se puede definir como estado funcional adecuado, una o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más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morbilidades NO controladas, y/o uno o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más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factores de riesgo presente. </w:t>
      </w:r>
    </w:p>
    <w:p w:rsidRPr="00F87A15" w:rsidR="00F87A15" w:rsidP="00303239" w:rsidRDefault="00F87A15" w14:paraId="494BC4BF" w14:textId="412A4E40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Clase Funcional 3: Se define como estado funcional alterado (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alteración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de apoyo monopodal y velocidad de recorrido) y/o una o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más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morbilidades NO controladas. </w:t>
      </w:r>
    </w:p>
    <w:p w:rsidRPr="00F87A15" w:rsidR="00F87A15" w:rsidP="0E6F4887" w:rsidRDefault="00F87A15" w14:paraId="5A24F20B" w14:textId="52CEDA19" w14:noSpellErr="1">
      <w:pPr>
        <w:numPr>
          <w:ilvl w:val="0"/>
          <w:numId w:val="4"/>
        </w:numPr>
        <w:spacing w:before="100" w:beforeAutospacing="on" w:after="100" w:afterAutospacing="on"/>
        <w:jc w:val="both"/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</w:pP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Clase Funcional 4: Se define sin estado funcional, teniendo en cuenta la 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aplicación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</w:t>
      </w:r>
      <w:bookmarkStart w:name="_Int_Duti3kYp" w:id="521776520"/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del test</w:t>
      </w:r>
      <w:bookmarkEnd w:id="521776520"/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de fragilidad (es un paciente 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frágil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). Este paciente se 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remitirá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́ a 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atención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domiciliaria </w:t>
      </w:r>
    </w:p>
    <w:p w:rsidRPr="00F87A15" w:rsidR="00F87A15" w:rsidP="0E6F4887" w:rsidRDefault="00F87A15" w14:paraId="56666749" w14:textId="7BA78449">
      <w:pPr>
        <w:spacing w:before="100" w:beforeAutospacing="on" w:after="100" w:afterAutospacing="on"/>
        <w:ind w:left="360"/>
        <w:jc w:val="both"/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</w:pP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A los pacientes clase 1, 2A, 2B y 3 se le </w:t>
      </w:r>
      <w:r w:rsidRPr="0E6F4887" w:rsidR="53614C4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aplicarán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todas las actividades de tratamiento y control de factores de riesgo en la modalidad ambulatoria. Las frecuencias de uso para actividades grupales y asistenciales dependen de la clase funcional. </w:t>
      </w:r>
    </w:p>
    <w:p w:rsidRPr="00F87A15" w:rsidR="00F87A15" w:rsidP="00F87A15" w:rsidRDefault="00F87A15" w14:paraId="5C1BD5E2" w14:textId="1F19BFB8">
      <w:p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Mensualmente, la aseguradora (Nueva EPS)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envía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un listado de la 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población</w:t>
      </w: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perteneciente a la cohorte del mes en curso bajo la modalidad de PGP. </w:t>
      </w:r>
    </w:p>
    <w:p w:rsidRPr="00F87A15" w:rsidR="00F87A15" w:rsidP="0E6F4887" w:rsidRDefault="00F87A15" w14:paraId="32E935DD" w14:textId="3D2BCAA0">
      <w:pPr>
        <w:spacing w:before="100" w:beforeAutospacing="on" w:after="100" w:afterAutospacing="on"/>
        <w:jc w:val="both"/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</w:pP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Para la 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población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que hace parte de este contrato se requiere predecir el uso mensual de recursos traducido en 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hospitalización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</w:t>
      </w:r>
      <w:r w:rsidRPr="0E6F4887" w:rsidR="4E22BC66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d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e acuerdo con la clase funcional a la que pertenece el paciente. </w:t>
      </w:r>
    </w:p>
    <w:p w:rsidRPr="00F87A15" w:rsidR="00F87A15" w:rsidP="0E6F4887" w:rsidRDefault="00F87A15" w14:paraId="37C4354E" w14:textId="2E432D10">
      <w:pPr>
        <w:spacing w:before="100" w:beforeAutospacing="on" w:after="100" w:afterAutospacing="on"/>
        <w:jc w:val="both"/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</w:pP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Para la 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>realización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de este reto se </w:t>
      </w:r>
      <w:r w:rsidRPr="0E6F4887" w:rsidR="7E247818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entregarán</w:t>
      </w:r>
      <w:r w:rsidRPr="0E6F4887" w:rsidR="00F87A15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las siguientes bases de datos, pertenecientes a los periodos de enero de 2017 a junio del 2022</w:t>
      </w:r>
      <w:r w:rsidRPr="0E6F4887" w:rsidR="7B236E4E">
        <w:rPr>
          <w:rFonts w:eastAsia="Times New Roman" w:cs="Calibri" w:cstheme="minorAscii"/>
          <w:kern w:val="0"/>
          <w:sz w:val="22"/>
          <w:szCs w:val="22"/>
          <w:lang w:eastAsia="es-MX"/>
          <w14:ligatures w14:val="none"/>
        </w:rPr>
        <w:t xml:space="preserve"> y </w:t>
      </w:r>
      <w:r w:rsidRPr="0E6F4887" w:rsidR="7B236E4E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SOLO SE </w:t>
      </w:r>
      <w:r w:rsidRPr="0E6F4887" w:rsidR="6FFDF895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ANALIZARÁ</w:t>
      </w:r>
      <w:r w:rsidRPr="0E6F4887" w:rsidR="64A7D0C7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 LA ESTANCIA HOSPITALARIA DE</w:t>
      </w:r>
      <w:r w:rsidRPr="0E6F4887" w:rsidR="7B236E4E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 LAS PERSONAS ADULTAS MAYORES DE 60 A</w:t>
      </w:r>
      <w:r w:rsidRPr="0E6F4887" w:rsidR="774445A8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Ñ</w:t>
      </w:r>
      <w:r w:rsidRPr="0E6F4887" w:rsidR="7B236E4E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OS</w:t>
      </w:r>
      <w:r w:rsidRPr="0E6F4887" w:rsidR="1969486F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 CON ESTADO CRONICO</w:t>
      </w:r>
      <w:r w:rsidRPr="0E6F4887" w:rsidR="00F87A15">
        <w:rPr>
          <w:rFonts w:eastAsia="Times New Roman" w:cs="Calibri" w:cstheme="minorAscii"/>
          <w:b w:val="1"/>
          <w:bCs w:val="1"/>
          <w:kern w:val="0"/>
          <w:sz w:val="22"/>
          <w:szCs w:val="22"/>
          <w:lang w:eastAsia="es-MX"/>
          <w14:ligatures w14:val="none"/>
        </w:rPr>
        <w:t xml:space="preserve">: </w:t>
      </w:r>
    </w:p>
    <w:p w:rsidRPr="00F87A15" w:rsidR="00F87A15" w:rsidP="00F87A15" w:rsidRDefault="00F87A15" w14:paraId="7D3DB8E4" w14:textId="77777777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-  Base de egresos hospitalarios (RETO_df_egresos.csv): </w:t>
      </w:r>
    </w:p>
    <w:p w:rsidRPr="00F87A15" w:rsidR="00F87A15" w:rsidP="00FD6448" w:rsidRDefault="00F87A15" w14:paraId="26CF5EE3" w14:textId="453DDFE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-  Base de datos de </w:t>
      </w:r>
      <w:proofErr w:type="spellStart"/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crónico</w:t>
      </w:r>
      <w:proofErr w:type="spellEnd"/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(RETO_df_cronicos.csv): </w:t>
      </w:r>
    </w:p>
    <w:p w:rsidRPr="00F87A15" w:rsidR="00F87A15" w:rsidP="00104388" w:rsidRDefault="00F87A15" w14:paraId="1F590367" w14:textId="1BD74B1C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</w:pPr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-  Base de datos con el listado de la </w:t>
      </w:r>
      <w:proofErr w:type="spellStart"/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>población</w:t>
      </w:r>
      <w:proofErr w:type="spellEnd"/>
      <w:r w:rsidRPr="00F87A15">
        <w:rPr>
          <w:rFonts w:eastAsia="Times New Roman" w:cstheme="minorHAnsi"/>
          <w:kern w:val="0"/>
          <w:sz w:val="22"/>
          <w:szCs w:val="22"/>
          <w:lang w:eastAsia="es-MX"/>
          <w14:ligatures w14:val="none"/>
        </w:rPr>
        <w:t xml:space="preserve"> perteneciente a la cohorte mensualmente (RETO_df_usuarios.csv) </w:t>
      </w:r>
    </w:p>
    <w:p w:rsidRPr="00F87A15" w:rsidR="00622DC3" w:rsidP="00F87A15" w:rsidRDefault="00622DC3" w14:paraId="215DD405" w14:textId="68C2EF39">
      <w:pPr>
        <w:rPr>
          <w:rFonts w:cstheme="minorHAnsi"/>
          <w:sz w:val="22"/>
          <w:szCs w:val="22"/>
        </w:rPr>
      </w:pPr>
    </w:p>
    <w:sectPr w:rsidRPr="00F87A15" w:rsidR="00622DC3" w:rsidSect="007D2885">
      <w:headerReference w:type="default" r:id="rId7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2885" w:rsidP="007D2885" w:rsidRDefault="007D2885" w14:paraId="71D6ED90" w14:textId="77777777">
      <w:r>
        <w:separator/>
      </w:r>
    </w:p>
  </w:endnote>
  <w:endnote w:type="continuationSeparator" w:id="0">
    <w:p w:rsidR="007D2885" w:rsidP="007D2885" w:rsidRDefault="007D2885" w14:paraId="1BEC61E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2885" w:rsidP="007D2885" w:rsidRDefault="007D2885" w14:paraId="0278B0AA" w14:textId="77777777">
      <w:r>
        <w:separator/>
      </w:r>
    </w:p>
  </w:footnote>
  <w:footnote w:type="continuationSeparator" w:id="0">
    <w:p w:rsidR="007D2885" w:rsidP="007D2885" w:rsidRDefault="007D2885" w14:paraId="167B616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D2885" w:rsidR="007D2885" w:rsidP="007D2885" w:rsidRDefault="007D2885" w14:paraId="7863A98E" w14:textId="6E42F79E">
    <w:pPr>
      <w:spacing w:before="100" w:beforeAutospacing="1" w:after="100" w:afterAutospacing="1"/>
      <w:rPr>
        <w:rFonts w:eastAsia="Times New Roman" w:cstheme="minorHAnsi"/>
        <w:kern w:val="0"/>
        <w:sz w:val="22"/>
        <w:szCs w:val="22"/>
        <w:lang w:eastAsia="es-MX"/>
        <w14:ligatures w14:val="none"/>
      </w:rPr>
    </w:pPr>
    <w:r w:rsidRPr="007D2885">
      <w:rPr>
        <w:rFonts w:eastAsia="Times New Roman" w:cstheme="minorHAnsi"/>
        <w:noProof/>
        <w:kern w:val="0"/>
        <w:sz w:val="22"/>
        <w:szCs w:val="22"/>
        <w:lang w:eastAsia="es-MX"/>
        <w14:ligatures w14:val="none"/>
      </w:rPr>
      <w:drawing>
        <wp:anchor distT="0" distB="0" distL="114300" distR="114300" simplePos="0" relativeHeight="251658240" behindDoc="0" locked="0" layoutInCell="1" allowOverlap="1" wp14:anchorId="6EDD9FD6" wp14:editId="0492527B">
          <wp:simplePos x="0" y="0"/>
          <wp:positionH relativeFrom="margin">
            <wp:posOffset>-200554</wp:posOffset>
          </wp:positionH>
          <wp:positionV relativeFrom="margin">
            <wp:posOffset>-1072515</wp:posOffset>
          </wp:positionV>
          <wp:extent cx="702945" cy="790575"/>
          <wp:effectExtent l="0" t="0" r="0" b="0"/>
          <wp:wrapSquare wrapText="bothSides"/>
          <wp:docPr id="1444686395" name="Imagen 1" descr="page2image2016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2image201648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D2885">
      <w:rPr>
        <w:rFonts w:eastAsia="Times New Roman" w:cstheme="minorHAnsi"/>
        <w:kern w:val="0"/>
        <w:sz w:val="22"/>
        <w:szCs w:val="22"/>
        <w:lang w:eastAsia="es-MX"/>
        <w14:ligatures w14:val="none"/>
      </w:rPr>
      <w:fldChar w:fldCharType="begin"/>
    </w:r>
    <w:r w:rsidRPr="007D2885">
      <w:rPr>
        <w:rFonts w:eastAsia="Times New Roman" w:cstheme="minorHAnsi"/>
        <w:kern w:val="0"/>
        <w:sz w:val="22"/>
        <w:szCs w:val="22"/>
        <w:lang w:eastAsia="es-MX"/>
        <w14:ligatures w14:val="none"/>
      </w:rPr>
      <w:instrText xml:space="preserve"> INCLUDEPICTURE "/Users/olgausuga/Library/Group Containers/UBF8T346G9.ms/WebArchiveCopyPasteTempFiles/com.microsoft.Word/page2image2016480" \* MERGEFORMATINET </w:instrText>
    </w:r>
    <w:r w:rsidR="00192470">
      <w:rPr>
        <w:rFonts w:eastAsia="Times New Roman" w:cstheme="minorHAnsi"/>
        <w:kern w:val="0"/>
        <w:sz w:val="22"/>
        <w:szCs w:val="22"/>
        <w:lang w:eastAsia="es-MX"/>
        <w14:ligatures w14:val="none"/>
      </w:rPr>
      <w:fldChar w:fldCharType="separate"/>
    </w:r>
    <w:r w:rsidRPr="007D2885">
      <w:rPr>
        <w:rFonts w:eastAsia="Times New Roman" w:cstheme="minorHAnsi"/>
        <w:kern w:val="0"/>
        <w:sz w:val="22"/>
        <w:szCs w:val="22"/>
        <w:lang w:eastAsia="es-MX"/>
        <w14:ligatures w14:val="none"/>
      </w:rPr>
      <w:fldChar w:fldCharType="end"/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t>Facultad de Ingeniería</w:t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br/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t>Departamento de Ingeniería Industrial Aplicaciones en analítica</w:t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br/>
    </w:r>
    <w:r w:rsidRPr="007D2885">
      <w:rPr>
        <w:rFonts w:eastAsia="Times New Roman" w:cstheme="minorHAnsi"/>
        <w:b/>
        <w:bCs/>
        <w:color w:val="666666"/>
        <w:kern w:val="0"/>
        <w:sz w:val="22"/>
        <w:szCs w:val="22"/>
        <w:lang w:eastAsia="es-MX"/>
        <w14:ligatures w14:val="none"/>
      </w:rPr>
      <w:t xml:space="preserve">Analítica en Operaciones - Salud </w:t>
    </w:r>
  </w:p>
  <w:p w:rsidR="007D2885" w:rsidP="007D2885" w:rsidRDefault="007D2885" w14:paraId="4469C988" w14:textId="47E69C2A">
    <w:pPr>
      <w:pStyle w:val="Encabezado"/>
      <w:jc w:val="both"/>
    </w:pPr>
  </w:p>
</w:hdr>
</file>

<file path=word/intelligence2.xml><?xml version="1.0" encoding="utf-8"?>
<int2:intelligence xmlns:int2="http://schemas.microsoft.com/office/intelligence/2020/intelligence">
  <int2:observations>
    <int2:textHash int2:hashCode="KHQvd5i3+rDlCa" int2:id="bKyTvk2M">
      <int2:state int2:type="AugLoop_Text_Critique" int2:value="Rejected"/>
    </int2:textHash>
    <int2:textHash int2:hashCode="Ha8OujEWGxX7nN" int2:id="pdoSYAWz">
      <int2:state int2:type="AugLoop_Text_Critique" int2:value="Rejected"/>
    </int2:textHash>
    <int2:textHash int2:hashCode="CgM+LLZsRSgFQY" int2:id="udZH5EcP">
      <int2:state int2:type="AugLoop_Text_Critique" int2:value="Rejected"/>
    </int2:textHash>
    <int2:textHash int2:hashCode="wASNiKoiNjTX/3" int2:id="Ek1T5kx4">
      <int2:state int2:type="AugLoop_Text_Critique" int2:value="Rejected"/>
    </int2:textHash>
    <int2:bookmark int2:bookmarkName="_Int_Duti3kYp" int2:invalidationBookmarkName="" int2:hashCode="yIOE2wbEf4vSGv" int2:id="bmw5lRIi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0A59"/>
    <w:multiLevelType w:val="multilevel"/>
    <w:tmpl w:val="50A6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B1F3D"/>
    <w:multiLevelType w:val="multilevel"/>
    <w:tmpl w:val="328A2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80F08"/>
    <w:multiLevelType w:val="multilevel"/>
    <w:tmpl w:val="94D0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527F38"/>
    <w:multiLevelType w:val="multilevel"/>
    <w:tmpl w:val="C07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7E7947A3"/>
    <w:multiLevelType w:val="multilevel"/>
    <w:tmpl w:val="E916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71451831">
    <w:abstractNumId w:val="2"/>
  </w:num>
  <w:num w:numId="2" w16cid:durableId="383142725">
    <w:abstractNumId w:val="0"/>
  </w:num>
  <w:num w:numId="3" w16cid:durableId="1733849157">
    <w:abstractNumId w:val="1"/>
  </w:num>
  <w:num w:numId="4" w16cid:durableId="1480263312">
    <w:abstractNumId w:val="3"/>
  </w:num>
  <w:num w:numId="5" w16cid:durableId="139947926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4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85"/>
    <w:rsid w:val="0006040B"/>
    <w:rsid w:val="000F3398"/>
    <w:rsid w:val="00110DAF"/>
    <w:rsid w:val="00192470"/>
    <w:rsid w:val="00202C27"/>
    <w:rsid w:val="00312203"/>
    <w:rsid w:val="00622DC3"/>
    <w:rsid w:val="00647B3B"/>
    <w:rsid w:val="006E5E56"/>
    <w:rsid w:val="007D2885"/>
    <w:rsid w:val="00DF5BBB"/>
    <w:rsid w:val="00EB577F"/>
    <w:rsid w:val="00F87A15"/>
    <w:rsid w:val="019CFB6C"/>
    <w:rsid w:val="08151179"/>
    <w:rsid w:val="0E6F4887"/>
    <w:rsid w:val="131CDF65"/>
    <w:rsid w:val="1969486F"/>
    <w:rsid w:val="1F02EF4D"/>
    <w:rsid w:val="42BCD793"/>
    <w:rsid w:val="4E22BC66"/>
    <w:rsid w:val="53614C45"/>
    <w:rsid w:val="64A7D0C7"/>
    <w:rsid w:val="6F5D403A"/>
    <w:rsid w:val="6FFDF895"/>
    <w:rsid w:val="774445A8"/>
    <w:rsid w:val="78418157"/>
    <w:rsid w:val="7A841000"/>
    <w:rsid w:val="7B236E4E"/>
    <w:rsid w:val="7E24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FFC120"/>
  <w15:chartTrackingRefBased/>
  <w15:docId w15:val="{0D2BDD74-0C4E-914E-B0D4-9727E2B4F5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885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D2885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D2885"/>
  </w:style>
  <w:style w:type="paragraph" w:styleId="Piedepgina">
    <w:name w:val="footer"/>
    <w:basedOn w:val="Normal"/>
    <w:link w:val="PiedepginaCar"/>
    <w:uiPriority w:val="99"/>
    <w:unhideWhenUsed/>
    <w:rsid w:val="007D2885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D2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7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5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ac3e4be3784f4c5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OLGA CECILIA USUGA MANCO</dc:creator>
  <keywords/>
  <dc:description/>
  <lastModifiedBy>OLGA CECILIA USUGA MANCO</lastModifiedBy>
  <revision>8</revision>
  <dcterms:created xsi:type="dcterms:W3CDTF">2023-10-12T02:41:00.0000000Z</dcterms:created>
  <dcterms:modified xsi:type="dcterms:W3CDTF">2024-04-08T21:27:45.5918676Z</dcterms:modified>
</coreProperties>
</file>