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Proyecto de aplicación</w:t>
      </w:r>
    </w:p>
    <w:p w:rsidR="00000000" w:rsidDel="00000000" w:rsidP="00000000" w:rsidRDefault="00000000" w:rsidRPr="00000000" w14:paraId="00000002">
      <w:pPr>
        <w:spacing w:after="200" w:lineRule="auto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1ra Etapa: Análisis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00" w:lineRule="auto"/>
        <w:ind w:left="720" w:hanging="360"/>
        <w:jc w:val="left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00" w:before="0" w:lineRule="auto"/>
        <w:ind w:left="720" w:hanging="360"/>
        <w:jc w:val="left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Necesidad detectada: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Bajos ingresos: Muchos jóvenes argentinos, especialmente estudiantes universitarios, tienen presupuestos limitados para comida.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Falta de educación alimentaria: No saben cómo armar comidas equilibradas o no tienen idea de cuánto gastan.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Alimentos desperdiciados: Suelen tener productos en casa que no saben cómo usar.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Falta de tiempo: Necesitan soluciones rápidas, fáciles y baratas.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shd w:fill="fce5cd" w:val="clear"/>
          <w:rtl w:val="0"/>
        </w:rPr>
        <w:t xml:space="preserve">Objetivo general:</w:t>
      </w:r>
      <w:r w:rsidDel="00000000" w:rsidR="00000000" w:rsidRPr="00000000">
        <w:rPr>
          <w:rtl w:val="0"/>
        </w:rPr>
        <w:t xml:space="preserve"> Facilitar</w:t>
      </w:r>
      <w:r w:rsidDel="00000000" w:rsidR="00000000" w:rsidRPr="00000000">
        <w:rPr>
          <w:rtl w:val="0"/>
        </w:rPr>
        <w:t xml:space="preserve"> una alimentación económica, saludable y consciente para los argentinos mediante el uso de tecnología accesible.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Rule="auto"/>
        <w:ind w:left="720" w:hanging="360"/>
        <w:jc w:val="left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Alcance de la aplicación: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La aplicación MealGo estará centrada en brindar herramientas digitales que faciliten una alimentación saludable, económica y organizada.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El alcance de esta primera versión incluye: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e inicio de sesión del usuario.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Carga manual de ingredientes disponibles en casa.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Sugerencia automática de recetas económicas basadas en esos ingredientes.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Sección educativa con tips nutricionales y consejos de compra inteligente.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Comparador manual de precios de productos en supermercados locales (cargados por usuarios o fuentes oficiales).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0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y visualización de gastos semanales en alimentación.</w:t>
      </w:r>
    </w:p>
    <w:p w:rsidR="00000000" w:rsidDel="00000000" w:rsidP="00000000" w:rsidRDefault="00000000" w:rsidRPr="00000000" w14:paraId="00000013">
      <w:pPr>
        <w:spacing w:after="200" w:lineRule="auto"/>
        <w:jc w:val="left"/>
        <w:rPr>
          <w:shd w:fill="f9cb9c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Integrantes: Verónica Rada, Bautista Knowles, Bautista Martinez y Lola Paladino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