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7A1F3D"/>
          <w:sz w:val="96"/>
          <w:szCs w:val="96"/>
        </w:rPr>
        <w:t xml:space="preserve">Whel</w:t>
      </w:r>
    </w:p>
    <w:p>
      <w:pPr>
        <w:spacing w:after="480"/>
        <w:jc w:val="center"/>
      </w:pPr>
      <w:r>
        <w:rPr>
          <w:color w:val="555555"/>
          <w:sz w:val="36"/>
          <w:szCs w:val="36"/>
        </w:rPr>
        <w:t xml:space="preserve">Women's Health Evidence Lab</w:t>
      </w:r>
    </w:p>
    <w:p>
      <w:pPr>
        <w:spacing w:after="240"/>
        <w:jc w:val="center"/>
      </w:pPr>
      <w:r>
        <w:rPr>
          <w:b/>
          <w:bCs/>
          <w:color w:val="111111"/>
          <w:sz w:val="32"/>
          <w:szCs w:val="32"/>
        </w:rPr>
        <w:t xml:space="preserve">Reframe Blueprint — Architecture, Strategy &amp; Roadmap</w:t>
      </w:r>
    </w:p>
    <w:p>
      <w:pPr>
        <w:spacing w:after="960"/>
        <w:jc w:val="center"/>
      </w:pPr>
      <w:r>
        <w:rPr>
          <w:i/>
          <w:iCs/>
          <w:color w:val="555555"/>
          <w:sz w:val="24"/>
          <w:szCs w:val="24"/>
        </w:rPr>
        <w:t xml:space="preserve">A complete plan for transforming a personal drug-repurposing audit project into a venture-scale female-biology evidence platform.</w:t>
      </w:r>
    </w:p>
    <w:p>
      <w:pPr>
        <w:jc w:val="center"/>
      </w:pPr>
      <w:r>
        <w:rPr>
          <w:sz w:val="22"/>
          <w:szCs w:val="22"/>
        </w:rPr>
        <w:t xml:space="preserve">Founder: Veronica Agudelo Ramella</w:t>
      </w:r>
    </w:p>
    <w:p>
      <w:pPr>
        <w:spacing w:after="480"/>
        <w:jc w:val="center"/>
      </w:pPr>
      <w:r>
        <w:rPr>
          <w:color w:val="555555"/>
          <w:sz w:val="22"/>
          <w:szCs w:val="22"/>
        </w:rPr>
        <w:t xml:space="preserve">Version 1.0 · June 2026</w:t>
      </w:r>
    </w:p>
    <w:p>
      <w:pPr>
        <w:shd w:fill="F4E4EC" w:color="auto" w:val="clear"/>
        <w:spacing w:after="200" w:before="200"/>
        <w:ind w:left="360" w:right="360"/>
      </w:pPr>
      <w:r>
        <w:rPr>
          <w:b/>
          <w:bCs/>
          <w:color w:val="7A1F3D"/>
        </w:rPr>
        <w:t xml:space="preserve">INTERNAL SOURCE OF TRUTH  </w:t>
      </w:r>
      <w:r>
        <w:t xml:space="preserve">This document supersedes prior pitch drafts, README copy, and onboarding text. When in doubt about how to frame Whel, this document is correct and the website is out of date.</w:t>
      </w:r>
    </w:p>
    <w:p>
      <w:pPr>
        <w:pStyle w:val="Heading1"/>
        <w:pageBreakBefore/>
      </w:pPr>
      <w:r>
        <w:t xml:space="preserve">Table of Contents</w:t>
      </w:r>
    </w:p>
    <w:p>
      <w:pPr>
        <w:spacing w:after="200"/>
      </w:pPr>
      <w:r>
        <w:rPr>
          <w:i/>
          <w:iCs/>
          <w:color w:val="555555"/>
          <w:sz w:val="22"/>
          <w:szCs w:val="22"/>
        </w:rPr>
        <w:t xml:space="preserve">Read in order if new to the reframe. Use as a reference index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shd w:fill="7A1F3D" w:color="auto" w:val="clear"/>
          </w:tcPr>
          <w:p>
            <w:r>
              <w:rPr>
                <w:b/>
                <w:bCs/>
                <w:color w:val="FFFFFF"/>
                <w:sz w:val="20"/>
                <w:szCs w:val="20"/>
              </w:rPr>
              <w:t xml:space="preserve">§</w:t>
            </w:r>
          </w:p>
        </w:tc>
        <w:tc>
          <w:tcPr>
            <w:tcW w:type="dxa" w:w="4320"/>
            <w:shd w:fill="7A1F3D" w:color="auto" w:val="clear"/>
          </w:tcPr>
          <w:p>
            <w:r>
              <w:rPr>
                <w:b/>
                <w:bCs/>
                <w:color w:val="FFFFFF"/>
                <w:sz w:val="20"/>
                <w:szCs w:val="20"/>
              </w:rPr>
              <w:t xml:space="preserve">Section</w:t>
            </w:r>
          </w:p>
        </w:tc>
        <w:tc>
          <w:tcPr>
            <w:tcW w:type="dxa" w:w="4320"/>
            <w:shd w:fill="7A1F3D" w:color="auto" w:val="clear"/>
          </w:tcPr>
          <w:p>
            <w:r>
              <w:rPr>
                <w:b/>
                <w:bCs/>
                <w:color w:val="FFFFFF"/>
                <w:sz w:val="20"/>
                <w:szCs w:val="20"/>
              </w:rPr>
              <w:t xml:space="preserve">Purpose</w:t>
            </w:r>
          </w:p>
        </w:tc>
      </w:tr>
      <w:tr>
        <w:trPr>
          <w:tblHeader w:val="false"/>
        </w:trPr>
        <w:tc>
          <w:tcPr>
            <w:tcW w:type="dxa" w:w="720"/>
            <w:shd w:fill="F8F8F8" w:color="auto" w:val="clear"/>
          </w:tcPr>
          <w:p>
            <w:r>
              <w:rPr>
                <w:b w:val="false"/>
                <w:bCs w:val="false"/>
                <w:color w:val="222222"/>
                <w:sz w:val="20"/>
                <w:szCs w:val="20"/>
              </w:rPr>
              <w:t xml:space="preserve">1</w:t>
            </w:r>
          </w:p>
        </w:tc>
        <w:tc>
          <w:tcPr>
            <w:tcW w:type="dxa" w:w="4320"/>
            <w:shd w:fill="F8F8F8" w:color="auto" w:val="clear"/>
          </w:tcPr>
          <w:p>
            <w:r>
              <w:rPr>
                <w:b w:val="false"/>
                <w:bCs w:val="false"/>
                <w:color w:val="222222"/>
                <w:sz w:val="20"/>
                <w:szCs w:val="20"/>
              </w:rPr>
              <w:t xml:space="preserve">Executive Summary</w:t>
            </w:r>
          </w:p>
        </w:tc>
        <w:tc>
          <w:tcPr>
            <w:tcW w:type="dxa" w:w="4320"/>
            <w:shd w:fill="F8F8F8" w:color="auto" w:val="clear"/>
          </w:tcPr>
          <w:p>
            <w:r>
              <w:rPr>
                <w:b w:val="false"/>
                <w:bCs w:val="false"/>
                <w:color w:val="222222"/>
                <w:sz w:val="20"/>
                <w:szCs w:val="20"/>
              </w:rPr>
              <w:t xml:space="preserve">The 90-second version</w:t>
            </w:r>
          </w:p>
        </w:tc>
      </w:tr>
      <w:tr>
        <w:trPr>
          <w:tblHeader w:val="false"/>
        </w:trPr>
        <w:tc>
          <w:tcPr>
            <w:tcW w:type="dxa" w:w="720"/>
            <w:shd w:fill="FFFFFF" w:color="auto" w:val="clear"/>
          </w:tcPr>
          <w:p>
            <w:r>
              <w:rPr>
                <w:b w:val="false"/>
                <w:bCs w:val="false"/>
                <w:color w:val="222222"/>
                <w:sz w:val="20"/>
                <w:szCs w:val="20"/>
              </w:rPr>
              <w:t xml:space="preserve">2</w:t>
            </w:r>
          </w:p>
        </w:tc>
        <w:tc>
          <w:tcPr>
            <w:tcW w:type="dxa" w:w="4320"/>
            <w:shd w:fill="FFFFFF" w:color="auto" w:val="clear"/>
          </w:tcPr>
          <w:p>
            <w:r>
              <w:rPr>
                <w:b w:val="false"/>
                <w:bCs w:val="false"/>
                <w:color w:val="222222"/>
                <w:sz w:val="20"/>
                <w:szCs w:val="20"/>
              </w:rPr>
              <w:t xml:space="preserve">The Locked Pitch</w:t>
            </w:r>
          </w:p>
        </w:tc>
        <w:tc>
          <w:tcPr>
            <w:tcW w:type="dxa" w:w="4320"/>
            <w:shd w:fill="FFFFFF" w:color="auto" w:val="clear"/>
          </w:tcPr>
          <w:p>
            <w:r>
              <w:rPr>
                <w:b w:val="false"/>
                <w:bCs w:val="false"/>
                <w:color w:val="222222"/>
                <w:sz w:val="20"/>
                <w:szCs w:val="20"/>
              </w:rPr>
              <w:t xml:space="preserve">Source-of-truth language for every channel</w:t>
            </w:r>
          </w:p>
        </w:tc>
      </w:tr>
      <w:tr>
        <w:trPr>
          <w:tblHeader w:val="false"/>
        </w:trPr>
        <w:tc>
          <w:tcPr>
            <w:tcW w:type="dxa" w:w="720"/>
            <w:shd w:fill="F8F8F8" w:color="auto" w:val="clear"/>
          </w:tcPr>
          <w:p>
            <w:r>
              <w:rPr>
                <w:b w:val="false"/>
                <w:bCs w:val="false"/>
                <w:color w:val="222222"/>
                <w:sz w:val="20"/>
                <w:szCs w:val="20"/>
              </w:rPr>
              <w:t xml:space="preserve">3</w:t>
            </w:r>
          </w:p>
        </w:tc>
        <w:tc>
          <w:tcPr>
            <w:tcW w:type="dxa" w:w="4320"/>
            <w:shd w:fill="F8F8F8" w:color="auto" w:val="clear"/>
          </w:tcPr>
          <w:p>
            <w:r>
              <w:rPr>
                <w:b w:val="false"/>
                <w:bCs w:val="false"/>
                <w:color w:val="222222"/>
                <w:sz w:val="20"/>
                <w:szCs w:val="20"/>
              </w:rPr>
              <w:t xml:space="preserve">Brand &amp; Identity Reframe</w:t>
            </w:r>
          </w:p>
        </w:tc>
        <w:tc>
          <w:tcPr>
            <w:tcW w:type="dxa" w:w="4320"/>
            <w:shd w:fill="F8F8F8" w:color="auto" w:val="clear"/>
          </w:tcPr>
          <w:p>
            <w:r>
              <w:rPr>
                <w:b w:val="false"/>
                <w:bCs w:val="false"/>
                <w:color w:val="222222"/>
                <w:sz w:val="20"/>
                <w:szCs w:val="20"/>
              </w:rPr>
              <w:t xml:space="preserve">What changes in wording, what stays</w:t>
            </w:r>
          </w:p>
        </w:tc>
      </w:tr>
      <w:tr>
        <w:trPr>
          <w:tblHeader w:val="false"/>
        </w:trPr>
        <w:tc>
          <w:tcPr>
            <w:tcW w:type="dxa" w:w="720"/>
            <w:shd w:fill="FFFFFF" w:color="auto" w:val="clear"/>
          </w:tcPr>
          <w:p>
            <w:r>
              <w:rPr>
                <w:b w:val="false"/>
                <w:bCs w:val="false"/>
                <w:color w:val="222222"/>
                <w:sz w:val="20"/>
                <w:szCs w:val="20"/>
              </w:rPr>
              <w:t xml:space="preserve">4</w:t>
            </w:r>
          </w:p>
        </w:tc>
        <w:tc>
          <w:tcPr>
            <w:tcW w:type="dxa" w:w="4320"/>
            <w:shd w:fill="FFFFFF" w:color="auto" w:val="clear"/>
          </w:tcPr>
          <w:p>
            <w:r>
              <w:rPr>
                <w:b w:val="false"/>
                <w:bCs w:val="false"/>
                <w:color w:val="222222"/>
                <w:sz w:val="20"/>
                <w:szCs w:val="20"/>
              </w:rPr>
              <w:t xml:space="preserve">Legal &amp; Corporate Structure</w:t>
            </w:r>
          </w:p>
        </w:tc>
        <w:tc>
          <w:tcPr>
            <w:tcW w:type="dxa" w:w="4320"/>
            <w:shd w:fill="FFFFFF" w:color="auto" w:val="clear"/>
          </w:tcPr>
          <w:p>
            <w:r>
              <w:rPr>
                <w:b w:val="false"/>
                <w:bCs w:val="false"/>
                <w:color w:val="222222"/>
                <w:sz w:val="20"/>
                <w:szCs w:val="20"/>
              </w:rPr>
              <w:t xml:space="preserve">Entity, IP, FDA posture, grants</w:t>
            </w:r>
          </w:p>
        </w:tc>
      </w:tr>
      <w:tr>
        <w:trPr>
          <w:tblHeader w:val="false"/>
        </w:trPr>
        <w:tc>
          <w:tcPr>
            <w:tcW w:type="dxa" w:w="720"/>
            <w:shd w:fill="F8F8F8" w:color="auto" w:val="clear"/>
          </w:tcPr>
          <w:p>
            <w:r>
              <w:rPr>
                <w:b w:val="false"/>
                <w:bCs w:val="false"/>
                <w:color w:val="222222"/>
                <w:sz w:val="20"/>
                <w:szCs w:val="20"/>
              </w:rPr>
              <w:t xml:space="preserve">5</w:t>
            </w:r>
          </w:p>
        </w:tc>
        <w:tc>
          <w:tcPr>
            <w:tcW w:type="dxa" w:w="4320"/>
            <w:shd w:fill="F8F8F8" w:color="auto" w:val="clear"/>
          </w:tcPr>
          <w:p>
            <w:r>
              <w:rPr>
                <w:b w:val="false"/>
                <w:bCs w:val="false"/>
                <w:color w:val="222222"/>
                <w:sz w:val="20"/>
                <w:szCs w:val="20"/>
              </w:rPr>
              <w:t xml:space="preserve">Technical Architecture Decision</w:t>
            </w:r>
          </w:p>
        </w:tc>
        <w:tc>
          <w:tcPr>
            <w:tcW w:type="dxa" w:w="4320"/>
            <w:shd w:fill="F8F8F8" w:color="auto" w:val="clear"/>
          </w:tcPr>
          <w:p>
            <w:r>
              <w:rPr>
                <w:b w:val="false"/>
                <w:bCs w:val="false"/>
                <w:color w:val="222222"/>
                <w:sz w:val="20"/>
                <w:szCs w:val="20"/>
              </w:rPr>
              <w:t xml:space="preserve">Keep vs. rebuild — the fresh-repo call</w:t>
            </w:r>
          </w:p>
        </w:tc>
      </w:tr>
      <w:tr>
        <w:trPr>
          <w:tblHeader w:val="false"/>
        </w:trPr>
        <w:tc>
          <w:tcPr>
            <w:tcW w:type="dxa" w:w="720"/>
            <w:shd w:fill="FFFFFF" w:color="auto" w:val="clear"/>
          </w:tcPr>
          <w:p>
            <w:r>
              <w:rPr>
                <w:b w:val="false"/>
                <w:bCs w:val="false"/>
                <w:color w:val="222222"/>
                <w:sz w:val="20"/>
                <w:szCs w:val="20"/>
              </w:rPr>
              <w:t xml:space="preserve">6</w:t>
            </w:r>
          </w:p>
        </w:tc>
        <w:tc>
          <w:tcPr>
            <w:tcW w:type="dxa" w:w="4320"/>
            <w:shd w:fill="FFFFFF" w:color="auto" w:val="clear"/>
          </w:tcPr>
          <w:p>
            <w:r>
              <w:rPr>
                <w:b w:val="false"/>
                <w:bCs w:val="false"/>
                <w:color w:val="222222"/>
                <w:sz w:val="20"/>
                <w:szCs w:val="20"/>
              </w:rPr>
              <w:t xml:space="preserve">The New Tech Stack</w:t>
            </w:r>
          </w:p>
        </w:tc>
        <w:tc>
          <w:tcPr>
            <w:tcW w:type="dxa" w:w="4320"/>
            <w:shd w:fill="FFFFFF" w:color="auto" w:val="clear"/>
          </w:tcPr>
          <w:p>
            <w:r>
              <w:rPr>
                <w:b w:val="false"/>
                <w:bCs w:val="false"/>
                <w:color w:val="222222"/>
                <w:sz w:val="20"/>
                <w:szCs w:val="20"/>
              </w:rPr>
              <w:t xml:space="preserve">Open-source components and rationale</w:t>
            </w:r>
          </w:p>
        </w:tc>
      </w:tr>
      <w:tr>
        <w:trPr>
          <w:tblHeader w:val="false"/>
        </w:trPr>
        <w:tc>
          <w:tcPr>
            <w:tcW w:type="dxa" w:w="720"/>
            <w:shd w:fill="F8F8F8" w:color="auto" w:val="clear"/>
          </w:tcPr>
          <w:p>
            <w:r>
              <w:rPr>
                <w:b w:val="false"/>
                <w:bCs w:val="false"/>
                <w:color w:val="222222"/>
                <w:sz w:val="20"/>
                <w:szCs w:val="20"/>
              </w:rPr>
              <w:t xml:space="preserve">7</w:t>
            </w:r>
          </w:p>
        </w:tc>
        <w:tc>
          <w:tcPr>
            <w:tcW w:type="dxa" w:w="4320"/>
            <w:shd w:fill="F8F8F8" w:color="auto" w:val="clear"/>
          </w:tcPr>
          <w:p>
            <w:r>
              <w:rPr>
                <w:b w:val="false"/>
                <w:bCs w:val="false"/>
                <w:color w:val="222222"/>
                <w:sz w:val="20"/>
                <w:szCs w:val="20"/>
              </w:rPr>
              <w:t xml:space="preserve">Data Strategy</w:t>
            </w:r>
          </w:p>
        </w:tc>
        <w:tc>
          <w:tcPr>
            <w:tcW w:type="dxa" w:w="4320"/>
            <w:shd w:fill="F8F8F8" w:color="auto" w:val="clear"/>
          </w:tcPr>
          <w:p>
            <w:r>
              <w:rPr>
                <w:b w:val="false"/>
                <w:bCs w:val="false"/>
                <w:color w:val="222222"/>
                <w:sz w:val="20"/>
                <w:szCs w:val="20"/>
              </w:rPr>
              <w:t xml:space="preserve">3-tier source plan, $0 for v1</w:t>
            </w:r>
          </w:p>
        </w:tc>
      </w:tr>
      <w:tr>
        <w:trPr>
          <w:tblHeader w:val="false"/>
        </w:trPr>
        <w:tc>
          <w:tcPr>
            <w:tcW w:type="dxa" w:w="720"/>
            <w:shd w:fill="FFFFFF" w:color="auto" w:val="clear"/>
          </w:tcPr>
          <w:p>
            <w:r>
              <w:rPr>
                <w:b w:val="false"/>
                <w:bCs w:val="false"/>
                <w:color w:val="222222"/>
                <w:sz w:val="20"/>
                <w:szCs w:val="20"/>
              </w:rPr>
              <w:t xml:space="preserve">8</w:t>
            </w:r>
          </w:p>
        </w:tc>
        <w:tc>
          <w:tcPr>
            <w:tcW w:type="dxa" w:w="4320"/>
            <w:shd w:fill="FFFFFF" w:color="auto" w:val="clear"/>
          </w:tcPr>
          <w:p>
            <w:r>
              <w:rPr>
                <w:b w:val="false"/>
                <w:bCs w:val="false"/>
                <w:color w:val="222222"/>
                <w:sz w:val="20"/>
                <w:szCs w:val="20"/>
              </w:rPr>
              <w:t xml:space="preserve">Biomedical Knowledge Resources</w:t>
            </w:r>
          </w:p>
        </w:tc>
        <w:tc>
          <w:tcPr>
            <w:tcW w:type="dxa" w:w="4320"/>
            <w:shd w:fill="FFFFFF" w:color="auto" w:val="clear"/>
          </w:tcPr>
          <w:p>
            <w:r>
              <w:rPr>
                <w:b w:val="false"/>
                <w:bCs w:val="false"/>
                <w:color w:val="222222"/>
                <w:sz w:val="20"/>
                <w:szCs w:val="20"/>
              </w:rPr>
              <w:t xml:space="preserve">80+ catalogued databases &amp; tools</w:t>
            </w:r>
          </w:p>
        </w:tc>
      </w:tr>
      <w:tr>
        <w:trPr>
          <w:tblHeader w:val="false"/>
        </w:trPr>
        <w:tc>
          <w:tcPr>
            <w:tcW w:type="dxa" w:w="720"/>
            <w:shd w:fill="F8F8F8" w:color="auto" w:val="clear"/>
          </w:tcPr>
          <w:p>
            <w:r>
              <w:rPr>
                <w:b w:val="false"/>
                <w:bCs w:val="false"/>
                <w:color w:val="222222"/>
                <w:sz w:val="20"/>
                <w:szCs w:val="20"/>
              </w:rPr>
              <w:t xml:space="preserve">9</w:t>
            </w:r>
          </w:p>
        </w:tc>
        <w:tc>
          <w:tcPr>
            <w:tcW w:type="dxa" w:w="4320"/>
            <w:shd w:fill="F8F8F8" w:color="auto" w:val="clear"/>
          </w:tcPr>
          <w:p>
            <w:r>
              <w:rPr>
                <w:b w:val="false"/>
                <w:bCs w:val="false"/>
                <w:color w:val="222222"/>
                <w:sz w:val="20"/>
                <w:szCs w:val="20"/>
              </w:rPr>
              <w:t xml:space="preserve">Competitive Landscape</w:t>
            </w:r>
          </w:p>
        </w:tc>
        <w:tc>
          <w:tcPr>
            <w:tcW w:type="dxa" w:w="4320"/>
            <w:shd w:fill="F8F8F8" w:color="auto" w:val="clear"/>
          </w:tcPr>
          <w:p>
            <w:r>
              <w:rPr>
                <w:b w:val="false"/>
                <w:bCs w:val="false"/>
                <w:color w:val="222222"/>
                <w:sz w:val="20"/>
                <w:szCs w:val="20"/>
              </w:rPr>
              <w:t xml:space="preserve">20+ companies and where we fit</w:t>
            </w:r>
          </w:p>
        </w:tc>
      </w:tr>
      <w:tr>
        <w:trPr>
          <w:tblHeader w:val="false"/>
        </w:trPr>
        <w:tc>
          <w:tcPr>
            <w:tcW w:type="dxa" w:w="720"/>
            <w:shd w:fill="FFFFFF" w:color="auto" w:val="clear"/>
          </w:tcPr>
          <w:p>
            <w:r>
              <w:rPr>
                <w:b w:val="false"/>
                <w:bCs w:val="false"/>
                <w:color w:val="222222"/>
                <w:sz w:val="20"/>
                <w:szCs w:val="20"/>
              </w:rPr>
              <w:t xml:space="preserve">10</w:t>
            </w:r>
          </w:p>
        </w:tc>
        <w:tc>
          <w:tcPr>
            <w:tcW w:type="dxa" w:w="4320"/>
            <w:shd w:fill="FFFFFF" w:color="auto" w:val="clear"/>
          </w:tcPr>
          <w:p>
            <w:r>
              <w:rPr>
                <w:b w:val="false"/>
                <w:bCs w:val="false"/>
                <w:color w:val="222222"/>
                <w:sz w:val="20"/>
                <w:szCs w:val="20"/>
              </w:rPr>
              <w:t xml:space="preserve">Phased Roadmap</w:t>
            </w:r>
          </w:p>
        </w:tc>
        <w:tc>
          <w:tcPr>
            <w:tcW w:type="dxa" w:w="4320"/>
            <w:shd w:fill="FFFFFF" w:color="auto" w:val="clear"/>
          </w:tcPr>
          <w:p>
            <w:r>
              <w:rPr>
                <w:b w:val="false"/>
                <w:bCs w:val="false"/>
                <w:color w:val="222222"/>
                <w:sz w:val="20"/>
                <w:szCs w:val="20"/>
              </w:rPr>
              <w:t xml:space="preserve">Phase 0 → Phase 5, week-by-week</w:t>
            </w:r>
          </w:p>
        </w:tc>
      </w:tr>
      <w:tr>
        <w:trPr>
          <w:tblHeader w:val="false"/>
        </w:trPr>
        <w:tc>
          <w:tcPr>
            <w:tcW w:type="dxa" w:w="720"/>
            <w:shd w:fill="F8F8F8" w:color="auto" w:val="clear"/>
          </w:tcPr>
          <w:p>
            <w:r>
              <w:rPr>
                <w:b w:val="false"/>
                <w:bCs w:val="false"/>
                <w:color w:val="222222"/>
                <w:sz w:val="20"/>
                <w:szCs w:val="20"/>
              </w:rPr>
              <w:t xml:space="preserve">11</w:t>
            </w:r>
          </w:p>
        </w:tc>
        <w:tc>
          <w:tcPr>
            <w:tcW w:type="dxa" w:w="4320"/>
            <w:shd w:fill="F8F8F8" w:color="auto" w:val="clear"/>
          </w:tcPr>
          <w:p>
            <w:r>
              <w:rPr>
                <w:b w:val="false"/>
                <w:bCs w:val="false"/>
                <w:color w:val="222222"/>
                <w:sz w:val="20"/>
                <w:szCs w:val="20"/>
              </w:rPr>
              <w:t xml:space="preserve">Risk Register</w:t>
            </w:r>
          </w:p>
        </w:tc>
        <w:tc>
          <w:tcPr>
            <w:tcW w:type="dxa" w:w="4320"/>
            <w:shd w:fill="F8F8F8" w:color="auto" w:val="clear"/>
          </w:tcPr>
          <w:p>
            <w:r>
              <w:rPr>
                <w:b w:val="false"/>
                <w:bCs w:val="false"/>
                <w:color w:val="222222"/>
                <w:sz w:val="20"/>
                <w:szCs w:val="20"/>
              </w:rPr>
              <w:t xml:space="preserve">What can kill us and how we de-risk</w:t>
            </w:r>
          </w:p>
        </w:tc>
      </w:tr>
      <w:tr>
        <w:trPr>
          <w:tblHeader w:val="false"/>
        </w:trPr>
        <w:tc>
          <w:tcPr>
            <w:tcW w:type="dxa" w:w="720"/>
            <w:shd w:fill="FFFFFF" w:color="auto" w:val="clear"/>
          </w:tcPr>
          <w:p>
            <w:r>
              <w:rPr>
                <w:b w:val="false"/>
                <w:bCs w:val="false"/>
                <w:color w:val="222222"/>
                <w:sz w:val="20"/>
                <w:szCs w:val="20"/>
              </w:rPr>
              <w:t xml:space="preserve">12</w:t>
            </w:r>
          </w:p>
        </w:tc>
        <w:tc>
          <w:tcPr>
            <w:tcW w:type="dxa" w:w="4320"/>
            <w:shd w:fill="FFFFFF" w:color="auto" w:val="clear"/>
          </w:tcPr>
          <w:p>
            <w:r>
              <w:rPr>
                <w:b w:val="false"/>
                <w:bCs w:val="false"/>
                <w:color w:val="222222"/>
                <w:sz w:val="20"/>
                <w:szCs w:val="20"/>
              </w:rPr>
              <w:t xml:space="preserve">Immediate Action Items</w:t>
            </w:r>
          </w:p>
        </w:tc>
        <w:tc>
          <w:tcPr>
            <w:tcW w:type="dxa" w:w="4320"/>
            <w:shd w:fill="FFFFFF" w:color="auto" w:val="clear"/>
          </w:tcPr>
          <w:p>
            <w:r>
              <w:rPr>
                <w:b w:val="false"/>
                <w:bCs w:val="false"/>
                <w:color w:val="222222"/>
                <w:sz w:val="20"/>
                <w:szCs w:val="20"/>
              </w:rPr>
              <w:t xml:space="preserve">Week 1 / Month 1 / Quarter 1</w:t>
            </w:r>
          </w:p>
        </w:tc>
      </w:tr>
      <w:tr>
        <w:trPr>
          <w:tblHeader w:val="false"/>
        </w:trPr>
        <w:tc>
          <w:tcPr>
            <w:tcW w:type="dxa" w:w="720"/>
            <w:shd w:fill="F8F8F8" w:color="auto" w:val="clear"/>
          </w:tcPr>
          <w:p>
            <w:r>
              <w:rPr>
                <w:b w:val="false"/>
                <w:bCs w:val="false"/>
                <w:color w:val="222222"/>
                <w:sz w:val="20"/>
                <w:szCs w:val="20"/>
              </w:rPr>
              <w:t xml:space="preserve">A</w:t>
            </w:r>
          </w:p>
        </w:tc>
        <w:tc>
          <w:tcPr>
            <w:tcW w:type="dxa" w:w="4320"/>
            <w:shd w:fill="F8F8F8" w:color="auto" w:val="clear"/>
          </w:tcPr>
          <w:p>
            <w:r>
              <w:rPr>
                <w:b w:val="false"/>
                <w:bCs w:val="false"/>
                <w:color w:val="222222"/>
                <w:sz w:val="20"/>
                <w:szCs w:val="20"/>
              </w:rPr>
              <w:t xml:space="preserve">Appendices</w:t>
            </w:r>
          </w:p>
        </w:tc>
        <w:tc>
          <w:tcPr>
            <w:tcW w:type="dxa" w:w="4320"/>
            <w:shd w:fill="F8F8F8" w:color="auto" w:val="clear"/>
          </w:tcPr>
          <w:p>
            <w:r>
              <w:rPr>
                <w:b w:val="false"/>
                <w:bCs w:val="false"/>
                <w:color w:val="222222"/>
                <w:sz w:val="20"/>
                <w:szCs w:val="20"/>
              </w:rPr>
              <w:t xml:space="preserve">Glossary, references, decision log</w:t>
            </w:r>
          </w:p>
        </w:tc>
      </w:tr>
    </w:tbl>
    <w:p>
      <w:pPr>
        <w:pStyle w:val="Heading1"/>
        <w:pageBreakBefore/>
      </w:pPr>
      <w:r>
        <w:t xml:space="preserve">1. Executive Summary</w:t>
      </w:r>
    </w:p>
    <w:p>
      <w:pPr>
        <w:spacing w:after="200"/>
      </w:pPr>
      <w:r>
        <w:rPr>
          <w:i/>
          <w:iCs/>
          <w:color w:val="555555"/>
          <w:sz w:val="22"/>
          <w:szCs w:val="22"/>
        </w:rPr>
        <w:t xml:space="preserve">The 90-second version of the reframe.</w:t>
      </w:r>
    </w:p>
    <w:p>
      <w:pPr>
        <w:pStyle w:val="Heading2"/>
      </w:pPr>
      <w:r>
        <w:t xml:space="preserve">What changed</w:t>
      </w:r>
    </w:p>
    <w:p>
      <w:r>
        <w:t xml:space="preserve">Whel began as a personal audit of drug-repurposing claims across six women's health conditions. That work — 271 active signals across 2,166 sources — produced something more interesting than the original project: a working substrate for sex-specific biomedical evidence that nothing in the market currently provides. The reframe is to treat Whel not as a personal research project surfaced as a public site, but as the v0 of a women's-health-specific drug repurposing evidence platform — a 'Healx for women's health' positioned to be the trusted reference layer beneath every researcher, clinician, and patient-advocacy organization asking 'has this drug been studied in female patients, and if so, what do we actually know?'</w:t>
      </w:r>
    </w:p>
    <w:p>
      <w:pPr>
        <w:pStyle w:val="Heading2"/>
      </w:pPr>
      <w:r>
        <w:t xml:space="preserve">Why now</w:t>
      </w:r>
    </w:p>
    <w:p>
      <w:r>
        <w:t xml:space="preserve">Three windows are open simultaneously and they will not all stay open. First, regulatory: FDA finalized sex-specific reporting guidance and Congress restored ARPA-H women's health funding in 2025–2026 — the structural pressure to surface sex-specific evidence is at an all-time high. Second, technical: PubMedBERT-class biomedical embeddings, ontology-grounded extraction (OntoGPT), atomic claim verification (MedScore), and provenance-preserving RAG (PaperQA2, Medical Graph RAG) all matured to usable open-source quality within the past 18 months. Third, competitive: every major drug-repurposing AI company (Healx, BenevolentAI, BioXcel, Recursion) is pan-disease and treats female biology as a coverage gap rather than a specialty. None has built the sex-specific knowledge substrate.</w:t>
      </w:r>
    </w:p>
    <w:p>
      <w:pPr>
        <w:pStyle w:val="Heading2"/>
      </w:pPr>
      <w:r>
        <w:t xml:space="preserve">The wedge</w:t>
      </w:r>
    </w:p>
    <w:p>
      <w:r>
        <w:t xml:space="preserve">PMDD as flagship condition. The diagnosis is contested in the literature, has roughly 5–8% female prevalence, is poorly served by approved therapies, and has the most engaged patient community on the internet (the IAPMD network, the r/PMDD subreddit). It is the condition where: (a) a curated evidence layer changes lives immediately, (b) drug-repurposing signal is densest, (c) patient-community signal can be incorporated as a hypothesis-generation input rather than ignored, and (d) partnership with cycle-tracking apps (Clue, Flo) is structurally aligned. Endometriosis and adenomyosis follow.</w:t>
      </w:r>
    </w:p>
    <w:p>
      <w:pPr>
        <w:pStyle w:val="Heading2"/>
      </w:pPr>
      <w:r>
        <w:t xml:space="preserve">The moat</w:t>
      </w:r>
    </w:p>
    <w:p>
      <w:r>
        <w:t xml:space="preserve">Not the language model — the substrate. Whel's moat is the cumulative female-biology knowledge graph: cyclical pharmacokinetic models, sex-specific dose-response curves, structured contradiction logs, ontology-grounded condition definitions, and an extraction pipeline that has been tuned against female-specific evidence patterns. None of this exists pre-built. It compounds with every condition added and every contradiction surfaced. Competitors who pivot in have to build this from scratch; we will have a 12–24 month head start by the time they notice.</w:t>
      </w:r>
    </w:p>
    <w:p>
      <w:pPr>
        <w:pStyle w:val="Heading2"/>
      </w:pPr>
      <w:r>
        <w:t xml:space="preserve">The ask (this document)</w:t>
      </w:r>
    </w:p>
    <w:p>
      <w:r>
        <w:t xml:space="preserve">Make four decisions and execute them in the next 30 days: (1) Fresh repository with strategic salvage from the existing codebase — not in-place refactor. (2) Delaware C-Corporation via Stripe Atlas with 83(b) election filed by Day 30. (3) PMDD as flagship condition with first informal expert-review conversation initiated by Week 2. (4) Lock the pitch language in §2 of this document as canonical across pitch deck, website, grant applications, and advisor outreach.</w:t>
      </w:r>
    </w:p>
    <w:p>
      <w:pPr>
        <w:shd w:fill="F4E4EC" w:color="auto" w:val="clear"/>
        <w:spacing w:after="200" w:before="200"/>
        <w:ind w:left="360" w:right="360"/>
      </w:pPr>
      <w:r>
        <w:rPr>
          <w:b/>
          <w:bCs/>
          <w:color w:val="7A1F3D"/>
        </w:rPr>
        <w:t xml:space="preserve">THE BET  </w:t>
      </w:r>
      <w:r>
        <w:t xml:space="preserve">If we are right that female biology is a specialty rather than a coverage gap, the first team to build the substrate wins the category. Everything in this document is in service of that bet.</w:t>
      </w:r>
    </w:p>
    <w:p>
      <w:pPr>
        <w:pStyle w:val="Heading1"/>
        <w:pageBreakBefore/>
      </w:pPr>
      <w:r>
        <w:t xml:space="preserve">2. The Locked Pitch</w:t>
      </w:r>
    </w:p>
    <w:p>
      <w:pPr>
        <w:spacing w:after="200"/>
      </w:pPr>
      <w:r>
        <w:rPr>
          <w:i/>
          <w:iCs/>
          <w:color w:val="555555"/>
          <w:sz w:val="22"/>
          <w:szCs w:val="22"/>
        </w:rPr>
        <w:t xml:space="preserve">Source-of-truth language. Use verbatim across pitch deck, website, grant applications, and advisor outreach. Do not improvise variants.</w:t>
      </w:r>
    </w:p>
    <w:p>
      <w:pPr>
        <w:pStyle w:val="Heading2"/>
      </w:pPr>
      <w:r>
        <w:t xml:space="preserve">2.1 One-liner</w:t>
      </w:r>
    </w:p>
    <w:p>
      <w:pPr>
        <w:shd w:fill="F4E4EC" w:color="auto" w:val="clear"/>
        <w:spacing w:after="200" w:before="200"/>
        <w:ind w:left="360" w:right="360"/>
      </w:pPr>
      <w:r>
        <w:rPr>
          <w:b/>
          <w:bCs/>
          <w:color w:val="7A1F3D"/>
        </w:rPr>
        <w:t xml:space="preserve">WHEL  </w:t>
      </w:r>
      <w:r>
        <w:t xml:space="preserve">The trusted evidence substrate for women's health drug repurposing — instrumented to preserve per-claim provenance, surface contradictions, and accelerate the 505(b)(2) pathway in conditions where female biology has been systematically under-studied.</w:t>
      </w:r>
    </w:p>
    <w:p>
      <w:pPr>
        <w:pStyle w:val="Heading2"/>
      </w:pPr>
      <w:r>
        <w:t xml:space="preserve">2.2 Three-sentence pitch</w:t>
      </w:r>
    </w:p>
    <w:p>
      <w:r>
        <w:t xml:space="preserve">Whel is building the female-biology evidence substrate that powers the next generation of women's health drug repurposing. We start from PMDD, endometriosis, and adenomyosis — conditions where existing pan-disease repurposing platforms treat female biology as a coverage gap — and build a provenance-preserving knowledge graph that captures cyclical pharmacokinetics, sex-specific dose-response, and the contradictions that get washed out by general-purpose biomedical search. Researchers, clinicians, and advocacy organizations use Whel to answer questions that no current tool answers reliably: what do we actually know about this drug in female patients, and what is the next experiment worth running?</w:t>
      </w:r>
    </w:p>
    <w:p>
      <w:pPr>
        <w:pStyle w:val="Heading2"/>
      </w:pPr>
      <w:r>
        <w:t xml:space="preserve">2.3 Problem statement (long form)</w:t>
      </w:r>
    </w:p>
    <w:p>
      <w:r>
        <w:t xml:space="preserve">Women's health is the canonical case of structurally under-studied biology. Through 1993, women of childbearing potential were excluded from most Phase I and II trials. Even today, female sex is reported as a covariate in fewer than half of pharmacokinetic studies, cyclical hormonal state is reported in fewer than 10%, and conditions like PMDD, endometriosis, and adenomyosis lack approved therapies despite affecting 5–10% of the female population each. The drug-repurposing opportunity is real — many approved drugs have female-specific signals buried in case reports, patient communities, and off-label prescribing patterns — but the evidence is scattered across literature, registries, patient forums, and adverse-event databases. No existing tool aggregates this evidence with the provenance discipline required to actually inform a 505(b)(2) submission or a Phase IIa trial design.</w:t>
      </w:r>
    </w:p>
    <w:p>
      <w:pPr>
        <w:pStyle w:val="Heading2"/>
      </w:pPr>
      <w:r>
        <w:t xml:space="preserve">2.4 Solution statement (long form)</w:t>
      </w:r>
    </w:p>
    <w:p>
      <w:r>
        <w:t xml:space="preserve">Whel is a sex-specific evidence platform built on three layers. The substrate layer is a Postgres + Apache AGE graph of female-specific biological entities, conditions, drugs, mechanisms, and the relationships between them — seeded from PrimeKG and CTKG, then enriched with OntoGPT-extracted relations from the female-specific literature. The retrieval and synthesis layer uses PaperQA2 patterns (per-chunk provenance, instrumented multi-source synthesis, contradiction surfacing) tuned with MedCPT biomedical embeddings and PubMedBERT NLI for claim verification. The output layer presents condition pages, drug pages, and mechanism pages where every claim is anchored to its source chunk, every synthesis is marked as a synthesis (not collapsed into a single citation), and every contradiction in the underlying literature is surfaced explicitly rather than averaged out.</w:t>
      </w:r>
    </w:p>
    <w:p>
      <w:pPr>
        <w:pStyle w:val="Heading2"/>
      </w:pPr>
      <w:r>
        <w:t xml:space="preserve">2.5 Why us</w:t>
      </w:r>
    </w:p>
    <w:p>
      <w:r>
        <w:t xml:space="preserve">The founder is a philosophy major operating as the founding curator and ontologist — the role that pan-disease repurposing platforms have systematically failed to staff. The existing Whel codebase ships 271 audited signals across six conditions and 2,166 sources, demonstrating both the manual rigor and the willingness to do unglamorous evidence work that the category requires. The next 90 days are about bringing in domain-expert advisors (target: 2–3 informal ontology-review conversations during the v1 substrate build), formalizing the corporate vehicle, and shipping the PMDD flagship to a clinician-research audience for paid validation.</w:t>
      </w:r>
    </w:p>
    <w:p>
      <w:pPr>
        <w:pStyle w:val="Heading2"/>
      </w:pPr>
      <w:r>
        <w:t xml:space="preserve">2.6 What we are not claiming</w:t>
      </w:r>
    </w:p>
    <w:p>
      <w:r>
        <w:t xml:space="preserve">We are not claiming to be a drug-discovery company. We are not claiming to be an FDA-regulated clinical decision support tool (we deliberately position under the 21st Century Cures Act §3060 research-support exemption). We are not claiming patient-community signal is equal in weight to RCT evidence — it is a hypothesis-generation input that feeds into a validation pipeline. We are not claiming the LLM is the moat — the moat is the cumulative female-biology substrate. We are not claiming to be Healx for women — we are claiming Healx and its peers cannot become Whel without first building what we are building.</w:t>
      </w:r>
    </w:p>
    <w:p>
      <w:pPr>
        <w:pStyle w:val="Heading1"/>
        <w:pageBreakBefore/>
      </w:pPr>
      <w:r>
        <w:t xml:space="preserve">3. Brand &amp; Identity Reframe</w:t>
      </w:r>
    </w:p>
    <w:p>
      <w:pPr>
        <w:spacing w:after="200"/>
      </w:pPr>
      <w:r>
        <w:rPr>
          <w:i/>
          <w:iCs/>
          <w:color w:val="555555"/>
          <w:sz w:val="22"/>
          <w:szCs w:val="22"/>
        </w:rPr>
        <w:t xml:space="preserve">What changes in the way Whel describes itself, and what stays.</w:t>
      </w:r>
    </w:p>
    <w:p>
      <w:pPr>
        <w:pStyle w:val="Heading2"/>
      </w:pPr>
      <w:r>
        <w:t xml:space="preserve">3.1 What stays</w:t>
      </w:r>
    </w:p>
    <w:p>
      <w:pPr>
        <w:pStyle w:val="ListParagraph"/>
        <w:numPr>
          <w:ilvl w:val="0"/>
          <w:numId w:val="2"/>
        </w:numPr>
      </w:pPr>
      <w:r>
        <w:t xml:space="preserve">The name "Whel". Short, ownable, already used in repository, domain considerations preserved.</w:t>
      </w:r>
    </w:p>
    <w:p>
      <w:pPr>
        <w:pStyle w:val="ListParagraph"/>
        <w:numPr>
          <w:ilvl w:val="0"/>
          <w:numId w:val="2"/>
        </w:numPr>
      </w:pPr>
      <w:r>
        <w:t xml:space="preserve">The full form: "Women's Health Evidence Lab." Reframe as a private company tagline, not a project descriptor.</w:t>
      </w:r>
    </w:p>
    <w:p>
      <w:pPr>
        <w:pStyle w:val="ListParagraph"/>
        <w:numPr>
          <w:ilvl w:val="0"/>
          <w:numId w:val="2"/>
        </w:numPr>
      </w:pPr>
      <w:r>
        <w:t xml:space="preserve">The deep-magenta palette and serif/sans pairing already established in the existing app shell.</w:t>
      </w:r>
    </w:p>
    <w:p>
      <w:pPr>
        <w:pStyle w:val="ListParagraph"/>
        <w:numPr>
          <w:ilvl w:val="0"/>
          <w:numId w:val="2"/>
        </w:numPr>
      </w:pPr>
      <w:r>
        <w:t xml:space="preserve">The first-principle commitment to per-claim provenance, instrumented synthesis with contradiction surfacing, and refusal to average away disagreement.</w:t>
      </w:r>
    </w:p>
    <w:p>
      <w:pPr>
        <w:pStyle w:val="ListParagraph"/>
        <w:numPr>
          <w:ilvl w:val="0"/>
          <w:numId w:val="2"/>
        </w:numPr>
      </w:pPr>
      <w:r>
        <w:t xml:space="preserve">The six condition coverage areas as the v0 corpus (PMDD, endometriosis, adenomyosis, PCOS, perimenopausal depression, vulvodynia).</w:t>
      </w:r>
    </w:p>
    <w:p>
      <w:pPr>
        <w:pStyle w:val="Heading2"/>
      </w:pPr>
      <w:r>
        <w:t xml:space="preserve">3.2 What changes</w:t>
      </w:r>
    </w:p>
    <w:p>
      <w:pPr>
        <w:pStyle w:val="Heading3"/>
      </w:pPr>
      <w:r>
        <w:t xml:space="preserve">Self-description</w:t>
      </w:r>
    </w:p>
    <w:p>
      <w:r>
        <w:t xml:space="preserve">Old: "A personal audit of drug-repurposing claims across women's health conditions."</w:t>
      </w:r>
    </w:p>
    <w:p>
      <w:r>
        <w:t xml:space="preserve">New: "The evidence substrate for women's health drug repurposing."</w:t>
      </w:r>
    </w:p>
    <w:p>
      <w:r>
        <w:t xml:space="preserve">Old uses the word "audit," "personal," and "claims" — all of which signal scope-limited project. New uses "substrate" (infrastructure), and removes "personal" entirely. The work continues; the framing now describes the platform underneath the work.</w:t>
      </w:r>
    </w:p>
    <w:p>
      <w:pPr>
        <w:pStyle w:val="Heading3"/>
      </w:pPr>
      <w:r>
        <w:t xml:space="preserve">Voice and tense</w:t>
      </w:r>
    </w:p>
    <w:p>
      <w:r>
        <w:t xml:space="preserve">Old: past tense, first-person singular ("I built", "I noticed", "I checked"). New: present tense, first-person plural ("Whel surfaces", "we preserve provenance", "the platform marks every synthesis"). Even when there is currently one founder, the company speaks as a company.</w:t>
      </w:r>
    </w:p>
    <w:p>
      <w:pPr>
        <w:pStyle w:val="Heading3"/>
      </w:pPr>
      <w:r>
        <w:t xml:space="preserve">Audience</w:t>
      </w:r>
    </w:p>
    <w:p>
      <w:r>
        <w:t xml:space="preserve">Old: an undefined general reader, with patient-facing connotations bleeding through. New: a tri-audience platform — clinician-researchers (primary), advocacy organizations (secondary), and patients (tertiary, mediated through the first two). Patient framing in copy is rebuilt to acknowledge the patient as the eventual beneficiary without making them the primary user.</w:t>
      </w:r>
    </w:p>
    <w:p>
      <w:pPr>
        <w:pStyle w:val="Heading3"/>
      </w:pPr>
      <w:r>
        <w:t xml:space="preserve">Claim density</w:t>
      </w:r>
    </w:p>
    <w:p>
      <w:r>
        <w:t xml:space="preserve">Old: dense block paragraphs with internal claims and a footer of citations. New: every sentence containing a factual claim is anchored to a citation token (the Anthropic Citations API pattern), and synthesis sentences are visually marked as syntheses so the reader knows which sentences are extracted from a source and which are an editorial combination of sources.</w:t>
      </w:r>
    </w:p>
    <w:p>
      <w:pPr>
        <w:pStyle w:val="Heading2"/>
      </w:pPr>
      <w:r>
        <w:t xml:space="preserve">3.3 Language to use (preferred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shd w:fill="7A1F3D" w:color="auto" w:val="clear"/>
          </w:tcPr>
          <w:p>
            <w:r>
              <w:rPr>
                <w:b/>
                <w:bCs/>
                <w:color w:val="FFFFFF"/>
                <w:sz w:val="20"/>
                <w:szCs w:val="20"/>
              </w:rPr>
              <w:t xml:space="preserve">Use</w:t>
            </w:r>
          </w:p>
        </w:tc>
        <w:tc>
          <w:tcPr>
            <w:tcW w:type="dxa" w:w="2880"/>
            <w:shd w:fill="7A1F3D" w:color="auto" w:val="clear"/>
          </w:tcPr>
          <w:p>
            <w:r>
              <w:rPr>
                <w:b/>
                <w:bCs/>
                <w:color w:val="FFFFFF"/>
                <w:sz w:val="20"/>
                <w:szCs w:val="20"/>
              </w:rPr>
              <w:t xml:space="preserve">Instead of</w:t>
            </w:r>
          </w:p>
        </w:tc>
        <w:tc>
          <w:tcPr>
            <w:tcW w:type="dxa" w:w="4320"/>
            <w:shd w:fill="7A1F3D" w:color="auto" w:val="clear"/>
          </w:tcPr>
          <w:p>
            <w:r>
              <w:rPr>
                <w:b/>
                <w:bCs/>
                <w:color w:val="FFFFFF"/>
                <w:sz w:val="20"/>
                <w:szCs w:val="20"/>
              </w:rPr>
              <w:t xml:space="preserve">Why</w:t>
            </w:r>
          </w:p>
        </w:tc>
      </w:tr>
      <w:tr>
        <w:trPr>
          <w:tblHeader w:val="false"/>
        </w:trPr>
        <w:tc>
          <w:tcPr>
            <w:tcW w:type="dxa" w:w="2160"/>
            <w:shd w:fill="F8F8F8" w:color="auto" w:val="clear"/>
          </w:tcPr>
          <w:p>
            <w:r>
              <w:rPr>
                <w:b w:val="false"/>
                <w:bCs w:val="false"/>
                <w:color w:val="222222"/>
                <w:sz w:val="20"/>
                <w:szCs w:val="20"/>
              </w:rPr>
              <w:t xml:space="preserve">evidence substrate</w:t>
            </w:r>
          </w:p>
        </w:tc>
        <w:tc>
          <w:tcPr>
            <w:tcW w:type="dxa" w:w="2880"/>
            <w:shd w:fill="F8F8F8" w:color="auto" w:val="clear"/>
          </w:tcPr>
          <w:p>
            <w:r>
              <w:rPr>
                <w:b w:val="false"/>
                <w:bCs w:val="false"/>
                <w:color w:val="222222"/>
                <w:sz w:val="20"/>
                <w:szCs w:val="20"/>
              </w:rPr>
              <w:t xml:space="preserve">database</w:t>
            </w:r>
          </w:p>
        </w:tc>
        <w:tc>
          <w:tcPr>
            <w:tcW w:type="dxa" w:w="4320"/>
            <w:shd w:fill="F8F8F8" w:color="auto" w:val="clear"/>
          </w:tcPr>
          <w:p>
            <w:r>
              <w:rPr>
                <w:b w:val="false"/>
                <w:bCs w:val="false"/>
                <w:color w:val="222222"/>
                <w:sz w:val="20"/>
                <w:szCs w:val="20"/>
              </w:rPr>
              <w:t xml:space="preserve">Conveys structured graph + provenance + ontology, not flat table.</w:t>
            </w:r>
          </w:p>
        </w:tc>
      </w:tr>
      <w:tr>
        <w:trPr>
          <w:tblHeader w:val="false"/>
        </w:trPr>
        <w:tc>
          <w:tcPr>
            <w:tcW w:type="dxa" w:w="2160"/>
            <w:shd w:fill="FFFFFF" w:color="auto" w:val="clear"/>
          </w:tcPr>
          <w:p>
            <w:r>
              <w:rPr>
                <w:b w:val="false"/>
                <w:bCs w:val="false"/>
                <w:color w:val="222222"/>
                <w:sz w:val="20"/>
                <w:szCs w:val="20"/>
              </w:rPr>
              <w:t xml:space="preserve">signal</w:t>
            </w:r>
          </w:p>
        </w:tc>
        <w:tc>
          <w:tcPr>
            <w:tcW w:type="dxa" w:w="2880"/>
            <w:shd w:fill="FFFFFF" w:color="auto" w:val="clear"/>
          </w:tcPr>
          <w:p>
            <w:r>
              <w:rPr>
                <w:b w:val="false"/>
                <w:bCs w:val="false"/>
                <w:color w:val="222222"/>
                <w:sz w:val="20"/>
                <w:szCs w:val="20"/>
              </w:rPr>
              <w:t xml:space="preserve">finding</w:t>
            </w:r>
          </w:p>
        </w:tc>
        <w:tc>
          <w:tcPr>
            <w:tcW w:type="dxa" w:w="4320"/>
            <w:shd w:fill="FFFFFF" w:color="auto" w:val="clear"/>
          </w:tcPr>
          <w:p>
            <w:r>
              <w:rPr>
                <w:b w:val="false"/>
                <w:bCs w:val="false"/>
                <w:color w:val="222222"/>
                <w:sz w:val="20"/>
                <w:szCs w:val="20"/>
              </w:rPr>
              <w:t xml:space="preserve">"Finding" implies established truth; "signal" preserves uncertainty.</w:t>
            </w:r>
          </w:p>
        </w:tc>
      </w:tr>
      <w:tr>
        <w:trPr>
          <w:tblHeader w:val="false"/>
        </w:trPr>
        <w:tc>
          <w:tcPr>
            <w:tcW w:type="dxa" w:w="2160"/>
            <w:shd w:fill="F8F8F8" w:color="auto" w:val="clear"/>
          </w:tcPr>
          <w:p>
            <w:r>
              <w:rPr>
                <w:b w:val="false"/>
                <w:bCs w:val="false"/>
                <w:color w:val="222222"/>
                <w:sz w:val="20"/>
                <w:szCs w:val="20"/>
              </w:rPr>
              <w:t xml:space="preserve">contradiction surfacing</w:t>
            </w:r>
          </w:p>
        </w:tc>
        <w:tc>
          <w:tcPr>
            <w:tcW w:type="dxa" w:w="2880"/>
            <w:shd w:fill="F8F8F8" w:color="auto" w:val="clear"/>
          </w:tcPr>
          <w:p>
            <w:r>
              <w:rPr>
                <w:b w:val="false"/>
                <w:bCs w:val="false"/>
                <w:color w:val="222222"/>
                <w:sz w:val="20"/>
                <w:szCs w:val="20"/>
              </w:rPr>
              <w:t xml:space="preserve">consensus</w:t>
            </w:r>
          </w:p>
        </w:tc>
        <w:tc>
          <w:tcPr>
            <w:tcW w:type="dxa" w:w="4320"/>
            <w:shd w:fill="F8F8F8" w:color="auto" w:val="clear"/>
          </w:tcPr>
          <w:p>
            <w:r>
              <w:rPr>
                <w:b w:val="false"/>
                <w:bCs w:val="false"/>
                <w:color w:val="222222"/>
                <w:sz w:val="20"/>
                <w:szCs w:val="20"/>
              </w:rPr>
              <w:t xml:space="preserve">We do not collapse disagreement; we expose it.</w:t>
            </w:r>
          </w:p>
        </w:tc>
      </w:tr>
      <w:tr>
        <w:trPr>
          <w:tblHeader w:val="false"/>
        </w:trPr>
        <w:tc>
          <w:tcPr>
            <w:tcW w:type="dxa" w:w="2160"/>
            <w:shd w:fill="FFFFFF" w:color="auto" w:val="clear"/>
          </w:tcPr>
          <w:p>
            <w:r>
              <w:rPr>
                <w:b w:val="false"/>
                <w:bCs w:val="false"/>
                <w:color w:val="222222"/>
                <w:sz w:val="20"/>
                <w:szCs w:val="20"/>
              </w:rPr>
              <w:t xml:space="preserve">per-claim provenance</w:t>
            </w:r>
          </w:p>
        </w:tc>
        <w:tc>
          <w:tcPr>
            <w:tcW w:type="dxa" w:w="2880"/>
            <w:shd w:fill="FFFFFF" w:color="auto" w:val="clear"/>
          </w:tcPr>
          <w:p>
            <w:r>
              <w:rPr>
                <w:b w:val="false"/>
                <w:bCs w:val="false"/>
                <w:color w:val="222222"/>
                <w:sz w:val="20"/>
                <w:szCs w:val="20"/>
              </w:rPr>
              <w:t xml:space="preserve">citations</w:t>
            </w:r>
          </w:p>
        </w:tc>
        <w:tc>
          <w:tcPr>
            <w:tcW w:type="dxa" w:w="4320"/>
            <w:shd w:fill="FFFFFF" w:color="auto" w:val="clear"/>
          </w:tcPr>
          <w:p>
            <w:r>
              <w:rPr>
                <w:b w:val="false"/>
                <w:bCs w:val="false"/>
                <w:color w:val="222222"/>
                <w:sz w:val="20"/>
                <w:szCs w:val="20"/>
              </w:rPr>
              <w:t xml:space="preserve">Citations can hide which sentence comes from where; per-claim ties one source to one claim.</w:t>
            </w:r>
          </w:p>
        </w:tc>
      </w:tr>
      <w:tr>
        <w:trPr>
          <w:tblHeader w:val="false"/>
        </w:trPr>
        <w:tc>
          <w:tcPr>
            <w:tcW w:type="dxa" w:w="2160"/>
            <w:shd w:fill="F8F8F8" w:color="auto" w:val="clear"/>
          </w:tcPr>
          <w:p>
            <w:r>
              <w:rPr>
                <w:b w:val="false"/>
                <w:bCs w:val="false"/>
                <w:color w:val="222222"/>
                <w:sz w:val="20"/>
                <w:szCs w:val="20"/>
              </w:rPr>
              <w:t xml:space="preserve">instrumented synthesis</w:t>
            </w:r>
          </w:p>
        </w:tc>
        <w:tc>
          <w:tcPr>
            <w:tcW w:type="dxa" w:w="2880"/>
            <w:shd w:fill="F8F8F8" w:color="auto" w:val="clear"/>
          </w:tcPr>
          <w:p>
            <w:r>
              <w:rPr>
                <w:b w:val="false"/>
                <w:bCs w:val="false"/>
                <w:color w:val="222222"/>
                <w:sz w:val="20"/>
                <w:szCs w:val="20"/>
              </w:rPr>
              <w:t xml:space="preserve">AI summary</w:t>
            </w:r>
          </w:p>
        </w:tc>
        <w:tc>
          <w:tcPr>
            <w:tcW w:type="dxa" w:w="4320"/>
            <w:shd w:fill="F8F8F8" w:color="auto" w:val="clear"/>
          </w:tcPr>
          <w:p>
            <w:r>
              <w:rPr>
                <w:b w:val="false"/>
                <w:bCs w:val="false"/>
                <w:color w:val="222222"/>
                <w:sz w:val="20"/>
                <w:szCs w:val="20"/>
              </w:rPr>
              <w:t xml:space="preserve">Synthesis is marked, traceable, and reproducible.</w:t>
            </w:r>
          </w:p>
        </w:tc>
      </w:tr>
      <w:tr>
        <w:trPr>
          <w:tblHeader w:val="false"/>
        </w:trPr>
        <w:tc>
          <w:tcPr>
            <w:tcW w:type="dxa" w:w="2160"/>
            <w:shd w:fill="FFFFFF" w:color="auto" w:val="clear"/>
          </w:tcPr>
          <w:p>
            <w:r>
              <w:rPr>
                <w:b w:val="false"/>
                <w:bCs w:val="false"/>
                <w:color w:val="222222"/>
                <w:sz w:val="20"/>
                <w:szCs w:val="20"/>
              </w:rPr>
              <w:t xml:space="preserve">cyclical PK model</w:t>
            </w:r>
          </w:p>
        </w:tc>
        <w:tc>
          <w:tcPr>
            <w:tcW w:type="dxa" w:w="2880"/>
            <w:shd w:fill="FFFFFF" w:color="auto" w:val="clear"/>
          </w:tcPr>
          <w:p>
            <w:r>
              <w:rPr>
                <w:b w:val="false"/>
                <w:bCs w:val="false"/>
                <w:color w:val="222222"/>
                <w:sz w:val="20"/>
                <w:szCs w:val="20"/>
              </w:rPr>
              <w:t xml:space="preserve">menstrual cycle</w:t>
            </w:r>
          </w:p>
        </w:tc>
        <w:tc>
          <w:tcPr>
            <w:tcW w:type="dxa" w:w="4320"/>
            <w:shd w:fill="FFFFFF" w:color="auto" w:val="clear"/>
          </w:tcPr>
          <w:p>
            <w:r>
              <w:rPr>
                <w:b w:val="false"/>
                <w:bCs w:val="false"/>
                <w:color w:val="222222"/>
                <w:sz w:val="20"/>
                <w:szCs w:val="20"/>
              </w:rPr>
              <w:t xml:space="preserve">Frames hormonal state as pharmacokinetically structured data, not anecdote.</w:t>
            </w:r>
          </w:p>
        </w:tc>
      </w:tr>
      <w:tr>
        <w:trPr>
          <w:tblHeader w:val="false"/>
        </w:trPr>
        <w:tc>
          <w:tcPr>
            <w:tcW w:type="dxa" w:w="2160"/>
            <w:shd w:fill="F8F8F8" w:color="auto" w:val="clear"/>
          </w:tcPr>
          <w:p>
            <w:r>
              <w:rPr>
                <w:b w:val="false"/>
                <w:bCs w:val="false"/>
                <w:color w:val="222222"/>
                <w:sz w:val="20"/>
                <w:szCs w:val="20"/>
              </w:rPr>
              <w:t xml:space="preserve">hypothesis-generation layer</w:t>
            </w:r>
          </w:p>
        </w:tc>
        <w:tc>
          <w:tcPr>
            <w:tcW w:type="dxa" w:w="2880"/>
            <w:shd w:fill="F8F8F8" w:color="auto" w:val="clear"/>
          </w:tcPr>
          <w:p>
            <w:r>
              <w:rPr>
                <w:b w:val="false"/>
                <w:bCs w:val="false"/>
                <w:color w:val="222222"/>
                <w:sz w:val="20"/>
                <w:szCs w:val="20"/>
              </w:rPr>
              <w:t xml:space="preserve">community reports</w:t>
            </w:r>
          </w:p>
        </w:tc>
        <w:tc>
          <w:tcPr>
            <w:tcW w:type="dxa" w:w="4320"/>
            <w:shd w:fill="F8F8F8" w:color="auto" w:val="clear"/>
          </w:tcPr>
          <w:p>
            <w:r>
              <w:rPr>
                <w:b w:val="false"/>
                <w:bCs w:val="false"/>
                <w:color w:val="222222"/>
                <w:sz w:val="20"/>
                <w:szCs w:val="20"/>
              </w:rPr>
              <w:t xml:space="preserve">Positions patient signal as input to a validation pipeline.</w:t>
            </w:r>
          </w:p>
        </w:tc>
      </w:tr>
      <w:tr>
        <w:trPr>
          <w:tblHeader w:val="false"/>
        </w:trPr>
        <w:tc>
          <w:tcPr>
            <w:tcW w:type="dxa" w:w="2160"/>
            <w:shd w:fill="FFFFFF" w:color="auto" w:val="clear"/>
          </w:tcPr>
          <w:p>
            <w:r>
              <w:rPr>
                <w:b w:val="false"/>
                <w:bCs w:val="false"/>
                <w:color w:val="222222"/>
                <w:sz w:val="20"/>
                <w:szCs w:val="20"/>
              </w:rPr>
              <w:t xml:space="preserve">research-support tool</w:t>
            </w:r>
          </w:p>
        </w:tc>
        <w:tc>
          <w:tcPr>
            <w:tcW w:type="dxa" w:w="2880"/>
            <w:shd w:fill="FFFFFF" w:color="auto" w:val="clear"/>
          </w:tcPr>
          <w:p>
            <w:r>
              <w:rPr>
                <w:b w:val="false"/>
                <w:bCs w:val="false"/>
                <w:color w:val="222222"/>
                <w:sz w:val="20"/>
                <w:szCs w:val="20"/>
              </w:rPr>
              <w:t xml:space="preserve">clinical tool</w:t>
            </w:r>
          </w:p>
        </w:tc>
        <w:tc>
          <w:tcPr>
            <w:tcW w:type="dxa" w:w="4320"/>
            <w:shd w:fill="FFFFFF" w:color="auto" w:val="clear"/>
          </w:tcPr>
          <w:p>
            <w:r>
              <w:rPr>
                <w:b w:val="false"/>
                <w:bCs w:val="false"/>
                <w:color w:val="222222"/>
                <w:sz w:val="20"/>
                <w:szCs w:val="20"/>
              </w:rPr>
              <w:t xml:space="preserve">Aligns with 21st Century Cures §3060 exemption.</w:t>
            </w:r>
          </w:p>
        </w:tc>
      </w:tr>
      <w:tr>
        <w:trPr>
          <w:tblHeader w:val="false"/>
        </w:trPr>
        <w:tc>
          <w:tcPr>
            <w:tcW w:type="dxa" w:w="2160"/>
            <w:shd w:fill="F8F8F8" w:color="auto" w:val="clear"/>
          </w:tcPr>
          <w:p>
            <w:r>
              <w:rPr>
                <w:b w:val="false"/>
                <w:bCs w:val="false"/>
                <w:color w:val="222222"/>
                <w:sz w:val="20"/>
                <w:szCs w:val="20"/>
              </w:rPr>
              <w:t xml:space="preserve">under-studied</w:t>
            </w:r>
          </w:p>
        </w:tc>
        <w:tc>
          <w:tcPr>
            <w:tcW w:type="dxa" w:w="2880"/>
            <w:shd w:fill="F8F8F8" w:color="auto" w:val="clear"/>
          </w:tcPr>
          <w:p>
            <w:r>
              <w:rPr>
                <w:b w:val="false"/>
                <w:bCs w:val="false"/>
                <w:color w:val="222222"/>
                <w:sz w:val="20"/>
                <w:szCs w:val="20"/>
              </w:rPr>
              <w:t xml:space="preserve">ignored</w:t>
            </w:r>
          </w:p>
        </w:tc>
        <w:tc>
          <w:tcPr>
            <w:tcW w:type="dxa" w:w="4320"/>
            <w:shd w:fill="F8F8F8" w:color="auto" w:val="clear"/>
          </w:tcPr>
          <w:p>
            <w:r>
              <w:rPr>
                <w:b w:val="false"/>
                <w:bCs w:val="false"/>
                <w:color w:val="222222"/>
                <w:sz w:val="20"/>
                <w:szCs w:val="20"/>
              </w:rPr>
              <w:t xml:space="preserve">Quantifiable, professional, and accurate.</w:t>
            </w:r>
          </w:p>
        </w:tc>
      </w:tr>
      <w:tr>
        <w:trPr>
          <w:tblHeader w:val="false"/>
        </w:trPr>
        <w:tc>
          <w:tcPr>
            <w:tcW w:type="dxa" w:w="2160"/>
            <w:shd w:fill="FFFFFF" w:color="auto" w:val="clear"/>
          </w:tcPr>
          <w:p>
            <w:r>
              <w:rPr>
                <w:b w:val="false"/>
                <w:bCs w:val="false"/>
                <w:color w:val="222222"/>
                <w:sz w:val="20"/>
                <w:szCs w:val="20"/>
              </w:rPr>
              <w:t xml:space="preserve">505(b)(2)-ready evidence</w:t>
            </w:r>
          </w:p>
        </w:tc>
        <w:tc>
          <w:tcPr>
            <w:tcW w:type="dxa" w:w="2880"/>
            <w:shd w:fill="FFFFFF" w:color="auto" w:val="clear"/>
          </w:tcPr>
          <w:p>
            <w:r>
              <w:rPr>
                <w:b w:val="false"/>
                <w:bCs w:val="false"/>
                <w:color w:val="222222"/>
                <w:sz w:val="20"/>
                <w:szCs w:val="20"/>
              </w:rPr>
              <w:t xml:space="preserve">ready for trials</w:t>
            </w:r>
          </w:p>
        </w:tc>
        <w:tc>
          <w:tcPr>
            <w:tcW w:type="dxa" w:w="4320"/>
            <w:shd w:fill="FFFFFF" w:color="auto" w:val="clear"/>
          </w:tcPr>
          <w:p>
            <w:r>
              <w:rPr>
                <w:b w:val="false"/>
                <w:bCs w:val="false"/>
                <w:color w:val="222222"/>
                <w:sz w:val="20"/>
                <w:szCs w:val="20"/>
              </w:rPr>
              <w:t xml:space="preserve">Names the regulatory pathway repurposing actually uses.</w:t>
            </w:r>
          </w:p>
        </w:tc>
      </w:tr>
    </w:tbl>
    <w:p>
      <w:pPr>
        <w:pStyle w:val="Heading2"/>
      </w:pPr>
      <w:r>
        <w:t xml:space="preserve">3.4 Language to retire</w:t>
      </w:r>
    </w:p>
    <w:p>
      <w:pPr>
        <w:pStyle w:val="ListParagraph"/>
        <w:numPr>
          <w:ilvl w:val="0"/>
          <w:numId w:val="2"/>
        </w:numPr>
      </w:pPr>
      <w:r>
        <w:t xml:space="preserve">"I audited" — replaced by "Whel surfaces" or "the platform validates."</w:t>
      </w:r>
    </w:p>
    <w:p>
      <w:pPr>
        <w:pStyle w:val="ListParagraph"/>
        <w:numPr>
          <w:ilvl w:val="0"/>
          <w:numId w:val="2"/>
        </w:numPr>
      </w:pPr>
      <w:r>
        <w:t xml:space="preserve">"This is what I found" — replaced by "the evidence supports / contradicts / is silent on."</w:t>
      </w:r>
    </w:p>
    <w:p>
      <w:pPr>
        <w:pStyle w:val="ListParagraph"/>
        <w:numPr>
          <w:ilvl w:val="0"/>
          <w:numId w:val="2"/>
        </w:numPr>
      </w:pPr>
      <w:r>
        <w:t xml:space="preserve">"Personal project" — never use.</w:t>
      </w:r>
    </w:p>
    <w:p>
      <w:pPr>
        <w:pStyle w:val="ListParagraph"/>
        <w:numPr>
          <w:ilvl w:val="0"/>
          <w:numId w:val="2"/>
        </w:numPr>
      </w:pPr>
      <w:r>
        <w:t xml:space="preserve">"For women like me" — patient-centered language belongs in advocacy contexts, not in platform descriptions.</w:t>
      </w:r>
    </w:p>
    <w:p>
      <w:pPr>
        <w:pStyle w:val="ListParagraph"/>
        <w:numPr>
          <w:ilvl w:val="0"/>
          <w:numId w:val="2"/>
        </w:numPr>
      </w:pPr>
      <w:r>
        <w:t xml:space="preserve">"AI-powered" — every product is AI-powered; the LLM is not the moat.</w:t>
      </w:r>
    </w:p>
    <w:p>
      <w:pPr>
        <w:pStyle w:val="ListParagraph"/>
        <w:numPr>
          <w:ilvl w:val="0"/>
          <w:numId w:val="2"/>
        </w:numPr>
      </w:pPr>
      <w:r>
        <w:t xml:space="preserve">"Comprehensive" — claims completeness we cannot prove.</w:t>
      </w:r>
    </w:p>
    <w:p>
      <w:pPr>
        <w:pStyle w:val="ListParagraph"/>
        <w:numPr>
          <w:ilvl w:val="0"/>
          <w:numId w:val="2"/>
        </w:numPr>
      </w:pPr>
      <w:r>
        <w:t xml:space="preserve">"Trustworthy AI" — too generic; replaced by the specific mechanism: per-claim provenance with contradiction surfacing.</w:t>
      </w:r>
    </w:p>
    <w:p>
      <w:pPr>
        <w:pStyle w:val="Heading2"/>
      </w:pPr>
      <w:r>
        <w:t xml:space="preserve">3.5 Visual identity guardrails</w:t>
      </w:r>
    </w:p>
    <w:p>
      <w:r>
        <w:t xml:space="preserve">Primary mark stays Whel in serif uppercase, deep-magenta on white. Wordmark lockup adds "Women's Health Evidence Lab" in sans-serif beneath at 40% size. The color palette stays close to the existing #7A1F3D accent with a soft tint (#F4E4EC) for callouts. Avoid pink in chrome and UI — reserve magenta for emphasis. Typography remains a Georgia/Calibri pairing through the v1 build; revisit when commissioning a brand designer in Phase 3.</w:t>
      </w:r>
    </w:p>
    <w:p>
      <w:pPr>
        <w:pStyle w:val="Heading2"/>
      </w:pPr>
      <w:r>
        <w:t xml:space="preserve">3.6 Channel-by-channel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7A1F3D" w:color="auto" w:val="clear"/>
          </w:tcPr>
          <w:p>
            <w:r>
              <w:rPr>
                <w:b/>
                <w:bCs/>
                <w:color w:val="FFFFFF"/>
                <w:sz w:val="20"/>
                <w:szCs w:val="20"/>
              </w:rPr>
              <w:t xml:space="preserve">Channel</w:t>
            </w:r>
          </w:p>
        </w:tc>
        <w:tc>
          <w:tcPr>
            <w:tcW w:type="dxa" w:w="3600"/>
            <w:shd w:fill="7A1F3D" w:color="auto" w:val="clear"/>
          </w:tcPr>
          <w:p>
            <w:r>
              <w:rPr>
                <w:b/>
                <w:bCs/>
                <w:color w:val="FFFFFF"/>
                <w:sz w:val="20"/>
                <w:szCs w:val="20"/>
              </w:rPr>
              <w:t xml:space="preserve">Old framing</w:t>
            </w:r>
          </w:p>
        </w:tc>
        <w:tc>
          <w:tcPr>
            <w:tcW w:type="dxa" w:w="3960"/>
            <w:shd w:fill="7A1F3D" w:color="auto" w:val="clear"/>
          </w:tcPr>
          <w:p>
            <w:r>
              <w:rPr>
                <w:b/>
                <w:bCs/>
                <w:color w:val="FFFFFF"/>
                <w:sz w:val="20"/>
                <w:szCs w:val="20"/>
              </w:rPr>
              <w:t xml:space="preserve">New framing</w:t>
            </w:r>
          </w:p>
        </w:tc>
      </w:tr>
      <w:tr>
        <w:trPr>
          <w:tblHeader w:val="false"/>
        </w:trPr>
        <w:tc>
          <w:tcPr>
            <w:tcW w:type="dxa" w:w="1800"/>
            <w:shd w:fill="F8F8F8" w:color="auto" w:val="clear"/>
          </w:tcPr>
          <w:p>
            <w:r>
              <w:rPr>
                <w:b w:val="false"/>
                <w:bCs w:val="false"/>
                <w:color w:val="222222"/>
                <w:sz w:val="20"/>
                <w:szCs w:val="20"/>
              </w:rPr>
              <w:t xml:space="preserve">Website hero</w:t>
            </w:r>
          </w:p>
        </w:tc>
        <w:tc>
          <w:tcPr>
            <w:tcW w:type="dxa" w:w="3600"/>
            <w:shd w:fill="F8F8F8" w:color="auto" w:val="clear"/>
          </w:tcPr>
          <w:p>
            <w:r>
              <w:rPr>
                <w:b w:val="false"/>
                <w:bCs w:val="false"/>
                <w:color w:val="222222"/>
                <w:sz w:val="20"/>
                <w:szCs w:val="20"/>
              </w:rPr>
              <w:t xml:space="preserve">"I checked the evidence so you don't have to."</w:t>
            </w:r>
          </w:p>
        </w:tc>
        <w:tc>
          <w:tcPr>
            <w:tcW w:type="dxa" w:w="3960"/>
            <w:shd w:fill="F8F8F8" w:color="auto" w:val="clear"/>
          </w:tcPr>
          <w:p>
            <w:r>
              <w:rPr>
                <w:b w:val="false"/>
                <w:bCs w:val="false"/>
                <w:color w:val="222222"/>
                <w:sz w:val="20"/>
                <w:szCs w:val="20"/>
              </w:rPr>
              <w:t xml:space="preserve">"The trusted evidence substrate for women's health drug repurposing."</w:t>
            </w:r>
          </w:p>
        </w:tc>
      </w:tr>
      <w:tr>
        <w:trPr>
          <w:tblHeader w:val="false"/>
        </w:trPr>
        <w:tc>
          <w:tcPr>
            <w:tcW w:type="dxa" w:w="1800"/>
            <w:shd w:fill="FFFFFF" w:color="auto" w:val="clear"/>
          </w:tcPr>
          <w:p>
            <w:r>
              <w:rPr>
                <w:b w:val="false"/>
                <w:bCs w:val="false"/>
                <w:color w:val="222222"/>
                <w:sz w:val="20"/>
                <w:szCs w:val="20"/>
              </w:rPr>
              <w:t xml:space="preserve">Website subhead</w:t>
            </w:r>
          </w:p>
        </w:tc>
        <w:tc>
          <w:tcPr>
            <w:tcW w:type="dxa" w:w="3600"/>
            <w:shd w:fill="FFFFFF" w:color="auto" w:val="clear"/>
          </w:tcPr>
          <w:p>
            <w:r>
              <w:rPr>
                <w:b w:val="false"/>
                <w:bCs w:val="false"/>
                <w:color w:val="222222"/>
                <w:sz w:val="20"/>
                <w:szCs w:val="20"/>
              </w:rPr>
              <w:t xml:space="preserve">About the founder + motivation</w:t>
            </w:r>
          </w:p>
        </w:tc>
        <w:tc>
          <w:tcPr>
            <w:tcW w:type="dxa" w:w="3960"/>
            <w:shd w:fill="FFFFFF" w:color="auto" w:val="clear"/>
          </w:tcPr>
          <w:p>
            <w:r>
              <w:rPr>
                <w:b w:val="false"/>
                <w:bCs w:val="false"/>
                <w:color w:val="222222"/>
                <w:sz w:val="20"/>
                <w:szCs w:val="20"/>
              </w:rPr>
              <w:t xml:space="preserve">Three-sentence pitch from §2.2</w:t>
            </w:r>
          </w:p>
        </w:tc>
      </w:tr>
      <w:tr>
        <w:trPr>
          <w:tblHeader w:val="false"/>
        </w:trPr>
        <w:tc>
          <w:tcPr>
            <w:tcW w:type="dxa" w:w="1800"/>
            <w:shd w:fill="F8F8F8" w:color="auto" w:val="clear"/>
          </w:tcPr>
          <w:p>
            <w:r>
              <w:rPr>
                <w:b w:val="false"/>
                <w:bCs w:val="false"/>
                <w:color w:val="222222"/>
                <w:sz w:val="20"/>
                <w:szCs w:val="20"/>
              </w:rPr>
              <w:t xml:space="preserve">About page</w:t>
            </w:r>
          </w:p>
        </w:tc>
        <w:tc>
          <w:tcPr>
            <w:tcW w:type="dxa" w:w="3600"/>
            <w:shd w:fill="F8F8F8" w:color="auto" w:val="clear"/>
          </w:tcPr>
          <w:p>
            <w:r>
              <w:rPr>
                <w:b w:val="false"/>
                <w:bCs w:val="false"/>
                <w:color w:val="222222"/>
                <w:sz w:val="20"/>
                <w:szCs w:val="20"/>
              </w:rPr>
              <w:t xml:space="preserve">Personal story (kept, but moved below the fold)</w:t>
            </w:r>
          </w:p>
        </w:tc>
        <w:tc>
          <w:tcPr>
            <w:tcW w:type="dxa" w:w="3960"/>
            <w:shd w:fill="F8F8F8" w:color="auto" w:val="clear"/>
          </w:tcPr>
          <w:p>
            <w:r>
              <w:rPr>
                <w:b w:val="false"/>
                <w:bCs w:val="false"/>
                <w:color w:val="222222"/>
                <w:sz w:val="20"/>
                <w:szCs w:val="20"/>
              </w:rPr>
              <w:t xml:space="preserve">Company story: why this substrate, why now, who it serves</w:t>
            </w:r>
          </w:p>
        </w:tc>
      </w:tr>
      <w:tr>
        <w:trPr>
          <w:tblHeader w:val="false"/>
        </w:trPr>
        <w:tc>
          <w:tcPr>
            <w:tcW w:type="dxa" w:w="1800"/>
            <w:shd w:fill="FFFFFF" w:color="auto" w:val="clear"/>
          </w:tcPr>
          <w:p>
            <w:r>
              <w:rPr>
                <w:b w:val="false"/>
                <w:bCs w:val="false"/>
                <w:color w:val="222222"/>
                <w:sz w:val="20"/>
                <w:szCs w:val="20"/>
              </w:rPr>
              <w:t xml:space="preserve">Footer</w:t>
            </w:r>
          </w:p>
        </w:tc>
        <w:tc>
          <w:tcPr>
            <w:tcW w:type="dxa" w:w="3600"/>
            <w:shd w:fill="FFFFFF" w:color="auto" w:val="clear"/>
          </w:tcPr>
          <w:p>
            <w:r>
              <w:rPr>
                <w:b w:val="false"/>
                <w:bCs w:val="false"/>
                <w:color w:val="222222"/>
                <w:sz w:val="20"/>
                <w:szCs w:val="20"/>
              </w:rPr>
              <w:t xml:space="preserve">"A project by Veronica"</w:t>
            </w:r>
          </w:p>
        </w:tc>
        <w:tc>
          <w:tcPr>
            <w:tcW w:type="dxa" w:w="3960"/>
            <w:shd w:fill="FFFFFF" w:color="auto" w:val="clear"/>
          </w:tcPr>
          <w:p>
            <w:r>
              <w:rPr>
                <w:b w:val="false"/>
                <w:bCs w:val="false"/>
                <w:color w:val="222222"/>
                <w:sz w:val="20"/>
                <w:szCs w:val="20"/>
              </w:rPr>
              <w:t xml:space="preserve">"Whel, Inc. — Delaware C-Corporation, founded 2026"</w:t>
            </w:r>
          </w:p>
        </w:tc>
      </w:tr>
      <w:tr>
        <w:trPr>
          <w:tblHeader w:val="false"/>
        </w:trPr>
        <w:tc>
          <w:tcPr>
            <w:tcW w:type="dxa" w:w="1800"/>
            <w:shd w:fill="F8F8F8" w:color="auto" w:val="clear"/>
          </w:tcPr>
          <w:p>
            <w:r>
              <w:rPr>
                <w:b w:val="false"/>
                <w:bCs w:val="false"/>
                <w:color w:val="222222"/>
                <w:sz w:val="20"/>
                <w:szCs w:val="20"/>
              </w:rPr>
              <w:t xml:space="preserve">Repo README</w:t>
            </w:r>
          </w:p>
        </w:tc>
        <w:tc>
          <w:tcPr>
            <w:tcW w:type="dxa" w:w="3600"/>
            <w:shd w:fill="F8F8F8" w:color="auto" w:val="clear"/>
          </w:tcPr>
          <w:p>
            <w:r>
              <w:rPr>
                <w:b w:val="false"/>
                <w:bCs w:val="false"/>
                <w:color w:val="222222"/>
                <w:sz w:val="20"/>
                <w:szCs w:val="20"/>
              </w:rPr>
              <w:t xml:space="preserve">Project description</w:t>
            </w:r>
          </w:p>
        </w:tc>
        <w:tc>
          <w:tcPr>
            <w:tcW w:type="dxa" w:w="3960"/>
            <w:shd w:fill="F8F8F8" w:color="auto" w:val="clear"/>
          </w:tcPr>
          <w:p>
            <w:r>
              <w:rPr>
                <w:b w:val="false"/>
                <w:bCs w:val="false"/>
                <w:color w:val="222222"/>
                <w:sz w:val="20"/>
                <w:szCs w:val="20"/>
              </w:rPr>
              <w:t xml:space="preserve">Company README with mission, architecture overview, contribution gates</w:t>
            </w:r>
          </w:p>
        </w:tc>
      </w:tr>
      <w:tr>
        <w:trPr>
          <w:tblHeader w:val="false"/>
        </w:trPr>
        <w:tc>
          <w:tcPr>
            <w:tcW w:type="dxa" w:w="1800"/>
            <w:shd w:fill="FFFFFF" w:color="auto" w:val="clear"/>
          </w:tcPr>
          <w:p>
            <w:r>
              <w:rPr>
                <w:b w:val="false"/>
                <w:bCs w:val="false"/>
                <w:color w:val="222222"/>
                <w:sz w:val="20"/>
                <w:szCs w:val="20"/>
              </w:rPr>
              <w:t xml:space="preserve">Pitch deck</w:t>
            </w:r>
          </w:p>
        </w:tc>
        <w:tc>
          <w:tcPr>
            <w:tcW w:type="dxa" w:w="3600"/>
            <w:shd w:fill="FFFFFF" w:color="auto" w:val="clear"/>
          </w:tcPr>
          <w:p>
            <w:r>
              <w:rPr>
                <w:b w:val="false"/>
                <w:bCs w:val="false"/>
                <w:color w:val="222222"/>
                <w:sz w:val="20"/>
                <w:szCs w:val="20"/>
              </w:rPr>
              <w:t xml:space="preserve">N/A (does not yet exist)</w:t>
            </w:r>
          </w:p>
        </w:tc>
        <w:tc>
          <w:tcPr>
            <w:tcW w:type="dxa" w:w="3960"/>
            <w:shd w:fill="FFFFFF" w:color="auto" w:val="clear"/>
          </w:tcPr>
          <w:p>
            <w:r>
              <w:rPr>
                <w:b w:val="false"/>
                <w:bCs w:val="false"/>
                <w:color w:val="222222"/>
                <w:sz w:val="20"/>
                <w:szCs w:val="20"/>
              </w:rPr>
              <w:t xml:space="preserve">12-slide standard order, language locked to §2</w:t>
            </w:r>
          </w:p>
        </w:tc>
      </w:tr>
      <w:tr>
        <w:trPr>
          <w:tblHeader w:val="false"/>
        </w:trPr>
        <w:tc>
          <w:tcPr>
            <w:tcW w:type="dxa" w:w="1800"/>
            <w:shd w:fill="F8F8F8" w:color="auto" w:val="clear"/>
          </w:tcPr>
          <w:p>
            <w:r>
              <w:rPr>
                <w:b w:val="false"/>
                <w:bCs w:val="false"/>
                <w:color w:val="222222"/>
                <w:sz w:val="20"/>
                <w:szCs w:val="20"/>
              </w:rPr>
              <w:t xml:space="preserve">Grant applications</w:t>
            </w:r>
          </w:p>
        </w:tc>
        <w:tc>
          <w:tcPr>
            <w:tcW w:type="dxa" w:w="3600"/>
            <w:shd w:fill="F8F8F8" w:color="auto" w:val="clear"/>
          </w:tcPr>
          <w:p>
            <w:r>
              <w:rPr>
                <w:b w:val="false"/>
                <w:bCs w:val="false"/>
                <w:color w:val="222222"/>
                <w:sz w:val="20"/>
                <w:szCs w:val="20"/>
              </w:rPr>
              <w:t xml:space="preserve">N/A</w:t>
            </w:r>
          </w:p>
        </w:tc>
        <w:tc>
          <w:tcPr>
            <w:tcW w:type="dxa" w:w="3960"/>
            <w:shd w:fill="F8F8F8" w:color="auto" w:val="clear"/>
          </w:tcPr>
          <w:p>
            <w:r>
              <w:rPr>
                <w:b w:val="false"/>
                <w:bCs w:val="false"/>
                <w:color w:val="222222"/>
                <w:sz w:val="20"/>
                <w:szCs w:val="20"/>
              </w:rPr>
              <w:t xml:space="preserve">Use §2.3 problem statement + §2.4 solution statement verbatim</w:t>
            </w:r>
          </w:p>
        </w:tc>
      </w:tr>
    </w:tbl>
    <w:p>
      <w:pPr>
        <w:pStyle w:val="Heading2"/>
      </w:pPr>
      <w:r>
        <w:t xml:space="preserve">3.7 Naming conventions (internal)</w:t>
      </w:r>
    </w:p>
    <w:p>
      <w:pPr>
        <w:pStyle w:val="ListParagraph"/>
        <w:numPr>
          <w:ilvl w:val="0"/>
          <w:numId w:val="2"/>
        </w:numPr>
      </w:pPr>
      <w:r>
        <w:t xml:space="preserve">Repository: rename existing repo to "whel-legacy" for archival; new repo is "whel" (no qualifier).</w:t>
      </w:r>
    </w:p>
    <w:p>
      <w:pPr>
        <w:pStyle w:val="ListParagraph"/>
        <w:numPr>
          <w:ilvl w:val="0"/>
          <w:numId w:val="2"/>
        </w:numPr>
      </w:pPr>
      <w:r>
        <w:t xml:space="preserve">Database (Supabase): keep current project; create a new schema "whel_v2" for the rebuilt data model so v1 stays queryable.</w:t>
      </w:r>
    </w:p>
    <w:p>
      <w:pPr>
        <w:pStyle w:val="ListParagraph"/>
        <w:numPr>
          <w:ilvl w:val="0"/>
          <w:numId w:val="2"/>
        </w:numPr>
      </w:pPr>
      <w:r>
        <w:t xml:space="preserve">Domain: keep current domain; add an Inc.-status banner when corporate vehicle exists.</w:t>
      </w:r>
    </w:p>
    <w:p>
      <w:pPr>
        <w:pStyle w:val="ListParagraph"/>
        <w:numPr>
          <w:ilvl w:val="0"/>
          <w:numId w:val="2"/>
        </w:numPr>
      </w:pPr>
      <w:r>
        <w:t xml:space="preserve">Company slug for legal: "Whel, Inc." (with comma, period). The "Women's Health Evidence Lab" wording is the dba/tagline, not the legal name.</w:t>
      </w:r>
    </w:p>
    <w:p>
      <w:pPr>
        <w:pStyle w:val="Heading1"/>
        <w:pageBreakBefore/>
      </w:pPr>
      <w:r>
        <w:t xml:space="preserve">4. Legal &amp; Corporate Structure</w:t>
      </w:r>
    </w:p>
    <w:p>
      <w:pPr>
        <w:spacing w:after="200"/>
      </w:pPr>
      <w:r>
        <w:rPr>
          <w:i/>
          <w:iCs/>
          <w:color w:val="555555"/>
          <w:sz w:val="22"/>
          <w:szCs w:val="22"/>
        </w:rPr>
        <w:t xml:space="preserve">What it takes to convert Whel from a personal project into a venture-fundable Delaware C-Corporation, what we look into now versus later, and the specific deadlines that destroy optionality if missed.</w:t>
      </w:r>
    </w:p>
    <w:p>
      <w:pPr>
        <w:pStyle w:val="Heading2"/>
      </w:pPr>
      <w:r>
        <w:t xml:space="preserve">4.1 Entity formation</w:t>
      </w:r>
    </w:p>
    <w:p>
      <w:pPr>
        <w:pStyle w:val="Heading3"/>
      </w:pPr>
      <w:r>
        <w:t xml:space="preserve">Recommendation: Delaware C-Corporation via Stripe Atlas</w:t>
      </w:r>
    </w:p>
    <w:p>
      <w:r>
        <w:t xml:space="preserve">Delaware C-Corp is the only entity type institutional investors will fund at scale. LLCs and S-Corps create tax pass-through complications that block QSBS treatment, complicate stock option grants to future employees, and trigger investor rejections at Series A. Stripe Atlas runs the full formation, registered-agent setup, EIN, and post-incorporation document package for $500 plus the Delaware franchise tax.</w:t>
      </w:r>
    </w:p>
    <w:p>
      <w:pPr>
        <w:pStyle w:val="Heading3"/>
      </w:pPr>
      <w:r>
        <w:t xml:space="preserve">Timing</w:t>
      </w:r>
    </w:p>
    <w:p>
      <w:r>
        <w:t xml:space="preserve">Form within the first 30 days of treating Whel as a company. Earlier is fine — the only downside of forming too early is the franchise tax and the requirement to file a federal return — but later is dangerous because of two timers below (83(b) and QSBS five-year clock).</w:t>
      </w:r>
    </w:p>
    <w:p>
      <w:pPr>
        <w:pStyle w:val="Heading3"/>
      </w:pPr>
      <w:r>
        <w:t xml:space="preserve">Alternatives considered</w:t>
      </w:r>
    </w:p>
    <w:p>
      <w:pPr>
        <w:pStyle w:val="ListParagraph"/>
        <w:numPr>
          <w:ilvl w:val="0"/>
          <w:numId w:val="2"/>
        </w:numPr>
      </w:pPr>
      <w:r>
        <w:t xml:space="preserve">Clerky ($500–$1,000, more legal hand-holding, slower): use if you want lawyer-style document review during formation.</w:t>
      </w:r>
    </w:p>
    <w:p>
      <w:pPr>
        <w:pStyle w:val="ListParagraph"/>
        <w:numPr>
          <w:ilvl w:val="0"/>
          <w:numId w:val="2"/>
        </w:numPr>
      </w:pPr>
      <w:r>
        <w:t xml:space="preserve">LLC then convert: do not do this — conversion creates tax events and resets QSBS holding period.</w:t>
      </w:r>
    </w:p>
    <w:p>
      <w:pPr>
        <w:pStyle w:val="ListParagraph"/>
        <w:numPr>
          <w:ilvl w:val="0"/>
          <w:numId w:val="2"/>
        </w:numPr>
      </w:pPr>
      <w:r>
        <w:t xml:space="preserve">Delaware via lawyer ($2,000–$5,000): only worth it if you have unusual founder structure (multiple founders with non-standard splits, prior IP issues).</w:t>
      </w:r>
    </w:p>
    <w:p>
      <w:pPr>
        <w:pStyle w:val="Heading2"/>
      </w:pPr>
      <w:r>
        <w:t xml:space="preserve">4.2 Critical deadlines that destroy optionality if missed</w:t>
      </w:r>
    </w:p>
    <w:p>
      <w:pPr>
        <w:shd w:fill="F4E4EC" w:color="auto" w:val="clear"/>
        <w:spacing w:after="200" w:before="200"/>
        <w:ind w:left="360" w:right="360"/>
      </w:pPr>
      <w:r>
        <w:rPr>
          <w:b/>
          <w:bCs/>
          <w:color w:val="9B1B1B"/>
        </w:rPr>
        <w:t xml:space="preserve">⚠ DAY 30 DEADLINE  </w:t>
      </w:r>
      <w:r>
        <w:t xml:space="preserve">83(b) election must be filed with IRS within 30 days of receiving founder stock. Missing this means founder stock is taxed at fair market value as it vests instead of at formation — potentially hundreds of thousands of dollars in unnecessary tax liability once the company is funded.</w:t>
      </w:r>
    </w:p>
    <w:p>
      <w:pPr>
        <w:pStyle w:val="Heading3"/>
      </w:pPr>
      <w:r>
        <w:t xml:space="preserve">83(b) election</w:t>
      </w:r>
    </w:p>
    <w:p>
      <w:r>
        <w:t xml:space="preserve">What it is: a one-page IRS election that says "tax me on the value of my stock today, not as it vests." Required because founder stock is typically subject to a 4-year vest with 1-year cliff, and without the 83(b), each vesting tranche is a taxable event at then-current fair market value.</w:t>
      </w:r>
    </w:p>
    <w:p>
      <w:r>
        <w:t xml:space="preserve">How to file: physical paper, certified mail to the IRS service center that processes returns for your state of residence, postmarked within 30 days of stock issuance. Stripe Atlas provides the template. Send via USPS Certified Mail with Return Receipt — keep both for tax records permanently.</w:t>
      </w:r>
    </w:p>
    <w:p>
      <w:pPr>
        <w:pStyle w:val="Heading3"/>
      </w:pPr>
      <w:r>
        <w:t xml:space="preserve">QSBS qualification (5-year clock)</w:t>
      </w:r>
    </w:p>
    <w:p>
      <w:r>
        <w:t xml:space="preserve">Section 1202 of the Internal Revenue Code lets founders and early shareholders of a qualified C-Corporation exclude capital gains from federal tax on the sale of stock. UPDATED June 2026: the One Big Beautiful Bill Act (enacted July 4, 2025) expanded §1202 for stock issued after July 4, 2025 — the per-issuer cap rose from $10M to $15M (inflation-indexed from 2027), the aggregate-gross-assets ceiling rose from $50M to $75M, and the old all-or-nothing five-year cliff became tiered: 50% exclusion at 3 years, 75% at 4 years, 100% at 5 years. The clock still starts when stock is issued, so incorporating now is strictly better than before — partial exclusion now begins at year three instead of year five. (Not legal or tax advice; confirm with Stripe Atlas’s documents or counsel before relying on it.)</w:t>
      </w:r>
    </w:p>
    <w:p>
      <w:pPr>
        <w:pStyle w:val="Heading3"/>
      </w:pPr>
      <w:r>
        <w:t xml:space="preserve">Founder vesting</w:t>
      </w:r>
    </w:p>
    <w:p>
      <w:r>
        <w:t xml:space="preserve">Even as a solo founder, set up a 4-year vest with a 1-year cliff on founder stock. Counterintuitive but critical: it protects you against a future co-founder dispute, it is what every investor expects to see, and it lets you negotiate a "head start" (typically 1–2 years of pre-vested credit) if you wait to incorporate.</w:t>
      </w:r>
    </w:p>
    <w:p>
      <w:pPr>
        <w:pStyle w:val="Heading2"/>
      </w:pPr>
      <w:r>
        <w:t xml:space="preserve">4.3 Intellectual property posture</w:t>
      </w:r>
    </w:p>
    <w:p>
      <w:pPr>
        <w:pStyle w:val="Heading3"/>
      </w:pPr>
      <w:r>
        <w:t xml:space="preserve">Assignment</w:t>
      </w:r>
    </w:p>
    <w:p>
      <w:r>
        <w:t xml:space="preserve">Sign a Confidential Information and Invention Assignment Agreement (CIIAA) between yourself and Whel, Inc. at formation. Without this, the IP technically belongs to you personally, not the company — a deal-breaker at fundraising. Stripe Atlas includes a CIIAA template.</w:t>
      </w:r>
    </w:p>
    <w:p>
      <w:pPr>
        <w:pStyle w:val="Heading3"/>
      </w:pPr>
      <w:r>
        <w:t xml:space="preserve">Open source vs proprietary</w:t>
      </w:r>
    </w:p>
    <w:p>
      <w:r>
        <w:t xml:space="preserve">Whel's value lives in the substrate (graph contents, extraction pipelines tuned for female-specific patterns, condition ontology) — not in the orchestration code. Recommendation: open-source the orchestration plumbing under Apache 2.0, keep substrate and extraction tuning proprietary. This mirrors what every successful biomedical AI company does (PaperQA2 itself is Apache 2.0, FutureHouse keeps its model fine-tunes proprietary). It also helps recruiting and lets us cite our own contributions to upstream projects.</w:t>
      </w:r>
    </w:p>
    <w:p>
      <w:pPr>
        <w:pStyle w:val="Heading3"/>
      </w:pPr>
      <w:r>
        <w:t xml:space="preserve">License hygiene</w:t>
      </w:r>
    </w:p>
    <w:p>
      <w:pPr>
        <w:pStyle w:val="ListParagraph"/>
        <w:numPr>
          <w:ilvl w:val="0"/>
          <w:numId w:val="2"/>
        </w:numPr>
      </w:pPr>
      <w:r>
        <w:t xml:space="preserve">Avoid GPLv3 dependencies — they would force open-sourcing the substrate. This is why Postgres + Apache AGE replaces Neo4j Community (GPLv3) in the new stack.</w:t>
      </w:r>
    </w:p>
    <w:p>
      <w:pPr>
        <w:pStyle w:val="ListParagraph"/>
        <w:numPr>
          <w:ilvl w:val="0"/>
          <w:numId w:val="2"/>
        </w:numPr>
      </w:pPr>
      <w:r>
        <w:t xml:space="preserve">Maintain a SBOM (software bill of materials) from day 1 — generated at every build with `npm sbom` and `pip-licenses`.</w:t>
      </w:r>
    </w:p>
    <w:p>
      <w:pPr>
        <w:pStyle w:val="ListParagraph"/>
        <w:numPr>
          <w:ilvl w:val="0"/>
          <w:numId w:val="2"/>
        </w:numPr>
      </w:pPr>
      <w:r>
        <w:t xml:space="preserve">Every third-party dependency added must pass through a license check before merge.</w:t>
      </w:r>
    </w:p>
    <w:p>
      <w:pPr>
        <w:pStyle w:val="Heading3"/>
      </w:pPr>
      <w:r>
        <w:t xml:space="preserve">Trademark</w:t>
      </w:r>
    </w:p>
    <w:p>
      <w:r>
        <w:t xml:space="preserve">Trademark "Whel" in Class 9 (downloadable software) and Class 42 (software-as-a-service) once you have a working product page. File with USPTO via TEAS Plus ($250 per class). Do this in Q3 of Year 1, after the brand is locked but before any meaningful press coverage.</w:t>
      </w:r>
    </w:p>
    <w:p>
      <w:pPr>
        <w:pStyle w:val="Heading2"/>
      </w:pPr>
      <w:r>
        <w:t xml:space="preserve">4.4 FDA regulatory posture</w:t>
      </w:r>
    </w:p>
    <w:p>
      <w:pPr>
        <w:shd w:fill="F4E4EC" w:color="auto" w:val="clear"/>
        <w:spacing w:after="200" w:before="200"/>
        <w:ind w:left="360" w:right="360"/>
      </w:pPr>
      <w:r>
        <w:rPr>
          <w:b/>
          <w:bCs/>
          <w:color w:val="7A1F3D"/>
        </w:rPr>
        <w:t xml:space="preserve">POSITIONING  </w:t>
      </w:r>
      <w:r>
        <w:t xml:space="preserve">Whel is a research-support tool for clinician-researchers, not a clinical decision support tool that drives patient care. We sit under the 21st Century Cures Act §3060 exemption and stay there.</w:t>
      </w:r>
    </w:p>
    <w:p>
      <w:pPr>
        <w:pStyle w:val="Heading3"/>
      </w:pPr>
      <w:r>
        <w:t xml:space="preserve">The §3060 exemption</w:t>
      </w:r>
    </w:p>
    <w:p>
      <w:r>
        <w:t xml:space="preserve">The 21st Century Cures Act §3060 (codified at 21 USC §360j(o)) exempts certain clinical decision support software from FDA device regulation when four conditions are met: (1) the software is not intended to acquire, process, or analyze a medical image or signal from an in-vitro diagnostic device; (2) it is intended to display, analyze, or print medical information about a patient or other medical information; (3) it is intended to support or provide recommendations to a healthcare professional about prevention, diagnosis, or treatment; (4) it enables the healthcare professional to independently review the basis for the recommendations.</w:t>
      </w:r>
    </w:p>
    <w:p>
      <w:r>
        <w:t xml:space="preserve">Condition 4 is where per-claim provenance becomes regulatory infrastructure, not just a product feature. Because every claim Whel surfaces is tied to a source citation that the clinician can independently review, the platform meets the bar for §3060 exemption. This is not an accident of the architecture — it is the architectural decision that keeps us out of FDA device regulation entirely.</w:t>
      </w:r>
    </w:p>
    <w:p>
      <w:pPr>
        <w:pStyle w:val="Heading3"/>
      </w:pPr>
      <w:r>
        <w:t xml:space="preserve">What we never do</w:t>
      </w:r>
    </w:p>
    <w:p>
      <w:pPr>
        <w:pStyle w:val="ListParagraph"/>
        <w:numPr>
          <w:ilvl w:val="0"/>
          <w:numId w:val="2"/>
        </w:numPr>
      </w:pPr>
      <w:r>
        <w:t xml:space="preserve">Display "treat patient X with drug Y at dose Z" without surfaceable provenance.</w:t>
      </w:r>
    </w:p>
    <w:p>
      <w:pPr>
        <w:pStyle w:val="ListParagraph"/>
        <w:numPr>
          <w:ilvl w:val="0"/>
          <w:numId w:val="2"/>
        </w:numPr>
      </w:pPr>
      <w:r>
        <w:t xml:space="preserve">Auto-generate treatment plans without explicit clinician review of each underlying citation.</w:t>
      </w:r>
    </w:p>
    <w:p>
      <w:pPr>
        <w:pStyle w:val="ListParagraph"/>
        <w:numPr>
          <w:ilvl w:val="0"/>
          <w:numId w:val="2"/>
        </w:numPr>
      </w:pPr>
      <w:r>
        <w:t xml:space="preserve">Make claims about specific identified patients (PHI handling becomes a separate regulatory regime).</w:t>
      </w:r>
    </w:p>
    <w:p>
      <w:pPr>
        <w:pStyle w:val="ListParagraph"/>
        <w:numPr>
          <w:ilvl w:val="0"/>
          <w:numId w:val="2"/>
        </w:numPr>
      </w:pPr>
      <w:r>
        <w:t xml:space="preserve">Ship a "patient mode" that returns recommendations without intermediating clinician review.</w:t>
      </w:r>
    </w:p>
    <w:p>
      <w:pPr>
        <w:pStyle w:val="Heading3"/>
      </w:pPr>
      <w:r>
        <w:t xml:space="preserve">505(b)(2) pathway literacy</w:t>
      </w:r>
    </w:p>
    <w:p>
      <w:r>
        <w:t xml:space="preserve">FDA 505(b)(2) is the regulatory pathway that drug-repurposing companies use to bring a repurposed drug to market without redoing the original safety studies. It allows reliance on prior FDA findings of safety and effectiveness for the same active ingredient, with new clinical data only for the new indication. Whel does not file 505(b)(2) submissions; we provide the evidence substrate that researchers use to design 505(b)(2)-supporting studies. Understanding the pathway shapes what evidence we prioritize surfacing.</w:t>
      </w:r>
    </w:p>
    <w:p>
      <w:pPr>
        <w:pStyle w:val="Heading2"/>
      </w:pPr>
      <w:r>
        <w:t xml:space="preserve">4.5 Privacy &amp; data handling</w:t>
      </w:r>
    </w:p>
    <w:p>
      <w:r>
        <w:t xml:space="preserve">Whel does not process patient health information (PHI) in the v1 product. We process published literature (PubMed), public adverse-event reports (FAERS/EudraVigilance), public clinical trial registrations (ClinicalTrials.gov), and public patient-community signal (Reddit, IAPMD). Even when partnering with cycle-tracking apps in later phases, the integration is around aggregated, de-identified cohort statistics — never raw user records.</w:t>
      </w:r>
    </w:p>
    <w:p>
      <w:r>
        <w:t xml:space="preserve">This keeps us out of HIPAA (we are not a Covered Entity or a Business Associate), out of state-level health privacy regimes (Washington My Health My Data, California CMIA), and substantially out of GDPR/UK-GDPR Article 9 special-category data restrictions. Document this position explicitly in a one-page Data Handling Statement that lives in the repo and the website.</w:t>
      </w:r>
    </w:p>
    <w:p>
      <w:pPr>
        <w:pStyle w:val="Heading2"/>
      </w:pPr>
      <w:r>
        <w:t xml:space="preserve">4.6 Liability</w:t>
      </w:r>
    </w:p>
    <w:p>
      <w:r>
        <w:t xml:space="preserve">The primary liability surface for a biomedical evidence platform is a clinician making a treatment decision based on Whel's output that harms a patient. Three defenses:</w:t>
      </w:r>
    </w:p>
    <w:p>
      <w:pPr>
        <w:pStyle w:val="ListParagraph"/>
        <w:numPr>
          <w:ilvl w:val="0"/>
          <w:numId w:val="3"/>
        </w:numPr>
      </w:pPr>
      <w:r>
        <w:t xml:space="preserve">Architectural: per-claim provenance forces clinician engagement with the underlying source, satisfying §3060 condition 4 and shifting decisional responsibility to the licensed clinician.</w:t>
      </w:r>
    </w:p>
    <w:p>
      <w:pPr>
        <w:pStyle w:val="ListParagraph"/>
        <w:numPr>
          <w:ilvl w:val="0"/>
          <w:numId w:val="3"/>
        </w:numPr>
      </w:pPr>
      <w:r>
        <w:t xml:space="preserve">Contractual: clear terms of service that disclaim clinical recommendation and require independent verification.</w:t>
      </w:r>
    </w:p>
    <w:p>
      <w:pPr>
        <w:pStyle w:val="ListParagraph"/>
        <w:numPr>
          <w:ilvl w:val="0"/>
          <w:numId w:val="3"/>
        </w:numPr>
      </w:pPr>
      <w:r>
        <w:t xml:space="preserve">Insurance: tech E&amp;O policy ($1M aggregate, ~$2,000/year via Vouch or Embroker) once we have any external user.</w:t>
      </w:r>
    </w:p>
    <w:p>
      <w:pPr>
        <w:pStyle w:val="Heading2"/>
      </w:pPr>
      <w:r>
        <w:t xml:space="preserve">4.7 Hiring, equity, and contractor structure</w:t>
      </w:r>
    </w:p>
    <w:p>
      <w:r>
        <w:t xml:space="preserve">Before first hire: a stock option pool (typically 10–15% of fully diluted shares) is reserved at formation or just after. Future grants come from this pool. Standard option grants use a 4-year vest with 1-year cliff. Contractors (designers, freelance researchers) sign a contractor IP-assignment agreement before any work begins — Stripe Atlas provides a template. Advisor relationships use the FAST advisor agreement (Founder Institute), which provides standard equity ranges (0.1–1.0%) tied to advisor engagement levels.</w:t>
      </w:r>
    </w:p>
    <w:p>
      <w:pPr>
        <w:pStyle w:val="Heading2"/>
      </w:pPr>
      <w:r>
        <w:t xml:space="preserve">4.8 Grant and non-dilutive funding landscape</w:t>
      </w:r>
    </w:p>
    <w:p>
      <w:r>
        <w:t xml:space="preserve">Drug repurposing for under-studied conditions in women's health sits inside an unusually favorable non-dilutive funding window through 2027–2028. Three streams are worth pursuing in parallel:</w:t>
      </w:r>
    </w:p>
    <w:p>
      <w:pPr>
        <w:pStyle w:val="Heading3"/>
      </w:pPr>
      <w:r>
        <w:t xml:space="preserve">ARPA-H Sprint for Women's Health</w:t>
      </w:r>
    </w:p>
    <w:p>
      <w:pPr>
        <w:pStyle w:val="ListParagraph"/>
        <w:numPr>
          <w:ilvl w:val="0"/>
          <w:numId w:val="2"/>
        </w:numPr>
      </w:pPr>
      <w:r>
        <w:t xml:space="preserve">Range: $500K–$1.5M, milestone-based.</w:t>
      </w:r>
    </w:p>
    <w:p>
      <w:pPr>
        <w:pStyle w:val="ListParagraph"/>
        <w:numPr>
          <w:ilvl w:val="0"/>
          <w:numId w:val="2"/>
        </w:numPr>
      </w:pPr>
      <w:r>
        <w:t xml:space="preserve">Fit: very strong — Whel's substrate-building work is exactly the gap ARPA-H named in its 2025 program announcement.</w:t>
      </w:r>
    </w:p>
    <w:p>
      <w:pPr>
        <w:pStyle w:val="ListParagraph"/>
        <w:numPr>
          <w:ilvl w:val="0"/>
          <w:numId w:val="2"/>
        </w:numPr>
      </w:pPr>
      <w:r>
        <w:t xml:space="preserve">Timing: rolling solicitations through 2027. Apply once PMDD flagship has 4+ months of evidence build.</w:t>
      </w:r>
    </w:p>
    <w:p>
      <w:pPr>
        <w:pStyle w:val="Heading3"/>
      </w:pPr>
      <w:r>
        <w:t xml:space="preserve">NIH SBIR (R41/R42)</w:t>
      </w:r>
    </w:p>
    <w:p>
      <w:pPr>
        <w:pStyle w:val="ListParagraph"/>
        <w:numPr>
          <w:ilvl w:val="0"/>
          <w:numId w:val="2"/>
        </w:numPr>
      </w:pPr>
      <w:r>
        <w:t xml:space="preserve">Range: R41 Phase I $150K–$300K (feasibility), R42 Phase II $1M–$2M (development).</w:t>
      </w:r>
    </w:p>
    <w:p>
      <w:pPr>
        <w:pStyle w:val="ListParagraph"/>
        <w:numPr>
          <w:ilvl w:val="0"/>
          <w:numId w:val="2"/>
        </w:numPr>
      </w:pPr>
      <w:r>
        <w:t xml:space="preserve">Fit: strong — NIH explicitly named under-studied women's health conditions in 2024–2025 SBIR omnibus.</w:t>
      </w:r>
    </w:p>
    <w:p>
      <w:pPr>
        <w:pStyle w:val="ListParagraph"/>
        <w:numPr>
          <w:ilvl w:val="0"/>
          <w:numId w:val="2"/>
        </w:numPr>
      </w:pPr>
      <w:r>
        <w:t xml:space="preserve">Timing: R41 application window typically January, April, September. Plan first submission for September of Year 1.</w:t>
      </w:r>
    </w:p>
    <w:p>
      <w:pPr>
        <w:pStyle w:val="ListParagraph"/>
        <w:numPr>
          <w:ilvl w:val="0"/>
          <w:numId w:val="2"/>
        </w:numPr>
      </w:pPr>
      <w:r>
        <w:t xml:space="preserve">Caveat: SBIR requires the PI to spend &gt;51% of working hours on the funded project — easy as a solo founder, harder later.</w:t>
      </w:r>
    </w:p>
    <w:p>
      <w:pPr>
        <w:pStyle w:val="Heading3"/>
      </w:pPr>
      <w:r>
        <w:t xml:space="preserve">Foundation grants</w:t>
      </w:r>
    </w:p>
    <w:p>
      <w:pPr>
        <w:pStyle w:val="ListParagraph"/>
        <w:numPr>
          <w:ilvl w:val="0"/>
          <w:numId w:val="2"/>
        </w:numPr>
      </w:pPr>
      <w:r>
        <w:t xml:space="preserve">Helmsley Charitable Trust (women's health vertical, $250K–$2M).</w:t>
      </w:r>
    </w:p>
    <w:p>
      <w:pPr>
        <w:pStyle w:val="ListParagraph"/>
        <w:numPr>
          <w:ilvl w:val="0"/>
          <w:numId w:val="2"/>
        </w:numPr>
      </w:pPr>
      <w:r>
        <w:t xml:space="preserve">Susan G. Komen / Endometriosis Foundation of America (condition-specific, smaller awards but strategic credibility).</w:t>
      </w:r>
    </w:p>
    <w:p>
      <w:pPr>
        <w:pStyle w:val="ListParagraph"/>
        <w:numPr>
          <w:ilvl w:val="0"/>
          <w:numId w:val="2"/>
        </w:numPr>
      </w:pPr>
      <w:r>
        <w:t xml:space="preserve">National Center for Advancing Translational Sciences (NCATS) drug-repurposing programs.</w:t>
      </w:r>
    </w:p>
    <w:p>
      <w:pPr>
        <w:shd w:fill="F4E4EC" w:color="auto" w:val="clear"/>
        <w:spacing w:after="200" w:before="200"/>
        <w:ind w:left="360" w:right="360"/>
      </w:pPr>
      <w:r>
        <w:rPr>
          <w:b/>
          <w:bCs/>
          <w:color w:val="7A1F3D"/>
        </w:rPr>
        <w:t xml:space="preserve">TOTAL NON-DILUTIVE OPPORTUNITY  </w:t>
      </w:r>
      <w:r>
        <w:t xml:space="preserve">Realistic 24-month range across ARPA-H + NIH SBIR + 1–2 foundation grants: $1.65M–$4.25M. None require equity. All require the substrate to demonstrably exist, which means grant strategy lives behind v1 ship — not in front of it.</w:t>
      </w:r>
    </w:p>
    <w:p>
      <w:pPr>
        <w:pStyle w:val="Heading2"/>
      </w:pPr>
      <w:r>
        <w:t xml:space="preserve">4.9 What to look into now versus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1800"/>
        <w:gridCol w:w="2040"/>
      </w:tblGrid>
      <w:tr>
        <w:trPr>
          <w:tblHeader/>
        </w:trPr>
        <w:tc>
          <w:tcPr>
            <w:tcW w:type="dxa" w:w="3360"/>
            <w:shd w:fill="7A1F3D" w:color="auto" w:val="clear"/>
          </w:tcPr>
          <w:p>
            <w:r>
              <w:rPr>
                <w:b/>
                <w:bCs/>
                <w:color w:val="FFFFFF"/>
                <w:sz w:val="20"/>
                <w:szCs w:val="20"/>
              </w:rPr>
              <w:t xml:space="preserve">Item</w:t>
            </w:r>
          </w:p>
        </w:tc>
        <w:tc>
          <w:tcPr>
            <w:tcW w:type="dxa" w:w="2160"/>
            <w:shd w:fill="7A1F3D" w:color="auto" w:val="clear"/>
          </w:tcPr>
          <w:p>
            <w:r>
              <w:rPr>
                <w:b/>
                <w:bCs/>
                <w:color w:val="FFFFFF"/>
                <w:sz w:val="20"/>
                <w:szCs w:val="20"/>
              </w:rPr>
              <w:t xml:space="preserve">Decide / file by</w:t>
            </w:r>
          </w:p>
        </w:tc>
        <w:tc>
          <w:tcPr>
            <w:tcW w:type="dxa" w:w="1800"/>
            <w:shd w:fill="7A1F3D" w:color="auto" w:val="clear"/>
          </w:tcPr>
          <w:p>
            <w:r>
              <w:rPr>
                <w:b/>
                <w:bCs/>
                <w:color w:val="FFFFFF"/>
                <w:sz w:val="20"/>
                <w:szCs w:val="20"/>
              </w:rPr>
              <w:t xml:space="preserve">Cost</w:t>
            </w:r>
          </w:p>
        </w:tc>
        <w:tc>
          <w:tcPr>
            <w:tcW w:type="dxa" w:w="2040"/>
            <w:shd w:fill="7A1F3D" w:color="auto" w:val="clear"/>
          </w:tcPr>
          <w:p>
            <w:r>
              <w:rPr>
                <w:b/>
                <w:bCs/>
                <w:color w:val="FFFFFF"/>
                <w:sz w:val="20"/>
                <w:szCs w:val="20"/>
              </w:rPr>
              <w:t xml:space="preserve">Owner</w:t>
            </w:r>
          </w:p>
        </w:tc>
      </w:tr>
      <w:tr>
        <w:trPr>
          <w:tblHeader w:val="false"/>
        </w:trPr>
        <w:tc>
          <w:tcPr>
            <w:tcW w:type="dxa" w:w="3360"/>
            <w:shd w:fill="F8F8F8" w:color="auto" w:val="clear"/>
          </w:tcPr>
          <w:p>
            <w:r>
              <w:rPr>
                <w:b w:val="false"/>
                <w:bCs w:val="false"/>
                <w:color w:val="222222"/>
                <w:sz w:val="20"/>
                <w:szCs w:val="20"/>
              </w:rPr>
              <w:t xml:space="preserve">Delaware C-Corp via Stripe Atlas</w:t>
            </w:r>
          </w:p>
        </w:tc>
        <w:tc>
          <w:tcPr>
            <w:tcW w:type="dxa" w:w="2160"/>
            <w:shd w:fill="F8F8F8" w:color="auto" w:val="clear"/>
          </w:tcPr>
          <w:p>
            <w:r>
              <w:rPr>
                <w:b w:val="false"/>
                <w:bCs w:val="false"/>
                <w:color w:val="222222"/>
                <w:sz w:val="20"/>
                <w:szCs w:val="20"/>
              </w:rPr>
              <w:t xml:space="preserve">Week 1</w:t>
            </w:r>
          </w:p>
        </w:tc>
        <w:tc>
          <w:tcPr>
            <w:tcW w:type="dxa" w:w="1800"/>
            <w:shd w:fill="F8F8F8" w:color="auto" w:val="clear"/>
          </w:tcPr>
          <w:p>
            <w:r>
              <w:rPr>
                <w:b w:val="false"/>
                <w:bCs w:val="false"/>
                <w:color w:val="222222"/>
                <w:sz w:val="20"/>
                <w:szCs w:val="20"/>
              </w:rPr>
              <w:t xml:space="preserve">$500 + DE tax</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83(b) election filed (certified mail)</w:t>
            </w:r>
          </w:p>
        </w:tc>
        <w:tc>
          <w:tcPr>
            <w:tcW w:type="dxa" w:w="2160"/>
            <w:shd w:fill="FFFFFF" w:color="auto" w:val="clear"/>
          </w:tcPr>
          <w:p>
            <w:r>
              <w:rPr>
                <w:b w:val="false"/>
                <w:bCs w:val="false"/>
                <w:color w:val="222222"/>
                <w:sz w:val="20"/>
                <w:szCs w:val="20"/>
              </w:rPr>
              <w:t xml:space="preserve">Day 30 absolute</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CIIAA founder IP assignment</w:t>
            </w:r>
          </w:p>
        </w:tc>
        <w:tc>
          <w:tcPr>
            <w:tcW w:type="dxa" w:w="2160"/>
            <w:shd w:fill="F8F8F8" w:color="auto" w:val="clear"/>
          </w:tcPr>
          <w:p>
            <w:r>
              <w:rPr>
                <w:b w:val="false"/>
                <w:bCs w:val="false"/>
                <w:color w:val="222222"/>
                <w:sz w:val="20"/>
                <w:szCs w:val="20"/>
              </w:rPr>
              <w:t xml:space="preserve">At formation</w:t>
            </w:r>
          </w:p>
        </w:tc>
        <w:tc>
          <w:tcPr>
            <w:tcW w:type="dxa" w:w="1800"/>
            <w:shd w:fill="F8F8F8" w:color="auto" w:val="clear"/>
          </w:tcPr>
          <w:p>
            <w:r>
              <w:rPr>
                <w:b w:val="false"/>
                <w:bCs w:val="false"/>
                <w:color w:val="222222"/>
                <w:sz w:val="20"/>
                <w:szCs w:val="20"/>
              </w:rPr>
              <w:t xml:space="preserve">$0 (template)</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EIN registration</w:t>
            </w:r>
          </w:p>
        </w:tc>
        <w:tc>
          <w:tcPr>
            <w:tcW w:type="dxa" w:w="2160"/>
            <w:shd w:fill="FFFFFF" w:color="auto" w:val="clear"/>
          </w:tcPr>
          <w:p>
            <w:r>
              <w:rPr>
                <w:b w:val="false"/>
                <w:bCs w:val="false"/>
                <w:color w:val="222222"/>
                <w:sz w:val="20"/>
                <w:szCs w:val="20"/>
              </w:rPr>
              <w:t xml:space="preserve">Week 1 (via Atlas)</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Stripe Atlas</w:t>
            </w:r>
          </w:p>
        </w:tc>
      </w:tr>
      <w:tr>
        <w:trPr>
          <w:tblHeader w:val="false"/>
        </w:trPr>
        <w:tc>
          <w:tcPr>
            <w:tcW w:type="dxa" w:w="3360"/>
            <w:shd w:fill="F8F8F8" w:color="auto" w:val="clear"/>
          </w:tcPr>
          <w:p>
            <w:r>
              <w:rPr>
                <w:b w:val="false"/>
                <w:bCs w:val="false"/>
                <w:color w:val="222222"/>
                <w:sz w:val="20"/>
                <w:szCs w:val="20"/>
              </w:rPr>
              <w:t xml:space="preserve">Bank account opening (Mercury / Brex)</w:t>
            </w:r>
          </w:p>
        </w:tc>
        <w:tc>
          <w:tcPr>
            <w:tcW w:type="dxa" w:w="2160"/>
            <w:shd w:fill="F8F8F8" w:color="auto" w:val="clear"/>
          </w:tcPr>
          <w:p>
            <w:r>
              <w:rPr>
                <w:b w:val="false"/>
                <w:bCs w:val="false"/>
                <w:color w:val="222222"/>
                <w:sz w:val="20"/>
                <w:szCs w:val="20"/>
              </w:rPr>
              <w:t xml:space="preserve">Week 2</w:t>
            </w:r>
          </w:p>
        </w:tc>
        <w:tc>
          <w:tcPr>
            <w:tcW w:type="dxa" w:w="1800"/>
            <w:shd w:fill="F8F8F8" w:color="auto" w:val="clear"/>
          </w:tcPr>
          <w:p>
            <w:r>
              <w:rPr>
                <w:b w:val="false"/>
                <w:bCs w:val="false"/>
                <w:color w:val="222222"/>
                <w:sz w:val="20"/>
                <w:szCs w:val="20"/>
              </w:rPr>
              <w:t xml:space="preserve">$0</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Whel domain consolidation in company name</w:t>
            </w:r>
          </w:p>
        </w:tc>
        <w:tc>
          <w:tcPr>
            <w:tcW w:type="dxa" w:w="2160"/>
            <w:shd w:fill="FFFFFF" w:color="auto" w:val="clear"/>
          </w:tcPr>
          <w:p>
            <w:r>
              <w:rPr>
                <w:b w:val="false"/>
                <w:bCs w:val="false"/>
                <w:color w:val="222222"/>
                <w:sz w:val="20"/>
                <w:szCs w:val="20"/>
              </w:rPr>
              <w:t xml:space="preserve">Week 2</w:t>
            </w:r>
          </w:p>
        </w:tc>
        <w:tc>
          <w:tcPr>
            <w:tcW w:type="dxa" w:w="1800"/>
            <w:shd w:fill="FFFFFF" w:color="auto" w:val="clear"/>
          </w:tcPr>
          <w:p>
            <w:r>
              <w:rPr>
                <w:b w:val="false"/>
                <w:bCs w:val="false"/>
                <w:color w:val="222222"/>
                <w:sz w:val="20"/>
                <w:szCs w:val="20"/>
              </w:rPr>
              <w:t xml:space="preserve">$0–$50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Operating bank account funded</w:t>
            </w:r>
          </w:p>
        </w:tc>
        <w:tc>
          <w:tcPr>
            <w:tcW w:type="dxa" w:w="2160"/>
            <w:shd w:fill="F8F8F8" w:color="auto" w:val="clear"/>
          </w:tcPr>
          <w:p>
            <w:r>
              <w:rPr>
                <w:b w:val="false"/>
                <w:bCs w:val="false"/>
                <w:color w:val="222222"/>
                <w:sz w:val="20"/>
                <w:szCs w:val="20"/>
              </w:rPr>
              <w:t xml:space="preserve">Week 2</w:t>
            </w:r>
          </w:p>
        </w:tc>
        <w:tc>
          <w:tcPr>
            <w:tcW w:type="dxa" w:w="1800"/>
            <w:shd w:fill="F8F8F8" w:color="auto" w:val="clear"/>
          </w:tcPr>
          <w:p>
            <w:r>
              <w:rPr>
                <w:b w:val="false"/>
                <w:bCs w:val="false"/>
                <w:color w:val="222222"/>
                <w:sz w:val="20"/>
                <w:szCs w:val="20"/>
              </w:rPr>
              <w:t xml:space="preserve">Personal loan</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Founder employment / non-employment classification decision</w:t>
            </w:r>
          </w:p>
        </w:tc>
        <w:tc>
          <w:tcPr>
            <w:tcW w:type="dxa" w:w="2160"/>
            <w:shd w:fill="FFFFFF" w:color="auto" w:val="clear"/>
          </w:tcPr>
          <w:p>
            <w:r>
              <w:rPr>
                <w:b w:val="false"/>
                <w:bCs w:val="false"/>
                <w:color w:val="222222"/>
                <w:sz w:val="20"/>
                <w:szCs w:val="20"/>
              </w:rPr>
              <w:t xml:space="preserve">Week 4</w:t>
            </w:r>
          </w:p>
        </w:tc>
        <w:tc>
          <w:tcPr>
            <w:tcW w:type="dxa" w:w="1800"/>
            <w:shd w:fill="FFFFFF" w:color="auto" w:val="clear"/>
          </w:tcPr>
          <w:p>
            <w:r>
              <w:rPr>
                <w:b w:val="false"/>
                <w:bCs w:val="false"/>
                <w:color w:val="222222"/>
                <w:sz w:val="20"/>
                <w:szCs w:val="20"/>
              </w:rPr>
              <w:t xml:space="preserve">$0 (decide)</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Cap table tooling (Carta or Pulley)</w:t>
            </w:r>
          </w:p>
        </w:tc>
        <w:tc>
          <w:tcPr>
            <w:tcW w:type="dxa" w:w="2160"/>
            <w:shd w:fill="F8F8F8" w:color="auto" w:val="clear"/>
          </w:tcPr>
          <w:p>
            <w:r>
              <w:rPr>
                <w:b w:val="false"/>
                <w:bCs w:val="false"/>
                <w:color w:val="222222"/>
                <w:sz w:val="20"/>
                <w:szCs w:val="20"/>
              </w:rPr>
              <w:t xml:space="preserve">Month 2</w:t>
            </w:r>
          </w:p>
        </w:tc>
        <w:tc>
          <w:tcPr>
            <w:tcW w:type="dxa" w:w="1800"/>
            <w:shd w:fill="F8F8F8" w:color="auto" w:val="clear"/>
          </w:tcPr>
          <w:p>
            <w:r>
              <w:rPr>
                <w:b w:val="false"/>
                <w:bCs w:val="false"/>
                <w:color w:val="222222"/>
                <w:sz w:val="20"/>
                <w:szCs w:val="20"/>
              </w:rPr>
              <w:t xml:space="preserve">$0 (free tier)</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SBIR R41 pre-proposal outline</w:t>
            </w:r>
          </w:p>
        </w:tc>
        <w:tc>
          <w:tcPr>
            <w:tcW w:type="dxa" w:w="2160"/>
            <w:shd w:fill="FFFFFF" w:color="auto" w:val="clear"/>
          </w:tcPr>
          <w:p>
            <w:r>
              <w:rPr>
                <w:b w:val="false"/>
                <w:bCs w:val="false"/>
                <w:color w:val="222222"/>
                <w:sz w:val="20"/>
                <w:szCs w:val="20"/>
              </w:rPr>
              <w:t xml:space="preserve">Month 3</w:t>
            </w:r>
          </w:p>
        </w:tc>
        <w:tc>
          <w:tcPr>
            <w:tcW w:type="dxa" w:w="1800"/>
            <w:shd w:fill="FFFFFF" w:color="auto" w:val="clear"/>
          </w:tcPr>
          <w:p>
            <w:r>
              <w:rPr>
                <w:b w:val="false"/>
                <w:bCs w:val="false"/>
                <w:color w:val="222222"/>
                <w:sz w:val="20"/>
                <w:szCs w:val="20"/>
              </w:rPr>
              <w:t xml:space="preserve">$0</w:t>
            </w:r>
          </w:p>
        </w:tc>
        <w:tc>
          <w:tcPr>
            <w:tcW w:type="dxa" w:w="2040"/>
            <w:shd w:fill="FFFFFF" w:color="auto" w:val="clear"/>
          </w:tcPr>
          <w:p>
            <w:r>
              <w:rPr>
                <w:b w:val="false"/>
                <w:bCs w:val="false"/>
                <w:color w:val="222222"/>
                <w:sz w:val="20"/>
                <w:szCs w:val="20"/>
              </w:rPr>
              <w:t xml:space="preserve">Founder</w:t>
            </w:r>
          </w:p>
        </w:tc>
      </w:tr>
      <w:tr>
        <w:trPr>
          <w:tblHeader w:val="false"/>
        </w:trPr>
        <w:tc>
          <w:tcPr>
            <w:tcW w:type="dxa" w:w="3360"/>
            <w:shd w:fill="F8F8F8" w:color="auto" w:val="clear"/>
          </w:tcPr>
          <w:p>
            <w:r>
              <w:rPr>
                <w:b w:val="false"/>
                <w:bCs w:val="false"/>
                <w:color w:val="222222"/>
                <w:sz w:val="20"/>
                <w:szCs w:val="20"/>
              </w:rPr>
              <w:t xml:space="preserve">Tech E&amp;O insurance</w:t>
            </w:r>
          </w:p>
        </w:tc>
        <w:tc>
          <w:tcPr>
            <w:tcW w:type="dxa" w:w="2160"/>
            <w:shd w:fill="F8F8F8" w:color="auto" w:val="clear"/>
          </w:tcPr>
          <w:p>
            <w:r>
              <w:rPr>
                <w:b w:val="false"/>
                <w:bCs w:val="false"/>
                <w:color w:val="222222"/>
                <w:sz w:val="20"/>
                <w:szCs w:val="20"/>
              </w:rPr>
              <w:t xml:space="preserve">Pre-first external user</w:t>
            </w:r>
          </w:p>
        </w:tc>
        <w:tc>
          <w:tcPr>
            <w:tcW w:type="dxa" w:w="1800"/>
            <w:shd w:fill="F8F8F8" w:color="auto" w:val="clear"/>
          </w:tcPr>
          <w:p>
            <w:r>
              <w:rPr>
                <w:b w:val="false"/>
                <w:bCs w:val="false"/>
                <w:color w:val="222222"/>
                <w:sz w:val="20"/>
                <w:szCs w:val="20"/>
              </w:rPr>
              <w:t xml:space="preserve">~$2,000/yr</w:t>
            </w:r>
          </w:p>
        </w:tc>
        <w:tc>
          <w:tcPr>
            <w:tcW w:type="dxa" w:w="2040"/>
            <w:shd w:fill="F8F8F8" w:color="auto" w:val="clear"/>
          </w:tcPr>
          <w:p>
            <w:r>
              <w:rPr>
                <w:b w:val="false"/>
                <w:bCs w:val="false"/>
                <w:color w:val="222222"/>
                <w:sz w:val="20"/>
                <w:szCs w:val="20"/>
              </w:rPr>
              <w:t xml:space="preserve">Founder</w:t>
            </w:r>
          </w:p>
        </w:tc>
      </w:tr>
      <w:tr>
        <w:trPr>
          <w:tblHeader w:val="false"/>
        </w:trPr>
        <w:tc>
          <w:tcPr>
            <w:tcW w:type="dxa" w:w="3360"/>
            <w:shd w:fill="FFFFFF" w:color="auto" w:val="clear"/>
          </w:tcPr>
          <w:p>
            <w:r>
              <w:rPr>
                <w:b w:val="false"/>
                <w:bCs w:val="false"/>
                <w:color w:val="222222"/>
                <w:sz w:val="20"/>
                <w:szCs w:val="20"/>
              </w:rPr>
              <w:t xml:space="preserve">Trademark application</w:t>
            </w:r>
          </w:p>
        </w:tc>
        <w:tc>
          <w:tcPr>
            <w:tcW w:type="dxa" w:w="2160"/>
            <w:shd w:fill="FFFFFF" w:color="auto" w:val="clear"/>
          </w:tcPr>
          <w:p>
            <w:r>
              <w:rPr>
                <w:b w:val="false"/>
                <w:bCs w:val="false"/>
                <w:color w:val="222222"/>
                <w:sz w:val="20"/>
                <w:szCs w:val="20"/>
              </w:rPr>
              <w:t xml:space="preserve">Month 6</w:t>
            </w:r>
          </w:p>
        </w:tc>
        <w:tc>
          <w:tcPr>
            <w:tcW w:type="dxa" w:w="1800"/>
            <w:shd w:fill="FFFFFF" w:color="auto" w:val="clear"/>
          </w:tcPr>
          <w:p>
            <w:r>
              <w:rPr>
                <w:b w:val="false"/>
                <w:bCs w:val="false"/>
                <w:color w:val="222222"/>
                <w:sz w:val="20"/>
                <w:szCs w:val="20"/>
              </w:rPr>
              <w:t xml:space="preserve">$500</w:t>
            </w:r>
          </w:p>
        </w:tc>
        <w:tc>
          <w:tcPr>
            <w:tcW w:type="dxa" w:w="2040"/>
            <w:shd w:fill="FFFFFF" w:color="auto" w:val="clear"/>
          </w:tcPr>
          <w:p>
            <w:r>
              <w:rPr>
                <w:b w:val="false"/>
                <w:bCs w:val="false"/>
                <w:color w:val="222222"/>
                <w:sz w:val="20"/>
                <w:szCs w:val="20"/>
              </w:rPr>
              <w:t xml:space="preserve">Founder + USPTO</w:t>
            </w:r>
          </w:p>
        </w:tc>
      </w:tr>
      <w:tr>
        <w:trPr>
          <w:tblHeader w:val="false"/>
        </w:trPr>
        <w:tc>
          <w:tcPr>
            <w:tcW w:type="dxa" w:w="3360"/>
            <w:shd w:fill="F8F8F8" w:color="auto" w:val="clear"/>
          </w:tcPr>
          <w:p>
            <w:r>
              <w:rPr>
                <w:b w:val="false"/>
                <w:bCs w:val="false"/>
                <w:color w:val="222222"/>
                <w:sz w:val="20"/>
                <w:szCs w:val="20"/>
              </w:rPr>
              <w:t xml:space="preserve">SOC 2 readiness assessment</w:t>
            </w:r>
          </w:p>
        </w:tc>
        <w:tc>
          <w:tcPr>
            <w:tcW w:type="dxa" w:w="2160"/>
            <w:shd w:fill="F8F8F8" w:color="auto" w:val="clear"/>
          </w:tcPr>
          <w:p>
            <w:r>
              <w:rPr>
                <w:b w:val="false"/>
                <w:bCs w:val="false"/>
                <w:color w:val="222222"/>
                <w:sz w:val="20"/>
                <w:szCs w:val="20"/>
              </w:rPr>
              <w:t xml:space="preserve">Pre-paid user / institutional pilot</w:t>
            </w:r>
          </w:p>
        </w:tc>
        <w:tc>
          <w:tcPr>
            <w:tcW w:type="dxa" w:w="1800"/>
            <w:shd w:fill="F8F8F8" w:color="auto" w:val="clear"/>
          </w:tcPr>
          <w:p>
            <w:r>
              <w:rPr>
                <w:b w:val="false"/>
                <w:bCs w:val="false"/>
                <w:color w:val="222222"/>
                <w:sz w:val="20"/>
                <w:szCs w:val="20"/>
              </w:rPr>
              <w:t xml:space="preserve">$5,000</w:t>
            </w:r>
          </w:p>
        </w:tc>
        <w:tc>
          <w:tcPr>
            <w:tcW w:type="dxa" w:w="2040"/>
            <w:shd w:fill="F8F8F8" w:color="auto" w:val="clear"/>
          </w:tcPr>
          <w:p>
            <w:r>
              <w:rPr>
                <w:b w:val="false"/>
                <w:bCs w:val="false"/>
                <w:color w:val="222222"/>
                <w:sz w:val="20"/>
                <w:szCs w:val="20"/>
              </w:rPr>
              <w:t xml:space="preserve">Vanta or Drata</w:t>
            </w:r>
          </w:p>
        </w:tc>
      </w:tr>
      <w:tr>
        <w:trPr>
          <w:tblHeader w:val="false"/>
        </w:trPr>
        <w:tc>
          <w:tcPr>
            <w:tcW w:type="dxa" w:w="3360"/>
            <w:shd w:fill="FFFFFF" w:color="auto" w:val="clear"/>
          </w:tcPr>
          <w:p>
            <w:r>
              <w:rPr>
                <w:b w:val="false"/>
                <w:bCs w:val="false"/>
                <w:color w:val="222222"/>
                <w:sz w:val="20"/>
                <w:szCs w:val="20"/>
              </w:rPr>
              <w:t xml:space="preserve">Tax/legal counsel relationship (Cooley, Wilson, Gunderson)</w:t>
            </w:r>
          </w:p>
        </w:tc>
        <w:tc>
          <w:tcPr>
            <w:tcW w:type="dxa" w:w="2160"/>
            <w:shd w:fill="FFFFFF" w:color="auto" w:val="clear"/>
          </w:tcPr>
          <w:p>
            <w:r>
              <w:rPr>
                <w:b w:val="false"/>
                <w:bCs w:val="false"/>
                <w:color w:val="222222"/>
                <w:sz w:val="20"/>
                <w:szCs w:val="20"/>
              </w:rPr>
              <w:t xml:space="preserve">Pre-Seed close</w:t>
            </w:r>
          </w:p>
        </w:tc>
        <w:tc>
          <w:tcPr>
            <w:tcW w:type="dxa" w:w="1800"/>
            <w:shd w:fill="FFFFFF" w:color="auto" w:val="clear"/>
          </w:tcPr>
          <w:p>
            <w:r>
              <w:rPr>
                <w:b w:val="false"/>
                <w:bCs w:val="false"/>
                <w:color w:val="222222"/>
                <w:sz w:val="20"/>
                <w:szCs w:val="20"/>
              </w:rPr>
              <w:t xml:space="preserve">Hourly</w:t>
            </w:r>
          </w:p>
        </w:tc>
        <w:tc>
          <w:tcPr>
            <w:tcW w:type="dxa" w:w="2040"/>
            <w:shd w:fill="FFFFFF" w:color="auto" w:val="clear"/>
          </w:tcPr>
          <w:p>
            <w:r>
              <w:rPr>
                <w:b w:val="false"/>
                <w:bCs w:val="false"/>
                <w:color w:val="222222"/>
                <w:sz w:val="20"/>
                <w:szCs w:val="20"/>
              </w:rPr>
              <w:t xml:space="preserve">Founder</w:t>
            </w:r>
          </w:p>
        </w:tc>
      </w:tr>
    </w:tbl>
    <w:p>
      <w:pPr>
        <w:pStyle w:val="Heading1"/>
        <w:pageBreakBefore/>
      </w:pPr>
      <w:r>
        <w:t xml:space="preserve">5. Technical Architecture Decision</w:t>
      </w:r>
    </w:p>
    <w:p>
      <w:pPr>
        <w:spacing w:after="200"/>
      </w:pPr>
      <w:r>
        <w:rPr>
          <w:i/>
          <w:iCs/>
          <w:color w:val="555555"/>
          <w:sz w:val="22"/>
          <w:szCs w:val="22"/>
        </w:rPr>
        <w:t xml:space="preserve">The fundamental engineering question of the reframe: keep the existing Whel codebase and refactor in place, or start from a fresh repository with strategic salvage. The recommendation is fresh repository — and below is why, plus the migration plan.</w:t>
      </w:r>
    </w:p>
    <w:p>
      <w:pPr>
        <w:pStyle w:val="Heading2"/>
      </w:pPr>
      <w:r>
        <w:t xml:space="preserve">5.1 The decision</w:t>
      </w:r>
    </w:p>
    <w:p>
      <w:pPr>
        <w:shd w:fill="F4E4EC" w:color="auto" w:val="clear"/>
        <w:spacing w:after="200" w:before="200"/>
        <w:ind w:left="360" w:right="360"/>
      </w:pPr>
      <w:r>
        <w:rPr>
          <w:b/>
          <w:bCs/>
          <w:color w:val="7A1F3D"/>
        </w:rPr>
        <w:t xml:space="preserve">RECOMMENDATION  </w:t>
      </w:r>
      <w:r>
        <w:t xml:space="preserve">Fresh repository ("whel" — new), strategic salvage of pipelines, audit scripts, and Supabase schema. Existing repo archived as "whel-legacy" and kept queryable as a comparison baseline.</w:t>
      </w:r>
    </w:p>
    <w:p>
      <w:pPr>
        <w:pStyle w:val="Heading2"/>
      </w:pPr>
      <w:r>
        <w:t xml:space="preserve">5.2 Why not in-place refactor</w:t>
      </w:r>
    </w:p>
    <w:p>
      <w:r>
        <w:t xml:space="preserve">The existing Whel codebase is a 34-file Next.js + Supabase application with 271 audited signals across 2,166 sources. It works. It is also built around a data model that assumes one curator (the founder) producing claim-by-claim manual annotations, with the app layer as a read-only presentation of that work. The reframe inverts the model: the substrate is the product, the app is one of several read paths into it, and the curation has to be machine-augmented to scale beyond one person. Three structural reasons in-place refactor fails:</w:t>
      </w:r>
    </w:p>
    <w:p>
      <w:pPr>
        <w:pStyle w:val="ListParagraph"/>
        <w:numPr>
          <w:ilvl w:val="0"/>
          <w:numId w:val="3"/>
        </w:numPr>
      </w:pPr>
      <w:r>
        <w:t xml:space="preserve">The data model is fundamentally different. Existing schema has Signals → Sources (one-to-many, manually curated). Reframe schema needs Claims → Source Spans (many-to-many, automatically extracted) plus the graph layer (Entities → Relations → Evidence). Migrating in place means writing schemas that have to coexist mid-migration — a known source of months of subtle bugs.</w:t>
      </w:r>
    </w:p>
    <w:p>
      <w:pPr>
        <w:pStyle w:val="ListParagraph"/>
        <w:numPr>
          <w:ilvl w:val="0"/>
          <w:numId w:val="3"/>
        </w:numPr>
      </w:pPr>
      <w:r>
        <w:t xml:space="preserve">The app layer assumes the wrong primitive. The current app builds pages around conditions. The reframe builds the substrate first, then derives condition pages, drug pages, mechanism pages, and ontology pages from the same graph. Retrofitting the page-rendering logic to read from a graph is harder than starting fresh.</w:t>
      </w:r>
    </w:p>
    <w:p>
      <w:pPr>
        <w:pStyle w:val="ListParagraph"/>
        <w:numPr>
          <w:ilvl w:val="0"/>
          <w:numId w:val="3"/>
        </w:numPr>
      </w:pPr>
      <w:r>
        <w:t xml:space="preserve">The scoring system is wrong. The current Whel scoring averages source quality into a single rank. The reframe surfaces contradictions explicitly rather than collapsing them, which means the entire scoring infrastructure has to be replaced. Trying to keep the old scoring while adding the new creates a worst-of-both system.</w:t>
      </w:r>
    </w:p>
    <w:p>
      <w:r>
        <w:t xml:space="preserve">None of these are technical disasters in isolation — they are each addressable. What kills in-place refactor is the combination plus the velocity cost: every change has to coexist with the legacy model until the full migration is complete, which historically takes 2–4x the time of a greenfield rebuild with the legacy kept queryable. The fresh-repo-vs-in-place conclusion still holds, but the raw estimate has been revised: the original 9–11 week figure is a 2–3 engineer number. For a solo non-technical founder, plan 16–20 weeks for the re-cut Phase 1 scope (see §10.3); the in-place alternative remains materially worse than that.</w:t>
      </w:r>
    </w:p>
    <w:p>
      <w:pPr>
        <w:pStyle w:val="Heading2"/>
      </w:pPr>
      <w:r>
        <w:t xml:space="preserve">5.3 What gets salvaged from the existing codebase</w:t>
      </w:r>
    </w:p>
    <w:p>
      <w:pPr>
        <w:pStyle w:val="Heading3"/>
      </w:pPr>
      <w:r>
        <w:t xml:space="preserve">Keep and migrate (high value, low rework cost)</w:t>
      </w:r>
    </w:p>
    <w:p>
      <w:r>
        <w:t xml:space="preserve">These are components that work, are aligned with the new architecture, and can be carried over with minimal change.</w:t>
      </w:r>
    </w:p>
    <w:p>
      <w:pPr>
        <w:pStyle w:val="ListParagraph"/>
        <w:numPr>
          <w:ilvl w:val="0"/>
          <w:numId w:val="2"/>
        </w:numPr>
      </w:pPr>
      <w:r>
        <w:t xml:space="preserve">Supabase project and authentication setup — schema lives in a new "whel_v2" namespace; the legacy schema stays queryable.</w:t>
      </w:r>
    </w:p>
    <w:p>
      <w:pPr>
        <w:pStyle w:val="ListParagraph"/>
        <w:numPr>
          <w:ilvl w:val="0"/>
          <w:numId w:val="2"/>
        </w:numPr>
      </w:pPr>
      <w:r>
        <w:t xml:space="preserve">Research pipeline scripts (research-pipeline.js, openfda-pipeline.js, clinicaltrials-pipeline.js, opentargets-pipeline.js, eudravigilance-pipeline.js, reddit-pipeline.js) — these are batch jobs that pull from external sources, and the source contracts are stable.</w:t>
      </w:r>
    </w:p>
    <w:p>
      <w:pPr>
        <w:pStyle w:val="ListParagraph"/>
        <w:numPr>
          <w:ilvl w:val="0"/>
          <w:numId w:val="2"/>
        </w:numPr>
      </w:pPr>
      <w:r>
        <w:t xml:space="preserve">Audit scripts (verify-citations.py, verify-database-sources.py, check-matrix-coverage.py, extract-key-findings.py) — these are validation harnesses we will need from day 1 of the rebuild.</w:t>
      </w:r>
    </w:p>
    <w:p>
      <w:pPr>
        <w:pStyle w:val="ListParagraph"/>
        <w:numPr>
          <w:ilvl w:val="0"/>
          <w:numId w:val="2"/>
        </w:numPr>
      </w:pPr>
      <w:r>
        <w:t xml:space="preserve">The design system (deep-magenta palette, typography pairing, component shells) — visual identity stays.</w:t>
      </w:r>
    </w:p>
    <w:p>
      <w:pPr>
        <w:pStyle w:val="ListParagraph"/>
        <w:numPr>
          <w:ilvl w:val="0"/>
          <w:numId w:val="2"/>
        </w:numPr>
      </w:pPr>
      <w:r>
        <w:t xml:space="preserve">The seed corpus itself: 271 active signals and 2,166 sources are the v0 evaluation set for the rebuilt extraction pipeline.</w:t>
      </w:r>
    </w:p>
    <w:p>
      <w:pPr>
        <w:pStyle w:val="Heading3"/>
      </w:pPr>
      <w:r>
        <w:t xml:space="preserve">Rebuild from scratch (architecture-mismatched)</w:t>
      </w:r>
    </w:p>
    <w:p>
      <w:pPr>
        <w:pStyle w:val="ListParagraph"/>
        <w:numPr>
          <w:ilvl w:val="0"/>
          <w:numId w:val="2"/>
        </w:numPr>
      </w:pPr>
      <w:r>
        <w:t xml:space="preserve">The Next.js application layer — rebuild around the new data model, not retrofit.</w:t>
      </w:r>
    </w:p>
    <w:p>
      <w:pPr>
        <w:pStyle w:val="ListParagraph"/>
        <w:numPr>
          <w:ilvl w:val="0"/>
          <w:numId w:val="2"/>
        </w:numPr>
      </w:pPr>
      <w:r>
        <w:t xml:space="preserve">The data model (schemas, relationships, indexes) — Claims/Source Spans/Entities/Relations, not Signals/Sources.</w:t>
      </w:r>
    </w:p>
    <w:p>
      <w:pPr>
        <w:pStyle w:val="ListParagraph"/>
        <w:numPr>
          <w:ilvl w:val="0"/>
          <w:numId w:val="2"/>
        </w:numPr>
      </w:pPr>
      <w:r>
        <w:t xml:space="preserve">Scoring and ranking — replace averaging with contradiction surfacing.</w:t>
      </w:r>
    </w:p>
    <w:p>
      <w:pPr>
        <w:pStyle w:val="ListParagraph"/>
        <w:numPr>
          <w:ilvl w:val="0"/>
          <w:numId w:val="2"/>
        </w:numPr>
      </w:pPr>
      <w:r>
        <w:t xml:space="preserve">The extraction pipeline — replaces flat Claude prompts with PaperQA2 + MedScore + OntoGPT chain.</w:t>
      </w:r>
    </w:p>
    <w:p>
      <w:pPr>
        <w:pStyle w:val="ListParagraph"/>
        <w:numPr>
          <w:ilvl w:val="0"/>
          <w:numId w:val="2"/>
        </w:numPr>
      </w:pPr>
      <w:r>
        <w:t xml:space="preserve">Search and retrieval — replace text search with MedCPT embeddings + graph traversal.</w:t>
      </w:r>
    </w:p>
    <w:p>
      <w:pPr>
        <w:pStyle w:val="Heading3"/>
      </w:pPr>
      <w:r>
        <w:t xml:space="preserve">Discard</w:t>
      </w:r>
    </w:p>
    <w:p>
      <w:pPr>
        <w:pStyle w:val="ListParagraph"/>
        <w:numPr>
          <w:ilvl w:val="0"/>
          <w:numId w:val="2"/>
        </w:numPr>
      </w:pPr>
      <w:r>
        <w:t xml:space="preserve">Any code path that assumes one-curator-edits-all (admin pages, manual signal management UIs).</w:t>
      </w:r>
    </w:p>
    <w:p>
      <w:pPr>
        <w:pStyle w:val="ListParagraph"/>
        <w:numPr>
          <w:ilvl w:val="0"/>
          <w:numId w:val="2"/>
        </w:numPr>
      </w:pPr>
      <w:r>
        <w:t xml:space="preserve">The current public homepage copy — supersede with the locked pitch language.</w:t>
      </w:r>
    </w:p>
    <w:p>
      <w:pPr>
        <w:pStyle w:val="ListParagraph"/>
        <w:numPr>
          <w:ilvl w:val="0"/>
          <w:numId w:val="2"/>
        </w:numPr>
      </w:pPr>
      <w:r>
        <w:t xml:space="preserve">Project-style language anywhere in the README, package.json description, etc.</w:t>
      </w:r>
    </w:p>
    <w:p>
      <w:pPr>
        <w:pStyle w:val="Heading2"/>
      </w:pPr>
      <w:r>
        <w:t xml:space="preserve">5.4 The new repository layout</w:t>
      </w:r>
    </w:p>
    <w:p>
      <w:r>
        <w:t xml:space="preserve">Recommended monorepo with three top-level packages, all in a single Git repository so refactors are atomic across boundaries.</w:t>
      </w:r>
    </w:p>
    <w:p>
      <w:pPr>
        <w:pStyle w:val="ListParagraph"/>
        <w:numPr>
          <w:ilvl w:val="0"/>
          <w:numId w:val="2"/>
        </w:numPr>
      </w:pPr>
      <w:r>
        <w:t xml:space="preserve">apps/web — Next.js 16 application (the public site, condition pages, drug pages).</w:t>
      </w:r>
    </w:p>
    <w:p>
      <w:pPr>
        <w:pStyle w:val="ListParagraph"/>
        <w:numPr>
          <w:ilvl w:val="0"/>
          <w:numId w:val="2"/>
        </w:numPr>
      </w:pPr>
      <w:r>
        <w:t xml:space="preserve">apps/admin — internal curation interface (ontology review, contradiction triage, expert annotation).</w:t>
      </w:r>
    </w:p>
    <w:p>
      <w:pPr>
        <w:pStyle w:val="ListParagraph"/>
        <w:numPr>
          <w:ilvl w:val="0"/>
          <w:numId w:val="2"/>
        </w:numPr>
      </w:pPr>
      <w:r>
        <w:t xml:space="preserve">packages/substrate — the data model, graph layer, and migrations. Imported by both apps and the pipelines.</w:t>
      </w:r>
    </w:p>
    <w:p>
      <w:pPr>
        <w:pStyle w:val="ListParagraph"/>
        <w:numPr>
          <w:ilvl w:val="0"/>
          <w:numId w:val="2"/>
        </w:numPr>
      </w:pPr>
      <w:r>
        <w:t xml:space="preserve">packages/extract — the extraction pipeline (PaperQA2 wrappers, MedScore, OntoGPT, PubMedBERT verification).</w:t>
      </w:r>
    </w:p>
    <w:p>
      <w:pPr>
        <w:pStyle w:val="ListParagraph"/>
        <w:numPr>
          <w:ilvl w:val="0"/>
          <w:numId w:val="2"/>
        </w:numPr>
      </w:pPr>
      <w:r>
        <w:t xml:space="preserve">packages/retrieve — the retrieval and synthesis layer (MedCPT, contradiction detection, Citations API).</w:t>
      </w:r>
    </w:p>
    <w:p>
      <w:pPr>
        <w:pStyle w:val="ListParagraph"/>
        <w:numPr>
          <w:ilvl w:val="0"/>
          <w:numId w:val="2"/>
        </w:numPr>
      </w:pPr>
      <w:r>
        <w:t xml:space="preserve">packages/eval — the evaluation harness (MedHELM, MedRAGChecker, custom benchmarks).</w:t>
      </w:r>
    </w:p>
    <w:p>
      <w:pPr>
        <w:pStyle w:val="ListParagraph"/>
        <w:numPr>
          <w:ilvl w:val="0"/>
          <w:numId w:val="2"/>
        </w:numPr>
      </w:pPr>
      <w:r>
        <w:t xml:space="preserve">scripts/ — batch jobs, one-off migrations, data loaders. Mirrors the existing repo's scripts directory structure.</w:t>
      </w:r>
    </w:p>
    <w:p>
      <w:pPr>
        <w:pStyle w:val="Heading2"/>
      </w:pPr>
      <w:r>
        <w:t xml:space="preserve">5.5 What stays Next.js, what moves to Python</w:t>
      </w:r>
    </w:p>
    <w:p>
      <w:r>
        <w:t xml:space="preserve">The existing repo is fully TypeScript. The new biomedical stack (PaperQA2, OntoGPT, MedScore, PubMedBERT) is Python-native. Forcing Python tooling through Node.js native bindings is a recipe for dependency hell. The pragmatic split:</w:t>
      </w:r>
    </w:p>
    <w:p>
      <w:pPr>
        <w:pStyle w:val="ListParagraph"/>
        <w:numPr>
          <w:ilvl w:val="0"/>
          <w:numId w:val="2"/>
        </w:numPr>
      </w:pPr>
      <w:r>
        <w:t xml:space="preserve">TypeScript / Next.js: web app, admin app, substrate package (data model + database access), API routes, Citations API integration.</w:t>
      </w:r>
    </w:p>
    <w:p>
      <w:pPr>
        <w:pStyle w:val="ListParagraph"/>
        <w:numPr>
          <w:ilvl w:val="0"/>
          <w:numId w:val="2"/>
        </w:numPr>
      </w:pPr>
      <w:r>
        <w:t xml:space="preserve">Python: extract package, retrieve package, eval package. Run as separate services, exposed to TS via HTTP (FastAPI) or shared Postgres tables.</w:t>
      </w:r>
    </w:p>
    <w:p>
      <w:pPr>
        <w:pStyle w:val="ListParagraph"/>
        <w:numPr>
          <w:ilvl w:val="0"/>
          <w:numId w:val="2"/>
        </w:numPr>
      </w:pPr>
      <w:r>
        <w:t xml:space="preserve">Communication: Postgres is the message bus. Python writes extraction results into substrate tables; TS reads them. For real-time retrieval, FastAPI in Python serves a /search and /synthesize endpoint that the Next.js API routes call.</w:t>
      </w:r>
    </w:p>
    <w:p>
      <w:pPr>
        <w:pStyle w:val="Heading2"/>
      </w:pPr>
      <w:r>
        <w:t xml:space="preserve">5.6 Database substrate: plain Postgres (graph engine deferred)</w:t>
      </w:r>
    </w:p>
    <w:p>
      <w:r>
        <w:t xml:space="preserve">REVISED June 2026: The substrate runs on a single, plain Postgres instance (Supabase-hosted), with no graph engine in v1. The original plan specified Postgres + Apache AGE, but Apache AGE cannot run on managed Supabase — AGE is a C extension, is not a trusted-language extension, and is not in Supabase’s supported set, so the Week 2 “AGE validated” deliverable would have failed on contact. More importantly, a graph engine is not needed at v1 scale. Our query patterns (entity-neighborhood traversal, 2–3 hop relation walks) run over a substrate that is ~10,000 claims at month 12 and ~50,000 by end of Year 2 — tiny by graph standards. A relations table with recursive CTEs in plain Postgres handles these traversals comfortably over millions of edges, keeps everything on one Supabase instance with auth and storage adjacent to the data, and removes the AGE-maturity row from the risk register. pgvector (already planned for embeddings) lives in the same instance. A dedicated graph engine is added only when a real query pattern demands it — not before. Rationale logged in Appendix C.</w:t>
      </w:r>
    </w:p>
    <w:p>
      <w:r>
        <w:t xml:space="preserve">Schema scaffolding (illustrative — actual schema lives in packages/substrate/migrations):</w:t>
      </w:r>
    </w:p>
    <w:p>
      <w:pPr>
        <w:pStyle w:val="ListParagraph"/>
        <w:numPr>
          <w:ilvl w:val="0"/>
          <w:numId w:val="2"/>
        </w:numPr>
      </w:pPr>
      <w:r>
        <w:t xml:space="preserve">entities — biomedical concepts (drugs, conditions, mechanisms, genes, phenotypes), with ontology grounding (MeSH, UMLS, MONDO, HPO, ChEMBL IDs).</w:t>
      </w:r>
    </w:p>
    <w:p>
      <w:pPr>
        <w:pStyle w:val="ListParagraph"/>
        <w:numPr>
          <w:ilvl w:val="0"/>
          <w:numId w:val="2"/>
        </w:numPr>
      </w:pPr>
      <w:r>
        <w:t xml:space="preserve">source_spans — every retrievable chunk of text from a source document, with offset, hash, and document metadata.</w:t>
      </w:r>
    </w:p>
    <w:p>
      <w:pPr>
        <w:pStyle w:val="ListParagraph"/>
        <w:numPr>
          <w:ilvl w:val="0"/>
          <w:numId w:val="2"/>
        </w:numPr>
      </w:pPr>
      <w:r>
        <w:t xml:space="preserve">claims — atomic, decomposed assertions extracted from source_spans, scored for confidence.</w:t>
      </w:r>
    </w:p>
    <w:p>
      <w:pPr>
        <w:pStyle w:val="ListParagraph"/>
        <w:numPr>
          <w:ilvl w:val="0"/>
          <w:numId w:val="2"/>
        </w:numPr>
      </w:pPr>
      <w:r>
        <w:t xml:space="preserve">relations — graph edges between entities, with claim_id provenance and direction (supports / contradicts).</w:t>
      </w:r>
    </w:p>
    <w:p>
      <w:pPr>
        <w:pStyle w:val="ListParagraph"/>
        <w:numPr>
          <w:ilvl w:val="0"/>
          <w:numId w:val="2"/>
        </w:numPr>
      </w:pPr>
      <w:r>
        <w:t xml:space="preserve">syntheses — explicit records of multi-source claim aggregation, marking which underlying claims fed in and what aggregation rule was used.</w:t>
      </w:r>
    </w:p>
    <w:p>
      <w:pPr>
        <w:pStyle w:val="ListParagraph"/>
        <w:numPr>
          <w:ilvl w:val="0"/>
          <w:numId w:val="2"/>
        </w:numPr>
      </w:pPr>
      <w:r>
        <w:t xml:space="preserve">contradictions — first-class table for surfaced disagreements between claims, with NLI-derived contradiction scores.</w:t>
      </w:r>
    </w:p>
    <w:p>
      <w:pPr>
        <w:pStyle w:val="ListParagraph"/>
        <w:numPr>
          <w:ilvl w:val="0"/>
          <w:numId w:val="2"/>
        </w:numPr>
      </w:pPr>
      <w:r>
        <w:t xml:space="preserve">ontology — concept definitions, term mappings, and the female-specific ontology extensions Whel adds on top of MeSH/UMLS.</w:t>
      </w:r>
    </w:p>
    <w:p>
      <w:pPr>
        <w:pStyle w:val="Heading2"/>
      </w:pPr>
      <w:r>
        <w:t xml:space="preserve">5.7 The migration plan</w:t>
      </w:r>
    </w:p>
    <w:p>
      <w:r>
        <w:t xml:space="preserve">Phased over the first 10 weeks of Phase 1. The legacy repo stays read-only and queryable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shd w:fill="7A1F3D" w:color="auto" w:val="clear"/>
          </w:tcPr>
          <w:p>
            <w:r>
              <w:rPr>
                <w:b/>
                <w:bCs/>
                <w:color w:val="FFFFFF"/>
                <w:sz w:val="20"/>
                <w:szCs w:val="20"/>
              </w:rPr>
              <w:t xml:space="preserve">Week</w:t>
            </w:r>
          </w:p>
        </w:tc>
        <w:tc>
          <w:tcPr>
            <w:tcW w:type="dxa" w:w="4320"/>
            <w:shd w:fill="7A1F3D" w:color="auto" w:val="clear"/>
          </w:tcPr>
          <w:p>
            <w:r>
              <w:rPr>
                <w:b/>
                <w:bCs/>
                <w:color w:val="FFFFFF"/>
                <w:sz w:val="20"/>
                <w:szCs w:val="20"/>
              </w:rPr>
              <w:t xml:space="preserve">Goal</w:t>
            </w:r>
          </w:p>
        </w:tc>
        <w:tc>
          <w:tcPr>
            <w:tcW w:type="dxa" w:w="4320"/>
            <w:shd w:fill="7A1F3D" w:color="auto" w:val="clear"/>
          </w:tcPr>
          <w:p>
            <w:r>
              <w:rPr>
                <w:b/>
                <w:bCs/>
                <w:color w:val="FFFFFF"/>
                <w:sz w:val="20"/>
                <w:szCs w:val="20"/>
              </w:rPr>
              <w:t xml:space="preserve">Salvage actions</w:t>
            </w:r>
          </w:p>
        </w:tc>
      </w:tr>
      <w:tr>
        <w:trPr>
          <w:tblHeader w:val="false"/>
        </w:trPr>
        <w:tc>
          <w:tcPr>
            <w:tcW w:type="dxa" w:w="720"/>
            <w:shd w:fill="F8F8F8" w:color="auto" w:val="clear"/>
          </w:tcPr>
          <w:p>
            <w:r>
              <w:rPr>
                <w:b w:val="false"/>
                <w:bCs w:val="false"/>
                <w:color w:val="222222"/>
                <w:sz w:val="20"/>
                <w:szCs w:val="20"/>
              </w:rPr>
              <w:t xml:space="preserve">1</w:t>
            </w:r>
          </w:p>
        </w:tc>
        <w:tc>
          <w:tcPr>
            <w:tcW w:type="dxa" w:w="4320"/>
            <w:shd w:fill="F8F8F8" w:color="auto" w:val="clear"/>
          </w:tcPr>
          <w:p>
            <w:r>
              <w:rPr>
                <w:b w:val="false"/>
                <w:bCs w:val="false"/>
                <w:color w:val="222222"/>
                <w:sz w:val="20"/>
                <w:szCs w:val="20"/>
              </w:rPr>
              <w:t xml:space="preserve">Fresh repo scaffolded; monorepo layout; CI green</w:t>
            </w:r>
          </w:p>
        </w:tc>
        <w:tc>
          <w:tcPr>
            <w:tcW w:type="dxa" w:w="4320"/>
            <w:shd w:fill="F8F8F8" w:color="auto" w:val="clear"/>
          </w:tcPr>
          <w:p>
            <w:r>
              <w:rPr>
                <w:b w:val="false"/>
                <w:bCs w:val="false"/>
                <w:color w:val="222222"/>
                <w:sz w:val="20"/>
                <w:szCs w:val="20"/>
              </w:rPr>
              <w:t xml:space="preserve">Copy design tokens, color palette, typography stack</w:t>
            </w:r>
          </w:p>
        </w:tc>
      </w:tr>
      <w:tr>
        <w:trPr>
          <w:tblHeader w:val="false"/>
        </w:trPr>
        <w:tc>
          <w:tcPr>
            <w:tcW w:type="dxa" w:w="720"/>
            <w:shd w:fill="FFFFFF" w:color="auto" w:val="clear"/>
          </w:tcPr>
          <w:p>
            <w:r>
              <w:rPr>
                <w:b w:val="false"/>
                <w:bCs w:val="false"/>
                <w:color w:val="222222"/>
                <w:sz w:val="20"/>
                <w:szCs w:val="20"/>
              </w:rPr>
              <w:t xml:space="preserve">2</w:t>
            </w:r>
          </w:p>
        </w:tc>
        <w:tc>
          <w:tcPr>
            <w:tcW w:type="dxa" w:w="4320"/>
            <w:shd w:fill="FFFFFF" w:color="auto" w:val="clear"/>
          </w:tcPr>
          <w:p>
            <w:r>
              <w:rPr>
                <w:b w:val="false"/>
                <w:bCs w:val="false"/>
                <w:color w:val="222222"/>
                <w:sz w:val="20"/>
                <w:szCs w:val="20"/>
              </w:rPr>
              <w:t xml:space="preserve">Supabase whel_v2 schema migrated; entities + source_spans + claims tables live</w:t>
            </w:r>
          </w:p>
        </w:tc>
        <w:tc>
          <w:tcPr>
            <w:tcW w:type="dxa" w:w="4320"/>
            <w:shd w:fill="FFFFFF" w:color="auto" w:val="clear"/>
          </w:tcPr>
          <w:p>
            <w:r>
              <w:rPr>
                <w:b w:val="false"/>
                <w:bCs w:val="false"/>
                <w:color w:val="222222"/>
                <w:sz w:val="20"/>
                <w:szCs w:val="20"/>
              </w:rPr>
              <w:t xml:space="preserve">Port existing 271 signals into claims table as v0 seed</w:t>
            </w:r>
          </w:p>
        </w:tc>
      </w:tr>
      <w:tr>
        <w:trPr>
          <w:tblHeader w:val="false"/>
        </w:trPr>
        <w:tc>
          <w:tcPr>
            <w:tcW w:type="dxa" w:w="720"/>
            <w:shd w:fill="F8F8F8" w:color="auto" w:val="clear"/>
          </w:tcPr>
          <w:p>
            <w:r>
              <w:rPr>
                <w:b w:val="false"/>
                <w:bCs w:val="false"/>
                <w:color w:val="222222"/>
                <w:sz w:val="20"/>
                <w:szCs w:val="20"/>
              </w:rPr>
              <w:t xml:space="preserve">3</w:t>
            </w:r>
          </w:p>
        </w:tc>
        <w:tc>
          <w:tcPr>
            <w:tcW w:type="dxa" w:w="4320"/>
            <w:shd w:fill="F8F8F8" w:color="auto" w:val="clear"/>
          </w:tcPr>
          <w:p>
            <w:r>
              <w:rPr>
                <w:b w:val="false"/>
                <w:bCs w:val="false"/>
                <w:color w:val="222222"/>
                <w:sz w:val="20"/>
                <w:szCs w:val="20"/>
              </w:rPr>
              <w:t xml:space="preserve">PaperQA2 wrapper in packages/extract; MedScore atomic decomposition; first end-to-end claim extracted from PubMed</w:t>
            </w:r>
          </w:p>
        </w:tc>
        <w:tc>
          <w:tcPr>
            <w:tcW w:type="dxa" w:w="4320"/>
            <w:shd w:fill="F8F8F8" w:color="auto" w:val="clear"/>
          </w:tcPr>
          <w:p>
            <w:r>
              <w:rPr>
                <w:b w:val="false"/>
                <w:bCs w:val="false"/>
                <w:color w:val="222222"/>
                <w:sz w:val="20"/>
                <w:szCs w:val="20"/>
              </w:rPr>
              <w:t xml:space="preserve">Port research-pipeline.js into packages/extract as Python job</w:t>
            </w:r>
          </w:p>
        </w:tc>
      </w:tr>
      <w:tr>
        <w:trPr>
          <w:tblHeader w:val="false"/>
        </w:trPr>
        <w:tc>
          <w:tcPr>
            <w:tcW w:type="dxa" w:w="720"/>
            <w:shd w:fill="FFFFFF" w:color="auto" w:val="clear"/>
          </w:tcPr>
          <w:p>
            <w:r>
              <w:rPr>
                <w:b w:val="false"/>
                <w:bCs w:val="false"/>
                <w:color w:val="222222"/>
                <w:sz w:val="20"/>
                <w:szCs w:val="20"/>
              </w:rPr>
              <w:t xml:space="preserve">4</w:t>
            </w:r>
          </w:p>
        </w:tc>
        <w:tc>
          <w:tcPr>
            <w:tcW w:type="dxa" w:w="4320"/>
            <w:shd w:fill="FFFFFF" w:color="auto" w:val="clear"/>
          </w:tcPr>
          <w:p>
            <w:r>
              <w:rPr>
                <w:b w:val="false"/>
                <w:bCs w:val="false"/>
                <w:color w:val="222222"/>
                <w:sz w:val="20"/>
                <w:szCs w:val="20"/>
              </w:rPr>
              <w:t xml:space="preserve">OntoGPT ontology grounding; PrimeKG + CTKG seed import; female-specific ontology extension framework</w:t>
            </w:r>
          </w:p>
        </w:tc>
        <w:tc>
          <w:tcPr>
            <w:tcW w:type="dxa" w:w="4320"/>
            <w:shd w:fill="FFFFFF" w:color="auto" w:val="clear"/>
          </w:tcPr>
          <w:p>
            <w:r>
              <w:rPr>
                <w:b w:val="false"/>
                <w:bCs w:val="false"/>
                <w:color w:val="222222"/>
                <w:sz w:val="20"/>
                <w:szCs w:val="20"/>
              </w:rPr>
              <w:t xml:space="preserve">Port verify-citations.py into packages/eval</w:t>
            </w:r>
          </w:p>
        </w:tc>
      </w:tr>
      <w:tr>
        <w:trPr>
          <w:tblHeader w:val="false"/>
        </w:trPr>
        <w:tc>
          <w:tcPr>
            <w:tcW w:type="dxa" w:w="720"/>
            <w:shd w:fill="F8F8F8" w:color="auto" w:val="clear"/>
          </w:tcPr>
          <w:p>
            <w:r>
              <w:rPr>
                <w:b w:val="false"/>
                <w:bCs w:val="false"/>
                <w:color w:val="222222"/>
                <w:sz w:val="20"/>
                <w:szCs w:val="20"/>
              </w:rPr>
              <w:t xml:space="preserve">5</w:t>
            </w:r>
          </w:p>
        </w:tc>
        <w:tc>
          <w:tcPr>
            <w:tcW w:type="dxa" w:w="4320"/>
            <w:shd w:fill="F8F8F8" w:color="auto" w:val="clear"/>
          </w:tcPr>
          <w:p>
            <w:r>
              <w:rPr>
                <w:b w:val="false"/>
                <w:bCs w:val="false"/>
                <w:color w:val="222222"/>
                <w:sz w:val="20"/>
                <w:szCs w:val="20"/>
              </w:rPr>
              <w:t xml:space="preserve">MedCPT retrieval; FastAPI /search endpoint; basic contradiction detection via PubMedBERT NLI</w:t>
            </w:r>
          </w:p>
        </w:tc>
        <w:tc>
          <w:tcPr>
            <w:tcW w:type="dxa" w:w="4320"/>
            <w:shd w:fill="F8F8F8" w:color="auto" w:val="clear"/>
          </w:tcPr>
          <w:p>
            <w:r>
              <w:rPr>
                <w:b w:val="false"/>
                <w:bCs w:val="false"/>
                <w:color w:val="222222"/>
                <w:sz w:val="20"/>
                <w:szCs w:val="20"/>
              </w:rPr>
              <w:t xml:space="preserve">Port openfda-pipeline.js + clinicaltrials-pipeline.js</w:t>
            </w:r>
          </w:p>
        </w:tc>
      </w:tr>
      <w:tr>
        <w:trPr>
          <w:tblHeader w:val="false"/>
        </w:trPr>
        <w:tc>
          <w:tcPr>
            <w:tcW w:type="dxa" w:w="720"/>
            <w:shd w:fill="FFFFFF" w:color="auto" w:val="clear"/>
          </w:tcPr>
          <w:p>
            <w:r>
              <w:rPr>
                <w:b w:val="false"/>
                <w:bCs w:val="false"/>
                <w:color w:val="222222"/>
                <w:sz w:val="20"/>
                <w:szCs w:val="20"/>
              </w:rPr>
              <w:t xml:space="preserve">6</w:t>
            </w:r>
          </w:p>
        </w:tc>
        <w:tc>
          <w:tcPr>
            <w:tcW w:type="dxa" w:w="4320"/>
            <w:shd w:fill="FFFFFF" w:color="auto" w:val="clear"/>
          </w:tcPr>
          <w:p>
            <w:r>
              <w:rPr>
                <w:b w:val="false"/>
                <w:bCs w:val="false"/>
                <w:color w:val="222222"/>
                <w:sz w:val="20"/>
                <w:szCs w:val="20"/>
              </w:rPr>
              <w:t xml:space="preserve">Next.js app shell; condition page, drug page, mechanism page templates; Citations API integration</w:t>
            </w:r>
          </w:p>
        </w:tc>
        <w:tc>
          <w:tcPr>
            <w:tcW w:type="dxa" w:w="4320"/>
            <w:shd w:fill="FFFFFF" w:color="auto" w:val="clear"/>
          </w:tcPr>
          <w:p>
            <w:r>
              <w:rPr>
                <w:b w:val="false"/>
                <w:bCs w:val="false"/>
                <w:color w:val="222222"/>
                <w:sz w:val="20"/>
                <w:szCs w:val="20"/>
              </w:rPr>
              <w:t xml:space="preserve">Port design system, brand chrome</w:t>
            </w:r>
          </w:p>
        </w:tc>
      </w:tr>
      <w:tr>
        <w:trPr>
          <w:tblHeader w:val="false"/>
        </w:trPr>
        <w:tc>
          <w:tcPr>
            <w:tcW w:type="dxa" w:w="720"/>
            <w:shd w:fill="F8F8F8" w:color="auto" w:val="clear"/>
          </w:tcPr>
          <w:p>
            <w:r>
              <w:rPr>
                <w:b w:val="false"/>
                <w:bCs w:val="false"/>
                <w:color w:val="222222"/>
                <w:sz w:val="20"/>
                <w:szCs w:val="20"/>
              </w:rPr>
              <w:t xml:space="preserve">7</w:t>
            </w:r>
          </w:p>
        </w:tc>
        <w:tc>
          <w:tcPr>
            <w:tcW w:type="dxa" w:w="4320"/>
            <w:shd w:fill="F8F8F8" w:color="auto" w:val="clear"/>
          </w:tcPr>
          <w:p>
            <w:r>
              <w:rPr>
                <w:b w:val="false"/>
                <w:bCs w:val="false"/>
                <w:color w:val="222222"/>
                <w:sz w:val="20"/>
                <w:szCs w:val="20"/>
              </w:rPr>
              <w:t xml:space="preserve">Synthesis layer with marking; contradiction surfacing in UI; first end-to-end condition page rendered for PMDD</w:t>
            </w:r>
          </w:p>
        </w:tc>
        <w:tc>
          <w:tcPr>
            <w:tcW w:type="dxa" w:w="4320"/>
            <w:shd w:fill="F8F8F8" w:color="auto" w:val="clear"/>
          </w:tcPr>
          <w:p>
            <w:r>
              <w:rPr>
                <w:b w:val="false"/>
                <w:bCs w:val="false"/>
                <w:color w:val="222222"/>
                <w:sz w:val="20"/>
                <w:szCs w:val="20"/>
              </w:rPr>
              <w:t xml:space="preserve">—</w:t>
            </w:r>
          </w:p>
        </w:tc>
      </w:tr>
      <w:tr>
        <w:trPr>
          <w:tblHeader w:val="false"/>
        </w:trPr>
        <w:tc>
          <w:tcPr>
            <w:tcW w:type="dxa" w:w="720"/>
            <w:shd w:fill="FFFFFF" w:color="auto" w:val="clear"/>
          </w:tcPr>
          <w:p>
            <w:r>
              <w:rPr>
                <w:b w:val="false"/>
                <w:bCs w:val="false"/>
                <w:color w:val="222222"/>
                <w:sz w:val="20"/>
                <w:szCs w:val="20"/>
              </w:rPr>
              <w:t xml:space="preserve">8</w:t>
            </w:r>
          </w:p>
        </w:tc>
        <w:tc>
          <w:tcPr>
            <w:tcW w:type="dxa" w:w="4320"/>
            <w:shd w:fill="FFFFFF" w:color="auto" w:val="clear"/>
          </w:tcPr>
          <w:p>
            <w:r>
              <w:rPr>
                <w:b w:val="false"/>
                <w:bCs w:val="false"/>
                <w:color w:val="222222"/>
                <w:sz w:val="20"/>
                <w:szCs w:val="20"/>
              </w:rPr>
              <w:t xml:space="preserve">HHEM-2.1 guardrail; MedHELM eval baseline; v1 evaluation suite</w:t>
            </w:r>
          </w:p>
        </w:tc>
        <w:tc>
          <w:tcPr>
            <w:tcW w:type="dxa" w:w="4320"/>
            <w:shd w:fill="FFFFFF" w:color="auto" w:val="clear"/>
          </w:tcPr>
          <w:p>
            <w:r>
              <w:rPr>
                <w:b w:val="false"/>
                <w:bCs w:val="false"/>
                <w:color w:val="222222"/>
                <w:sz w:val="20"/>
                <w:szCs w:val="20"/>
              </w:rPr>
              <w:t xml:space="preserve">—</w:t>
            </w:r>
          </w:p>
        </w:tc>
      </w:tr>
      <w:tr>
        <w:trPr>
          <w:tblHeader w:val="false"/>
        </w:trPr>
        <w:tc>
          <w:tcPr>
            <w:tcW w:type="dxa" w:w="720"/>
            <w:shd w:fill="F8F8F8" w:color="auto" w:val="clear"/>
          </w:tcPr>
          <w:p>
            <w:r>
              <w:rPr>
                <w:b w:val="false"/>
                <w:bCs w:val="false"/>
                <w:color w:val="222222"/>
                <w:sz w:val="20"/>
                <w:szCs w:val="20"/>
              </w:rPr>
              <w:t xml:space="preserve">9</w:t>
            </w:r>
          </w:p>
        </w:tc>
        <w:tc>
          <w:tcPr>
            <w:tcW w:type="dxa" w:w="4320"/>
            <w:shd w:fill="F8F8F8" w:color="auto" w:val="clear"/>
          </w:tcPr>
          <w:p>
            <w:r>
              <w:rPr>
                <w:b w:val="false"/>
                <w:bCs w:val="false"/>
                <w:color w:val="222222"/>
                <w:sz w:val="20"/>
                <w:szCs w:val="20"/>
              </w:rPr>
              <w:t xml:space="preserve">Endometriosis + adenomyosis condition pages; drug pages for top 20 PMDD-relevant drugs; admin curation app skeleton</w:t>
            </w:r>
          </w:p>
        </w:tc>
        <w:tc>
          <w:tcPr>
            <w:tcW w:type="dxa" w:w="4320"/>
            <w:shd w:fill="F8F8F8" w:color="auto" w:val="clear"/>
          </w:tcPr>
          <w:p>
            <w:r>
              <w:rPr>
                <w:b w:val="false"/>
                <w:bCs w:val="false"/>
                <w:color w:val="222222"/>
                <w:sz w:val="20"/>
                <w:szCs w:val="20"/>
              </w:rPr>
              <w:t xml:space="preserve">—</w:t>
            </w:r>
          </w:p>
        </w:tc>
      </w:tr>
      <w:tr>
        <w:trPr>
          <w:tblHeader w:val="false"/>
        </w:trPr>
        <w:tc>
          <w:tcPr>
            <w:tcW w:type="dxa" w:w="720"/>
            <w:shd w:fill="FFFFFF" w:color="auto" w:val="clear"/>
          </w:tcPr>
          <w:p>
            <w:r>
              <w:rPr>
                <w:b w:val="false"/>
                <w:bCs w:val="false"/>
                <w:color w:val="222222"/>
                <w:sz w:val="20"/>
                <w:szCs w:val="20"/>
              </w:rPr>
              <w:t xml:space="preserve">10</w:t>
            </w:r>
          </w:p>
        </w:tc>
        <w:tc>
          <w:tcPr>
            <w:tcW w:type="dxa" w:w="4320"/>
            <w:shd w:fill="FFFFFF" w:color="auto" w:val="clear"/>
          </w:tcPr>
          <w:p>
            <w:r>
              <w:rPr>
                <w:b w:val="false"/>
                <w:bCs w:val="false"/>
                <w:color w:val="222222"/>
                <w:sz w:val="20"/>
                <w:szCs w:val="20"/>
              </w:rPr>
              <w:t xml:space="preserve">Polish, observability, deploy to production</w:t>
            </w:r>
          </w:p>
        </w:tc>
        <w:tc>
          <w:tcPr>
            <w:tcW w:type="dxa" w:w="4320"/>
            <w:shd w:fill="FFFFFF" w:color="auto" w:val="clear"/>
          </w:tcPr>
          <w:p>
            <w:r>
              <w:rPr>
                <w:b w:val="false"/>
                <w:bCs w:val="false"/>
                <w:color w:val="222222"/>
                <w:sz w:val="20"/>
                <w:szCs w:val="20"/>
              </w:rPr>
              <w:t xml:space="preserve">Legacy repo archived</w:t>
            </w:r>
          </w:p>
        </w:tc>
      </w:tr>
    </w:tbl>
    <w:p>
      <w:pPr>
        <w:pStyle w:val="Heading2"/>
      </w:pPr>
      <w:r>
        <w:t xml:space="preserve">5.8 Migration risk register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shd w:fill="7A1F3D" w:color="auto" w:val="clear"/>
          </w:tcPr>
          <w:p>
            <w:r>
              <w:rPr>
                <w:b/>
                <w:bCs/>
                <w:color w:val="FFFFFF"/>
                <w:sz w:val="20"/>
                <w:szCs w:val="20"/>
              </w:rPr>
              <w:t xml:space="preserve">Risk</w:t>
            </w:r>
          </w:p>
        </w:tc>
        <w:tc>
          <w:tcPr>
            <w:tcW w:type="dxa" w:w="1800"/>
            <w:shd w:fill="7A1F3D" w:color="auto" w:val="clear"/>
          </w:tcPr>
          <w:p>
            <w:r>
              <w:rPr>
                <w:b/>
                <w:bCs/>
                <w:color w:val="FFFFFF"/>
                <w:sz w:val="20"/>
                <w:szCs w:val="20"/>
              </w:rPr>
              <w:t xml:space="preserve">Likelihood</w:t>
            </w:r>
          </w:p>
        </w:tc>
        <w:tc>
          <w:tcPr>
            <w:tcW w:type="dxa" w:w="4440"/>
            <w:shd w:fill="7A1F3D" w:color="auto" w:val="clear"/>
          </w:tcPr>
          <w:p>
            <w:r>
              <w:rPr>
                <w:b/>
                <w:bCs/>
                <w:color w:val="FFFFFF"/>
                <w:sz w:val="20"/>
                <w:szCs w:val="20"/>
              </w:rPr>
              <w:t xml:space="preserve">Mitigation</w:t>
            </w:r>
          </w:p>
        </w:tc>
      </w:tr>
      <w:tr>
        <w:trPr>
          <w:tblHeader w:val="false"/>
        </w:trPr>
        <w:tc>
          <w:tcPr>
            <w:tcW w:type="dxa" w:w="3120"/>
            <w:shd w:fill="F8F8F8" w:color="auto" w:val="clear"/>
          </w:tcPr>
          <w:p>
            <w:r>
              <w:rPr>
                <w:b w:val="false"/>
                <w:bCs w:val="false"/>
                <w:color w:val="222222"/>
                <w:sz w:val="20"/>
                <w:szCs w:val="20"/>
              </w:rPr>
              <w:t xml:space="preserve">PaperQA2 component fit (does it cover all retrieval needs?)</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Reuse 30–40% of code; reimplement what does not fit; budget for replacement.</w:t>
            </w:r>
          </w:p>
        </w:tc>
      </w:tr>
      <w:tr>
        <w:trPr>
          <w:tblHeader w:val="false"/>
        </w:trPr>
        <w:tc>
          <w:tcPr>
            <w:tcW w:type="dxa" w:w="3120"/>
            <w:shd w:fill="FFFFFF" w:color="auto" w:val="clear"/>
          </w:tcPr>
          <w:p>
            <w:r>
              <w:rPr>
                <w:b w:val="false"/>
                <w:bCs w:val="false"/>
                <w:color w:val="222222"/>
                <w:sz w:val="20"/>
                <w:szCs w:val="20"/>
              </w:rPr>
              <w:t xml:space="preserve">MedCPT embeddings underperform vs domain-tuned fine-tune</w:t>
            </w:r>
          </w:p>
        </w:tc>
        <w:tc>
          <w:tcPr>
            <w:tcW w:type="dxa" w:w="1800"/>
            <w:shd w:fill="FFFFFF" w:color="auto" w:val="clear"/>
          </w:tcPr>
          <w:p>
            <w:r>
              <w:rPr>
                <w:b w:val="false"/>
                <w:bCs w:val="false"/>
                <w:color w:val="222222"/>
                <w:sz w:val="20"/>
                <w:szCs w:val="20"/>
              </w:rPr>
              <w:t xml:space="preserve">Low–Medium</w:t>
            </w:r>
          </w:p>
        </w:tc>
        <w:tc>
          <w:tcPr>
            <w:tcW w:type="dxa" w:w="4440"/>
            <w:shd w:fill="FFFFFF" w:color="auto" w:val="clear"/>
          </w:tcPr>
          <w:p>
            <w:r>
              <w:rPr>
                <w:b w:val="false"/>
                <w:bCs w:val="false"/>
                <w:color w:val="222222"/>
                <w:sz w:val="20"/>
                <w:szCs w:val="20"/>
              </w:rPr>
              <w:t xml:space="preserve">Benchmark vs BAAI/bge-large + PubMedBERT on Whel corpus before locking choice.</w:t>
            </w:r>
          </w:p>
        </w:tc>
      </w:tr>
      <w:tr>
        <w:trPr>
          <w:tblHeader w:val="false"/>
        </w:trPr>
        <w:tc>
          <w:tcPr>
            <w:tcW w:type="dxa" w:w="3120"/>
            <w:shd w:fill="F8F8F8" w:color="auto" w:val="clear"/>
          </w:tcPr>
          <w:p>
            <w:r>
              <w:rPr>
                <w:b w:val="false"/>
                <w:bCs w:val="false"/>
                <w:color w:val="222222"/>
                <w:sz w:val="20"/>
                <w:szCs w:val="20"/>
              </w:rPr>
              <w:t xml:space="preserve">Apache AGE maturity (vs Neo4j)</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RESOLVED (June 2026): AGE dropped entirely. v1 uses plain Postgres with recursive CTEs; no graph engine and no second database. See §5.6.</w:t>
            </w:r>
          </w:p>
        </w:tc>
      </w:tr>
      <w:tr>
        <w:trPr>
          <w:tblHeader w:val="false"/>
        </w:trPr>
        <w:tc>
          <w:tcPr>
            <w:tcW w:type="dxa" w:w="3120"/>
            <w:shd w:fill="FFFFFF" w:color="auto" w:val="clear"/>
          </w:tcPr>
          <w:p>
            <w:r>
              <w:rPr>
                <w:b w:val="false"/>
                <w:bCs w:val="false"/>
                <w:color w:val="222222"/>
                <w:sz w:val="20"/>
                <w:szCs w:val="20"/>
              </w:rPr>
              <w:t xml:space="preserve">MedScore atomic decomposition rate too slow</w:t>
            </w:r>
          </w:p>
        </w:tc>
        <w:tc>
          <w:tcPr>
            <w:tcW w:type="dxa" w:w="1800"/>
            <w:shd w:fill="FFFFFF" w:color="auto" w:val="clear"/>
          </w:tcPr>
          <w:p>
            <w:r>
              <w:rPr>
                <w:b w:val="false"/>
                <w:bCs w:val="false"/>
                <w:color w:val="222222"/>
                <w:sz w:val="20"/>
                <w:szCs w:val="20"/>
              </w:rPr>
              <w:t xml:space="preserve">Low</w:t>
            </w:r>
          </w:p>
        </w:tc>
        <w:tc>
          <w:tcPr>
            <w:tcW w:type="dxa" w:w="4440"/>
            <w:shd w:fill="FFFFFF" w:color="auto" w:val="clear"/>
          </w:tcPr>
          <w:p>
            <w:r>
              <w:rPr>
                <w:b w:val="false"/>
                <w:bCs w:val="false"/>
                <w:color w:val="222222"/>
                <w:sz w:val="20"/>
                <w:szCs w:val="20"/>
              </w:rPr>
              <w:t xml:space="preserve">Batch-mode plus claim caching by source-span hash.</w:t>
            </w:r>
          </w:p>
        </w:tc>
      </w:tr>
      <w:tr>
        <w:trPr>
          <w:tblHeader w:val="false"/>
        </w:trPr>
        <w:tc>
          <w:tcPr>
            <w:tcW w:type="dxa" w:w="3120"/>
            <w:shd w:fill="F8F8F8" w:color="auto" w:val="clear"/>
          </w:tcPr>
          <w:p>
            <w:r>
              <w:rPr>
                <w:b w:val="false"/>
                <w:bCs w:val="false"/>
                <w:color w:val="222222"/>
                <w:sz w:val="20"/>
                <w:szCs w:val="20"/>
              </w:rPr>
              <w:t xml:space="preserve">PubMedBERT NLI false-positive contradiction rate</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Pair with HHEM-2.1 as second-stage filter; expert review queue for high-confidence contradictions.</w:t>
            </w:r>
          </w:p>
        </w:tc>
      </w:tr>
      <w:tr>
        <w:trPr>
          <w:tblHeader w:val="false"/>
        </w:trPr>
        <w:tc>
          <w:tcPr>
            <w:tcW w:type="dxa" w:w="3120"/>
            <w:shd w:fill="FFFFFF" w:color="auto" w:val="clear"/>
          </w:tcPr>
          <w:p>
            <w:r>
              <w:rPr>
                <w:b w:val="false"/>
                <w:bCs w:val="false"/>
                <w:color w:val="222222"/>
                <w:sz w:val="20"/>
                <w:szCs w:val="20"/>
              </w:rPr>
              <w:t xml:space="preserve">Anthropic Citations API rate limits or pricing changes</w:t>
            </w:r>
          </w:p>
        </w:tc>
        <w:tc>
          <w:tcPr>
            <w:tcW w:type="dxa" w:w="1800"/>
            <w:shd w:fill="FFFFFF" w:color="auto" w:val="clear"/>
          </w:tcPr>
          <w:p>
            <w:r>
              <w:rPr>
                <w:b w:val="false"/>
                <w:bCs w:val="false"/>
                <w:color w:val="222222"/>
                <w:sz w:val="20"/>
                <w:szCs w:val="20"/>
              </w:rPr>
              <w:t xml:space="preserve">Low</w:t>
            </w:r>
          </w:p>
        </w:tc>
        <w:tc>
          <w:tcPr>
            <w:tcW w:type="dxa" w:w="4440"/>
            <w:shd w:fill="FFFFFF" w:color="auto" w:val="clear"/>
          </w:tcPr>
          <w:p>
            <w:r>
              <w:rPr>
                <w:b w:val="false"/>
                <w:bCs w:val="false"/>
                <w:color w:val="222222"/>
                <w:sz w:val="20"/>
                <w:szCs w:val="20"/>
              </w:rPr>
              <w:t xml:space="preserve">Architect synthesis layer to be Citations-API-agnostic; fall back to in-house chunk-citation if needed.</w:t>
            </w:r>
          </w:p>
        </w:tc>
      </w:tr>
      <w:tr>
        <w:trPr>
          <w:tblHeader w:val="false"/>
        </w:trPr>
        <w:tc>
          <w:tcPr>
            <w:tcW w:type="dxa" w:w="3120"/>
            <w:shd w:fill="F8F8F8" w:color="auto" w:val="clear"/>
          </w:tcPr>
          <w:p>
            <w:r>
              <w:rPr>
                <w:b w:val="false"/>
                <w:bCs w:val="false"/>
                <w:color w:val="222222"/>
                <w:sz w:val="20"/>
                <w:szCs w:val="20"/>
              </w:rPr>
              <w:t xml:space="preserve">Python/Node interop friction</w:t>
            </w:r>
          </w:p>
        </w:tc>
        <w:tc>
          <w:tcPr>
            <w:tcW w:type="dxa" w:w="1800"/>
            <w:shd w:fill="F8F8F8" w:color="auto" w:val="clear"/>
          </w:tcPr>
          <w:p>
            <w:r>
              <w:rPr>
                <w:b w:val="false"/>
                <w:bCs w:val="false"/>
                <w:color w:val="222222"/>
                <w:sz w:val="20"/>
                <w:szCs w:val="20"/>
              </w:rPr>
              <w:t xml:space="preserve">Medium</w:t>
            </w:r>
          </w:p>
        </w:tc>
        <w:tc>
          <w:tcPr>
            <w:tcW w:type="dxa" w:w="4440"/>
            <w:shd w:fill="F8F8F8" w:color="auto" w:val="clear"/>
          </w:tcPr>
          <w:p>
            <w:r>
              <w:rPr>
                <w:b w:val="false"/>
                <w:bCs w:val="false"/>
                <w:color w:val="222222"/>
                <w:sz w:val="20"/>
                <w:szCs w:val="20"/>
              </w:rPr>
              <w:t xml:space="preserve">Strict via-Postgres or via-HTTP contracts; no shared in-process state.</w:t>
            </w:r>
          </w:p>
        </w:tc>
      </w:tr>
      <w:tr>
        <w:trPr>
          <w:tblHeader w:val="false"/>
        </w:trPr>
        <w:tc>
          <w:tcPr>
            <w:tcW w:type="dxa" w:w="3120"/>
            <w:shd w:fill="FFFFFF" w:color="auto" w:val="clear"/>
          </w:tcPr>
          <w:p>
            <w:r>
              <w:rPr>
                <w:b w:val="false"/>
                <w:bCs w:val="false"/>
                <w:color w:val="222222"/>
                <w:sz w:val="20"/>
                <w:szCs w:val="20"/>
              </w:rPr>
              <w:t xml:space="preserve">Legacy repo data drift during migration</w:t>
            </w:r>
          </w:p>
        </w:tc>
        <w:tc>
          <w:tcPr>
            <w:tcW w:type="dxa" w:w="1800"/>
            <w:shd w:fill="FFFFFF" w:color="auto" w:val="clear"/>
          </w:tcPr>
          <w:p>
            <w:r>
              <w:rPr>
                <w:b w:val="false"/>
                <w:bCs w:val="false"/>
                <w:color w:val="222222"/>
                <w:sz w:val="20"/>
                <w:szCs w:val="20"/>
              </w:rPr>
              <w:t xml:space="preserve">Low (legacy is read-only)</w:t>
            </w:r>
          </w:p>
        </w:tc>
        <w:tc>
          <w:tcPr>
            <w:tcW w:type="dxa" w:w="4440"/>
            <w:shd w:fill="FFFFFF" w:color="auto" w:val="clear"/>
          </w:tcPr>
          <w:p>
            <w:r>
              <w:rPr>
                <w:b w:val="false"/>
                <w:bCs w:val="false"/>
                <w:color w:val="222222"/>
                <w:sz w:val="20"/>
                <w:szCs w:val="20"/>
              </w:rPr>
              <w:t xml:space="preserve">Lock writes to legacy on Day 1 of Phase 1.</w:t>
            </w:r>
          </w:p>
        </w:tc>
      </w:tr>
    </w:tbl>
    <w:p>
      <w:pPr>
        <w:pStyle w:val="Heading2"/>
      </w:pPr>
      <w:r>
        <w:t xml:space="preserve">5.9 Observability and reproducibility from day 1</w:t>
      </w:r>
    </w:p>
    <w:p>
      <w:pPr>
        <w:pStyle w:val="ListParagraph"/>
        <w:numPr>
          <w:ilvl w:val="0"/>
          <w:numId w:val="2"/>
        </w:numPr>
      </w:pPr>
      <w:r>
        <w:t xml:space="preserve">Every extraction run is logged with model version, prompt hash, source document hash, and output hash.</w:t>
      </w:r>
    </w:p>
    <w:p>
      <w:pPr>
        <w:pStyle w:val="ListParagraph"/>
        <w:numPr>
          <w:ilvl w:val="0"/>
          <w:numId w:val="2"/>
        </w:numPr>
      </w:pPr>
      <w:r>
        <w:t xml:space="preserve">Every claim has an audit trail: source span → atomic claim → NLI verification → synthesis appearance → display in UI.</w:t>
      </w:r>
    </w:p>
    <w:p>
      <w:pPr>
        <w:pStyle w:val="ListParagraph"/>
        <w:numPr>
          <w:ilvl w:val="0"/>
          <w:numId w:val="2"/>
        </w:numPr>
      </w:pPr>
      <w:r>
        <w:t xml:space="preserve">Re-runs of the same extraction are bit-for-bit reproducible (deterministic with seed) or explicitly marked as model-version-dependent.</w:t>
      </w:r>
    </w:p>
    <w:p>
      <w:pPr>
        <w:pStyle w:val="ListParagraph"/>
        <w:numPr>
          <w:ilvl w:val="0"/>
          <w:numId w:val="2"/>
        </w:numPr>
      </w:pPr>
      <w:r>
        <w:t xml:space="preserve">Eval suite runs on every meaningful change; regressions block merge.</w:t>
      </w:r>
    </w:p>
    <w:p>
      <w:pPr>
        <w:pStyle w:val="ListParagraph"/>
        <w:numPr>
          <w:ilvl w:val="0"/>
          <w:numId w:val="2"/>
        </w:numPr>
      </w:pPr>
      <w:r>
        <w:t xml:space="preserve">Cost-per-run logged; budget alarms wired before they matter.</w:t>
      </w:r>
    </w:p>
    <w:p>
      <w:pPr>
        <w:pStyle w:val="Heading1"/>
        <w:pageBreakBefore/>
      </w:pPr>
      <w:r>
        <w:t xml:space="preserve">6. The New Tech Stack</w:t>
      </w:r>
    </w:p>
    <w:p>
      <w:pPr>
        <w:spacing w:after="200"/>
      </w:pPr>
      <w:r>
        <w:rPr>
          <w:i/>
          <w:iCs/>
          <w:color w:val="555555"/>
          <w:sz w:val="22"/>
          <w:szCs w:val="22"/>
        </w:rPr>
        <w:t xml:space="preserve">Every open-source component, why it is in the stack, what it replaces from the existing implementation, and the license posture.</w:t>
      </w:r>
    </w:p>
    <w:p>
      <w:r>
        <w:t xml:space="preserve">VERIFICATION STATUS (June 2026): A one-day diligence pass was run on the components most likely to be over-claimed. Confirmed real: MedScore (atomic decomposition of medical claims, 2025 paper), MedRAGChecker (claim-level biomedical RAG verification, Jan 2026 arXiv paper), and ContraCrow (the contradiction-detection configuration of the FutureHouse/PaperQA2 system). The earlier worry that these were plausible-sounding but non-existent was a false alarm. The real caveat is narrower: a paper existing is not the same as a maintained, installable repo with a clear license, and “SOTA” for something published weeks ago cannot be leaned on. Before any of these gates an engineering decision, confirm a working repo, a license file, and a pip install; anything that fails that is replaced or cut. MedHELM is real and sufficient as the Phase 1 eval baseline.</w:t>
      </w:r>
    </w:p>
    <w:p>
      <w:pPr>
        <w:pStyle w:val="Heading2"/>
      </w:pPr>
      <w:r>
        <w:t xml:space="preserve">6.1 The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520"/>
        <w:gridCol w:w="1800"/>
        <w:gridCol w:w="3420"/>
      </w:tblGrid>
      <w:tr>
        <w:trPr>
          <w:tblHeader/>
        </w:trPr>
        <w:tc>
          <w:tcPr>
            <w:tcW w:type="dxa" w:w="1620"/>
            <w:shd w:fill="7A1F3D" w:color="auto" w:val="clear"/>
          </w:tcPr>
          <w:p>
            <w:r>
              <w:rPr>
                <w:b/>
                <w:bCs/>
                <w:color w:val="FFFFFF"/>
                <w:sz w:val="20"/>
                <w:szCs w:val="20"/>
              </w:rPr>
              <w:t xml:space="preserve">Layer</w:t>
            </w:r>
          </w:p>
        </w:tc>
        <w:tc>
          <w:tcPr>
            <w:tcW w:type="dxa" w:w="2520"/>
            <w:shd w:fill="7A1F3D" w:color="auto" w:val="clear"/>
          </w:tcPr>
          <w:p>
            <w:r>
              <w:rPr>
                <w:b/>
                <w:bCs/>
                <w:color w:val="FFFFFF"/>
                <w:sz w:val="20"/>
                <w:szCs w:val="20"/>
              </w:rPr>
              <w:t xml:space="preserve">Component</w:t>
            </w:r>
          </w:p>
        </w:tc>
        <w:tc>
          <w:tcPr>
            <w:tcW w:type="dxa" w:w="1800"/>
            <w:shd w:fill="7A1F3D" w:color="auto" w:val="clear"/>
          </w:tcPr>
          <w:p>
            <w:r>
              <w:rPr>
                <w:b/>
                <w:bCs/>
                <w:color w:val="FFFFFF"/>
                <w:sz w:val="20"/>
                <w:szCs w:val="20"/>
              </w:rPr>
              <w:t xml:space="preserve">License</w:t>
            </w:r>
          </w:p>
        </w:tc>
        <w:tc>
          <w:tcPr>
            <w:tcW w:type="dxa" w:w="3420"/>
            <w:shd w:fill="7A1F3D" w:color="auto" w:val="clear"/>
          </w:tcPr>
          <w:p>
            <w:r>
              <w:rPr>
                <w:b/>
                <w:bCs/>
                <w:color w:val="FFFFFF"/>
                <w:sz w:val="20"/>
                <w:szCs w:val="20"/>
              </w:rPr>
              <w:t xml:space="preserve">Purpose</w:t>
            </w:r>
          </w:p>
        </w:tc>
      </w:tr>
      <w:tr>
        <w:trPr>
          <w:tblHeader w:val="false"/>
        </w:trPr>
        <w:tc>
          <w:tcPr>
            <w:tcW w:type="dxa" w:w="1620"/>
            <w:shd w:fill="F8F8F8" w:color="auto" w:val="clear"/>
          </w:tcPr>
          <w:p>
            <w:r>
              <w:rPr>
                <w:b w:val="false"/>
                <w:bCs w:val="false"/>
                <w:color w:val="222222"/>
                <w:sz w:val="20"/>
                <w:szCs w:val="20"/>
              </w:rPr>
              <w:t xml:space="preserve">Substrate DB</w:t>
            </w:r>
          </w:p>
        </w:tc>
        <w:tc>
          <w:tcPr>
            <w:tcW w:type="dxa" w:w="2520"/>
            <w:shd w:fill="F8F8F8" w:color="auto" w:val="clear"/>
          </w:tcPr>
          <w:p>
            <w:r>
              <w:rPr>
                <w:b w:val="false"/>
                <w:bCs w:val="false"/>
                <w:color w:val="222222"/>
                <w:sz w:val="20"/>
                <w:szCs w:val="20"/>
              </w:rPr>
              <w:t xml:space="preserve">Postgres 16 (plain; pgvector)</w:t>
            </w:r>
          </w:p>
        </w:tc>
        <w:tc>
          <w:tcPr>
            <w:tcW w:type="dxa" w:w="1800"/>
            <w:shd w:fill="F8F8F8" w:color="auto" w:val="clear"/>
          </w:tcPr>
          <w:p>
            <w:r>
              <w:rPr>
                <w:b w:val="false"/>
                <w:bCs w:val="false"/>
                <w:color w:val="222222"/>
                <w:sz w:val="20"/>
                <w:szCs w:val="20"/>
              </w:rPr>
              <w:t xml:space="preserve">PostgreSQL + Apache 2.0</w:t>
            </w:r>
          </w:p>
        </w:tc>
        <w:tc>
          <w:tcPr>
            <w:tcW w:type="dxa" w:w="3420"/>
            <w:shd w:fill="F8F8F8" w:color="auto" w:val="clear"/>
          </w:tcPr>
          <w:p>
            <w:r>
              <w:rPr>
                <w:b w:val="false"/>
                <w:bCs w:val="false"/>
                <w:color w:val="222222"/>
                <w:sz w:val="20"/>
                <w:szCs w:val="20"/>
              </w:rPr>
              <w:t xml:space="preserve">Relational + graph in one</w:t>
            </w:r>
          </w:p>
        </w:tc>
      </w:tr>
      <w:tr>
        <w:trPr>
          <w:tblHeader w:val="false"/>
        </w:trPr>
        <w:tc>
          <w:tcPr>
            <w:tcW w:type="dxa" w:w="1620"/>
            <w:shd w:fill="FFFFFF" w:color="auto" w:val="clear"/>
          </w:tcPr>
          <w:p>
            <w:r>
              <w:rPr>
                <w:b w:val="false"/>
                <w:bCs w:val="false"/>
                <w:color w:val="222222"/>
                <w:sz w:val="20"/>
                <w:szCs w:val="20"/>
              </w:rPr>
              <w:t xml:space="preserve">Substrate hosting</w:t>
            </w:r>
          </w:p>
        </w:tc>
        <w:tc>
          <w:tcPr>
            <w:tcW w:type="dxa" w:w="2520"/>
            <w:shd w:fill="FFFFFF" w:color="auto" w:val="clear"/>
          </w:tcPr>
          <w:p>
            <w:r>
              <w:rPr>
                <w:b w:val="false"/>
                <w:bCs w:val="false"/>
                <w:color w:val="222222"/>
                <w:sz w:val="20"/>
                <w:szCs w:val="20"/>
              </w:rPr>
              <w:t xml:space="preserve">Supabase</w:t>
            </w:r>
          </w:p>
        </w:tc>
        <w:tc>
          <w:tcPr>
            <w:tcW w:type="dxa" w:w="1800"/>
            <w:shd w:fill="FFFFFF" w:color="auto" w:val="clear"/>
          </w:tcPr>
          <w:p>
            <w:r>
              <w:rPr>
                <w:b w:val="false"/>
                <w:bCs w:val="false"/>
                <w:color w:val="222222"/>
                <w:sz w:val="20"/>
                <w:szCs w:val="20"/>
              </w:rPr>
              <w:t xml:space="preserve">Apache 2.0 (core)</w:t>
            </w:r>
          </w:p>
        </w:tc>
        <w:tc>
          <w:tcPr>
            <w:tcW w:type="dxa" w:w="3420"/>
            <w:shd w:fill="FFFFFF" w:color="auto" w:val="clear"/>
          </w:tcPr>
          <w:p>
            <w:r>
              <w:rPr>
                <w:b w:val="false"/>
                <w:bCs w:val="false"/>
                <w:color w:val="222222"/>
                <w:sz w:val="20"/>
                <w:szCs w:val="20"/>
              </w:rPr>
              <w:t xml:space="preserve">Managed Postgres + auth + storage</w:t>
            </w:r>
          </w:p>
        </w:tc>
      </w:tr>
      <w:tr>
        <w:trPr>
          <w:tblHeader w:val="false"/>
        </w:trPr>
        <w:tc>
          <w:tcPr>
            <w:tcW w:type="dxa" w:w="1620"/>
            <w:shd w:fill="F8F8F8" w:color="auto" w:val="clear"/>
          </w:tcPr>
          <w:p>
            <w:r>
              <w:rPr>
                <w:b w:val="false"/>
                <w:bCs w:val="false"/>
                <w:color w:val="222222"/>
                <w:sz w:val="20"/>
                <w:szCs w:val="20"/>
              </w:rPr>
              <w:t xml:space="preserve">Seed knowledge graphs</w:t>
            </w:r>
          </w:p>
        </w:tc>
        <w:tc>
          <w:tcPr>
            <w:tcW w:type="dxa" w:w="2520"/>
            <w:shd w:fill="F8F8F8" w:color="auto" w:val="clear"/>
          </w:tcPr>
          <w:p>
            <w:r>
              <w:rPr>
                <w:b w:val="false"/>
                <w:bCs w:val="false"/>
                <w:color w:val="222222"/>
                <w:sz w:val="20"/>
                <w:szCs w:val="20"/>
              </w:rPr>
              <w:t xml:space="preserve">PrimeKG, CTKG</w:t>
            </w:r>
          </w:p>
        </w:tc>
        <w:tc>
          <w:tcPr>
            <w:tcW w:type="dxa" w:w="1800"/>
            <w:shd w:fill="F8F8F8" w:color="auto" w:val="clear"/>
          </w:tcPr>
          <w:p>
            <w:r>
              <w:rPr>
                <w:b w:val="false"/>
                <w:bCs w:val="false"/>
                <w:color w:val="222222"/>
                <w:sz w:val="20"/>
                <w:szCs w:val="20"/>
              </w:rPr>
              <w:t xml:space="preserve">MIT, CC-BY</w:t>
            </w:r>
          </w:p>
        </w:tc>
        <w:tc>
          <w:tcPr>
            <w:tcW w:type="dxa" w:w="3420"/>
            <w:shd w:fill="F8F8F8" w:color="auto" w:val="clear"/>
          </w:tcPr>
          <w:p>
            <w:r>
              <w:rPr>
                <w:b w:val="false"/>
                <w:bCs w:val="false"/>
                <w:color w:val="222222"/>
                <w:sz w:val="20"/>
                <w:szCs w:val="20"/>
              </w:rPr>
              <w:t xml:space="preserve">Bootstrap entity + relation coverage</w:t>
            </w:r>
          </w:p>
        </w:tc>
      </w:tr>
      <w:tr>
        <w:trPr>
          <w:tblHeader w:val="false"/>
        </w:trPr>
        <w:tc>
          <w:tcPr>
            <w:tcW w:type="dxa" w:w="1620"/>
            <w:shd w:fill="FFFFFF" w:color="auto" w:val="clear"/>
          </w:tcPr>
          <w:p>
            <w:r>
              <w:rPr>
                <w:b w:val="false"/>
                <w:bCs w:val="false"/>
                <w:color w:val="222222"/>
                <w:sz w:val="20"/>
                <w:szCs w:val="20"/>
              </w:rPr>
              <w:t xml:space="preserve">Ontologies</w:t>
            </w:r>
          </w:p>
        </w:tc>
        <w:tc>
          <w:tcPr>
            <w:tcW w:type="dxa" w:w="2520"/>
            <w:shd w:fill="FFFFFF" w:color="auto" w:val="clear"/>
          </w:tcPr>
          <w:p>
            <w:r>
              <w:rPr>
                <w:b w:val="false"/>
                <w:bCs w:val="false"/>
                <w:color w:val="222222"/>
                <w:sz w:val="20"/>
                <w:szCs w:val="20"/>
              </w:rPr>
              <w:t xml:space="preserve">MeSH, UMLS, MONDO, HPO, ChEMBL, DrugBank Open</w:t>
            </w:r>
          </w:p>
        </w:tc>
        <w:tc>
          <w:tcPr>
            <w:tcW w:type="dxa" w:w="1800"/>
            <w:shd w:fill="FFFFFF" w:color="auto" w:val="clear"/>
          </w:tcPr>
          <w:p>
            <w:r>
              <w:rPr>
                <w:b w:val="false"/>
                <w:bCs w:val="false"/>
                <w:color w:val="222222"/>
                <w:sz w:val="20"/>
                <w:szCs w:val="20"/>
              </w:rPr>
              <w:t xml:space="preserve">Various open</w:t>
            </w:r>
          </w:p>
        </w:tc>
        <w:tc>
          <w:tcPr>
            <w:tcW w:type="dxa" w:w="3420"/>
            <w:shd w:fill="FFFFFF" w:color="auto" w:val="clear"/>
          </w:tcPr>
          <w:p>
            <w:r>
              <w:rPr>
                <w:b w:val="false"/>
                <w:bCs w:val="false"/>
                <w:color w:val="222222"/>
                <w:sz w:val="20"/>
                <w:szCs w:val="20"/>
              </w:rPr>
              <w:t xml:space="preserve">Concept grounding</w:t>
            </w:r>
          </w:p>
        </w:tc>
      </w:tr>
      <w:tr>
        <w:trPr>
          <w:tblHeader w:val="false"/>
        </w:trPr>
        <w:tc>
          <w:tcPr>
            <w:tcW w:type="dxa" w:w="1620"/>
            <w:shd w:fill="F8F8F8" w:color="auto" w:val="clear"/>
          </w:tcPr>
          <w:p>
            <w:r>
              <w:rPr>
                <w:b w:val="false"/>
                <w:bCs w:val="false"/>
                <w:color w:val="222222"/>
                <w:sz w:val="20"/>
                <w:szCs w:val="20"/>
              </w:rPr>
              <w:t xml:space="preserve">Extraction (retrieval)</w:t>
            </w:r>
          </w:p>
        </w:tc>
        <w:tc>
          <w:tcPr>
            <w:tcW w:type="dxa" w:w="2520"/>
            <w:shd w:fill="F8F8F8" w:color="auto" w:val="clear"/>
          </w:tcPr>
          <w:p>
            <w:r>
              <w:rPr>
                <w:b w:val="false"/>
                <w:bCs w:val="false"/>
                <w:color w:val="222222"/>
                <w:sz w:val="20"/>
                <w:szCs w:val="20"/>
              </w:rPr>
              <w:t xml:space="preserve">PaperQA2</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Per-chunk provenance retrieval</w:t>
            </w:r>
          </w:p>
        </w:tc>
      </w:tr>
      <w:tr>
        <w:trPr>
          <w:tblHeader w:val="false"/>
        </w:trPr>
        <w:tc>
          <w:tcPr>
            <w:tcW w:type="dxa" w:w="1620"/>
            <w:shd w:fill="FFFFFF" w:color="auto" w:val="clear"/>
          </w:tcPr>
          <w:p>
            <w:r>
              <w:rPr>
                <w:b w:val="false"/>
                <w:bCs w:val="false"/>
                <w:color w:val="222222"/>
                <w:sz w:val="20"/>
                <w:szCs w:val="20"/>
              </w:rPr>
              <w:t xml:space="preserve">Extraction (atomic claims)</w:t>
            </w:r>
          </w:p>
        </w:tc>
        <w:tc>
          <w:tcPr>
            <w:tcW w:type="dxa" w:w="2520"/>
            <w:shd w:fill="FFFFFF" w:color="auto" w:val="clear"/>
          </w:tcPr>
          <w:p>
            <w:r>
              <w:rPr>
                <w:b w:val="false"/>
                <w:bCs w:val="false"/>
                <w:color w:val="222222"/>
                <w:sz w:val="20"/>
                <w:szCs w:val="20"/>
              </w:rPr>
              <w:t xml:space="preserve">MedScore</w:t>
            </w:r>
          </w:p>
        </w:tc>
        <w:tc>
          <w:tcPr>
            <w:tcW w:type="dxa" w:w="1800"/>
            <w:shd w:fill="FFFFFF" w:color="auto" w:val="clear"/>
          </w:tcPr>
          <w:p>
            <w:r>
              <w:rPr>
                <w:b w:val="false"/>
                <w:bCs w:val="false"/>
                <w:color w:val="222222"/>
                <w:sz w:val="20"/>
                <w:szCs w:val="20"/>
              </w:rPr>
              <w:t xml:space="preserve">Apache 2.0</w:t>
            </w:r>
          </w:p>
        </w:tc>
        <w:tc>
          <w:tcPr>
            <w:tcW w:type="dxa" w:w="3420"/>
            <w:shd w:fill="FFFFFF" w:color="auto" w:val="clear"/>
          </w:tcPr>
          <w:p>
            <w:r>
              <w:rPr>
                <w:b w:val="false"/>
                <w:bCs w:val="false"/>
                <w:color w:val="222222"/>
                <w:sz w:val="20"/>
                <w:szCs w:val="20"/>
              </w:rPr>
              <w:t xml:space="preserve">Decompose into verifiable units</w:t>
            </w:r>
          </w:p>
        </w:tc>
      </w:tr>
      <w:tr>
        <w:trPr>
          <w:tblHeader w:val="false"/>
        </w:trPr>
        <w:tc>
          <w:tcPr>
            <w:tcW w:type="dxa" w:w="1620"/>
            <w:shd w:fill="F8F8F8" w:color="auto" w:val="clear"/>
          </w:tcPr>
          <w:p>
            <w:r>
              <w:rPr>
                <w:b w:val="false"/>
                <w:bCs w:val="false"/>
                <w:color w:val="222222"/>
                <w:sz w:val="20"/>
                <w:szCs w:val="20"/>
              </w:rPr>
              <w:t xml:space="preserve">Extraction (ontology grounding)</w:t>
            </w:r>
          </w:p>
        </w:tc>
        <w:tc>
          <w:tcPr>
            <w:tcW w:type="dxa" w:w="2520"/>
            <w:shd w:fill="F8F8F8" w:color="auto" w:val="clear"/>
          </w:tcPr>
          <w:p>
            <w:r>
              <w:rPr>
                <w:b w:val="false"/>
                <w:bCs w:val="false"/>
                <w:color w:val="222222"/>
                <w:sz w:val="20"/>
                <w:szCs w:val="20"/>
              </w:rPr>
              <w:t xml:space="preserve">OntoGPT (Monarch)</w:t>
            </w:r>
          </w:p>
        </w:tc>
        <w:tc>
          <w:tcPr>
            <w:tcW w:type="dxa" w:w="1800"/>
            <w:shd w:fill="F8F8F8" w:color="auto" w:val="clear"/>
          </w:tcPr>
          <w:p>
            <w:r>
              <w:rPr>
                <w:b w:val="false"/>
                <w:bCs w:val="false"/>
                <w:color w:val="222222"/>
                <w:sz w:val="20"/>
                <w:szCs w:val="20"/>
              </w:rPr>
              <w:t xml:space="preserve">BSD-3</w:t>
            </w:r>
          </w:p>
        </w:tc>
        <w:tc>
          <w:tcPr>
            <w:tcW w:type="dxa" w:w="3420"/>
            <w:shd w:fill="F8F8F8" w:color="auto" w:val="clear"/>
          </w:tcPr>
          <w:p>
            <w:r>
              <w:rPr>
                <w:b w:val="false"/>
                <w:bCs w:val="false"/>
                <w:color w:val="222222"/>
                <w:sz w:val="20"/>
                <w:szCs w:val="20"/>
              </w:rPr>
              <w:t xml:space="preserve">Ontology-aware relation extraction</w:t>
            </w:r>
          </w:p>
        </w:tc>
      </w:tr>
      <w:tr>
        <w:trPr>
          <w:tblHeader w:val="false"/>
        </w:trPr>
        <w:tc>
          <w:tcPr>
            <w:tcW w:type="dxa" w:w="1620"/>
            <w:shd w:fill="FFFFFF" w:color="auto" w:val="clear"/>
          </w:tcPr>
          <w:p>
            <w:r>
              <w:rPr>
                <w:b w:val="false"/>
                <w:bCs w:val="false"/>
                <w:color w:val="222222"/>
                <w:sz w:val="20"/>
                <w:szCs w:val="20"/>
              </w:rPr>
              <w:t xml:space="preserve">Embeddings (biomedical)</w:t>
            </w:r>
          </w:p>
        </w:tc>
        <w:tc>
          <w:tcPr>
            <w:tcW w:type="dxa" w:w="2520"/>
            <w:shd w:fill="FFFFFF" w:color="auto" w:val="clear"/>
          </w:tcPr>
          <w:p>
            <w:r>
              <w:rPr>
                <w:b w:val="false"/>
                <w:bCs w:val="false"/>
                <w:color w:val="222222"/>
                <w:sz w:val="20"/>
                <w:szCs w:val="20"/>
              </w:rPr>
              <w:t xml:space="preserve">MedCPT</w:t>
            </w:r>
          </w:p>
        </w:tc>
        <w:tc>
          <w:tcPr>
            <w:tcW w:type="dxa" w:w="1800"/>
            <w:shd w:fill="FFFFFF" w:color="auto" w:val="clear"/>
          </w:tcPr>
          <w:p>
            <w:r>
              <w:rPr>
                <w:b w:val="false"/>
                <w:bCs w:val="false"/>
                <w:color w:val="222222"/>
                <w:sz w:val="20"/>
                <w:szCs w:val="20"/>
              </w:rPr>
              <w:t xml:space="preserve">NCBI (public domain)</w:t>
            </w:r>
          </w:p>
        </w:tc>
        <w:tc>
          <w:tcPr>
            <w:tcW w:type="dxa" w:w="3420"/>
            <w:shd w:fill="FFFFFF" w:color="auto" w:val="clear"/>
          </w:tcPr>
          <w:p>
            <w:r>
              <w:rPr>
                <w:b w:val="false"/>
                <w:bCs w:val="false"/>
                <w:color w:val="222222"/>
                <w:sz w:val="20"/>
                <w:szCs w:val="20"/>
              </w:rPr>
              <w:t xml:space="preserve">Semantic retrieval over biomedical text</w:t>
            </w:r>
          </w:p>
        </w:tc>
      </w:tr>
      <w:tr>
        <w:trPr>
          <w:tblHeader w:val="false"/>
        </w:trPr>
        <w:tc>
          <w:tcPr>
            <w:tcW w:type="dxa" w:w="1620"/>
            <w:shd w:fill="F8F8F8" w:color="auto" w:val="clear"/>
          </w:tcPr>
          <w:p>
            <w:r>
              <w:rPr>
                <w:b w:val="false"/>
                <w:bCs w:val="false"/>
                <w:color w:val="222222"/>
                <w:sz w:val="20"/>
                <w:szCs w:val="20"/>
              </w:rPr>
              <w:t xml:space="preserve">Embeddings (fallback)</w:t>
            </w:r>
          </w:p>
        </w:tc>
        <w:tc>
          <w:tcPr>
            <w:tcW w:type="dxa" w:w="2520"/>
            <w:shd w:fill="F8F8F8" w:color="auto" w:val="clear"/>
          </w:tcPr>
          <w:p>
            <w:r>
              <w:rPr>
                <w:b w:val="false"/>
                <w:bCs w:val="false"/>
                <w:color w:val="222222"/>
                <w:sz w:val="20"/>
                <w:szCs w:val="20"/>
              </w:rPr>
              <w:t xml:space="preserve">BAAI/bge-large + PubMedBERT</w:t>
            </w:r>
          </w:p>
        </w:tc>
        <w:tc>
          <w:tcPr>
            <w:tcW w:type="dxa" w:w="1800"/>
            <w:shd w:fill="F8F8F8" w:color="auto" w:val="clear"/>
          </w:tcPr>
          <w:p>
            <w:r>
              <w:rPr>
                <w:b w:val="false"/>
                <w:bCs w:val="false"/>
                <w:color w:val="222222"/>
                <w:sz w:val="20"/>
                <w:szCs w:val="20"/>
              </w:rPr>
              <w:t xml:space="preserve">MIT, MIT</w:t>
            </w:r>
          </w:p>
        </w:tc>
        <w:tc>
          <w:tcPr>
            <w:tcW w:type="dxa" w:w="3420"/>
            <w:shd w:fill="F8F8F8" w:color="auto" w:val="clear"/>
          </w:tcPr>
          <w:p>
            <w:r>
              <w:rPr>
                <w:b w:val="false"/>
                <w:bCs w:val="false"/>
                <w:color w:val="222222"/>
                <w:sz w:val="20"/>
                <w:szCs w:val="20"/>
              </w:rPr>
              <w:t xml:space="preserve">Coverage and speed alternates</w:t>
            </w:r>
          </w:p>
        </w:tc>
      </w:tr>
      <w:tr>
        <w:trPr>
          <w:tblHeader w:val="false"/>
        </w:trPr>
        <w:tc>
          <w:tcPr>
            <w:tcW w:type="dxa" w:w="1620"/>
            <w:shd w:fill="FFFFFF" w:color="auto" w:val="clear"/>
          </w:tcPr>
          <w:p>
            <w:r>
              <w:rPr>
                <w:b w:val="false"/>
                <w:bCs w:val="false"/>
                <w:color w:val="222222"/>
                <w:sz w:val="20"/>
                <w:szCs w:val="20"/>
              </w:rPr>
              <w:t xml:space="preserve">NLI verification</w:t>
            </w:r>
          </w:p>
        </w:tc>
        <w:tc>
          <w:tcPr>
            <w:tcW w:type="dxa" w:w="2520"/>
            <w:shd w:fill="FFFFFF" w:color="auto" w:val="clear"/>
          </w:tcPr>
          <w:p>
            <w:r>
              <w:rPr>
                <w:b w:val="false"/>
                <w:bCs w:val="false"/>
                <w:color w:val="222222"/>
                <w:sz w:val="20"/>
                <w:szCs w:val="20"/>
              </w:rPr>
              <w:t xml:space="preserve">PubMedBERT-NLI</w:t>
            </w:r>
          </w:p>
        </w:tc>
        <w:tc>
          <w:tcPr>
            <w:tcW w:type="dxa" w:w="1800"/>
            <w:shd w:fill="FFFFFF" w:color="auto" w:val="clear"/>
          </w:tcPr>
          <w:p>
            <w:r>
              <w:rPr>
                <w:b w:val="false"/>
                <w:bCs w:val="false"/>
                <w:color w:val="222222"/>
                <w:sz w:val="20"/>
                <w:szCs w:val="20"/>
              </w:rPr>
              <w:t xml:space="preserve">MIT</w:t>
            </w:r>
          </w:p>
        </w:tc>
        <w:tc>
          <w:tcPr>
            <w:tcW w:type="dxa" w:w="3420"/>
            <w:shd w:fill="FFFFFF" w:color="auto" w:val="clear"/>
          </w:tcPr>
          <w:p>
            <w:r>
              <w:rPr>
                <w:b w:val="false"/>
                <w:bCs w:val="false"/>
                <w:color w:val="222222"/>
                <w:sz w:val="20"/>
                <w:szCs w:val="20"/>
              </w:rPr>
              <w:t xml:space="preserve">Claim-source entailment</w:t>
            </w:r>
          </w:p>
        </w:tc>
      </w:tr>
      <w:tr>
        <w:trPr>
          <w:tblHeader w:val="false"/>
        </w:trPr>
        <w:tc>
          <w:tcPr>
            <w:tcW w:type="dxa" w:w="1620"/>
            <w:shd w:fill="F8F8F8" w:color="auto" w:val="clear"/>
          </w:tcPr>
          <w:p>
            <w:r>
              <w:rPr>
                <w:b w:val="false"/>
                <w:bCs w:val="false"/>
                <w:color w:val="222222"/>
                <w:sz w:val="20"/>
                <w:szCs w:val="20"/>
              </w:rPr>
              <w:t xml:space="preserve">Hallucination guardrail</w:t>
            </w:r>
          </w:p>
        </w:tc>
        <w:tc>
          <w:tcPr>
            <w:tcW w:type="dxa" w:w="2520"/>
            <w:shd w:fill="F8F8F8" w:color="auto" w:val="clear"/>
          </w:tcPr>
          <w:p>
            <w:r>
              <w:rPr>
                <w:b w:val="false"/>
                <w:bCs w:val="false"/>
                <w:color w:val="222222"/>
                <w:sz w:val="20"/>
                <w:szCs w:val="20"/>
              </w:rPr>
              <w:t xml:space="preserve">HHEM-2.1 (Vectara)</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Second-stage hallucination filter</w:t>
            </w:r>
          </w:p>
        </w:tc>
      </w:tr>
      <w:tr>
        <w:trPr>
          <w:tblHeader w:val="false"/>
        </w:trPr>
        <w:tc>
          <w:tcPr>
            <w:tcW w:type="dxa" w:w="1620"/>
            <w:shd w:fill="FFFFFF" w:color="auto" w:val="clear"/>
          </w:tcPr>
          <w:p>
            <w:r>
              <w:rPr>
                <w:b w:val="false"/>
                <w:bCs w:val="false"/>
                <w:color w:val="222222"/>
                <w:sz w:val="20"/>
                <w:szCs w:val="20"/>
              </w:rPr>
              <w:t xml:space="preserve">Synthesis with citation</w:t>
            </w:r>
          </w:p>
        </w:tc>
        <w:tc>
          <w:tcPr>
            <w:tcW w:type="dxa" w:w="2520"/>
            <w:shd w:fill="FFFFFF" w:color="auto" w:val="clear"/>
          </w:tcPr>
          <w:p>
            <w:r>
              <w:rPr>
                <w:b w:val="false"/>
                <w:bCs w:val="false"/>
                <w:color w:val="222222"/>
                <w:sz w:val="20"/>
                <w:szCs w:val="20"/>
              </w:rPr>
              <w:t xml:space="preserve">Anthropic Citations API</w:t>
            </w:r>
          </w:p>
        </w:tc>
        <w:tc>
          <w:tcPr>
            <w:tcW w:type="dxa" w:w="1800"/>
            <w:shd w:fill="FFFFFF" w:color="auto" w:val="clear"/>
          </w:tcPr>
          <w:p>
            <w:r>
              <w:rPr>
                <w:b w:val="false"/>
                <w:bCs w:val="false"/>
                <w:color w:val="222222"/>
                <w:sz w:val="20"/>
                <w:szCs w:val="20"/>
              </w:rPr>
              <w:t xml:space="preserve">Commercial API</w:t>
            </w:r>
          </w:p>
        </w:tc>
        <w:tc>
          <w:tcPr>
            <w:tcW w:type="dxa" w:w="3420"/>
            <w:shd w:fill="FFFFFF" w:color="auto" w:val="clear"/>
          </w:tcPr>
          <w:p>
            <w:r>
              <w:rPr>
                <w:b w:val="false"/>
                <w:bCs w:val="false"/>
                <w:color w:val="222222"/>
                <w:sz w:val="20"/>
                <w:szCs w:val="20"/>
              </w:rPr>
              <w:t xml:space="preserve">Per-claim citation in generation</w:t>
            </w:r>
          </w:p>
        </w:tc>
      </w:tr>
      <w:tr>
        <w:trPr>
          <w:tblHeader w:val="false"/>
        </w:trPr>
        <w:tc>
          <w:tcPr>
            <w:tcW w:type="dxa" w:w="1620"/>
            <w:shd w:fill="F8F8F8" w:color="auto" w:val="clear"/>
          </w:tcPr>
          <w:p>
            <w:r>
              <w:rPr>
                <w:b w:val="false"/>
                <w:bCs w:val="false"/>
                <w:color w:val="222222"/>
                <w:sz w:val="20"/>
                <w:szCs w:val="20"/>
              </w:rPr>
              <w:t xml:space="preserve">Contradiction detection</w:t>
            </w:r>
          </w:p>
        </w:tc>
        <w:tc>
          <w:tcPr>
            <w:tcW w:type="dxa" w:w="2520"/>
            <w:shd w:fill="F8F8F8" w:color="auto" w:val="clear"/>
          </w:tcPr>
          <w:p>
            <w:r>
              <w:rPr>
                <w:b w:val="false"/>
                <w:bCs w:val="false"/>
                <w:color w:val="222222"/>
                <w:sz w:val="20"/>
                <w:szCs w:val="20"/>
              </w:rPr>
              <w:t xml:space="preserve">ContraCrow patterns + custom</w:t>
            </w:r>
          </w:p>
        </w:tc>
        <w:tc>
          <w:tcPr>
            <w:tcW w:type="dxa" w:w="1800"/>
            <w:shd w:fill="F8F8F8" w:color="auto" w:val="clear"/>
          </w:tcPr>
          <w:p>
            <w:r>
              <w:rPr>
                <w:b w:val="false"/>
                <w:bCs w:val="false"/>
                <w:color w:val="222222"/>
                <w:sz w:val="20"/>
                <w:szCs w:val="20"/>
              </w:rPr>
              <w:t xml:space="preserve">MIT-style</w:t>
            </w:r>
          </w:p>
        </w:tc>
        <w:tc>
          <w:tcPr>
            <w:tcW w:type="dxa" w:w="3420"/>
            <w:shd w:fill="F8F8F8" w:color="auto" w:val="clear"/>
          </w:tcPr>
          <w:p>
            <w:r>
              <w:rPr>
                <w:b w:val="false"/>
                <w:bCs w:val="false"/>
                <w:color w:val="222222"/>
                <w:sz w:val="20"/>
                <w:szCs w:val="20"/>
              </w:rPr>
              <w:t xml:space="preserve">Surface disagreement, not average it</w:t>
            </w:r>
          </w:p>
        </w:tc>
      </w:tr>
      <w:tr>
        <w:trPr>
          <w:tblHeader w:val="false"/>
        </w:trPr>
        <w:tc>
          <w:tcPr>
            <w:tcW w:type="dxa" w:w="1620"/>
            <w:shd w:fill="FFFFFF" w:color="auto" w:val="clear"/>
          </w:tcPr>
          <w:p>
            <w:r>
              <w:rPr>
                <w:b w:val="false"/>
                <w:bCs w:val="false"/>
                <w:color w:val="222222"/>
                <w:sz w:val="20"/>
                <w:szCs w:val="20"/>
              </w:rPr>
              <w:t xml:space="preserve">Eval — biomedical RAG</w:t>
            </w:r>
          </w:p>
        </w:tc>
        <w:tc>
          <w:tcPr>
            <w:tcW w:type="dxa" w:w="2520"/>
            <w:shd w:fill="FFFFFF" w:color="auto" w:val="clear"/>
          </w:tcPr>
          <w:p>
            <w:r>
              <w:rPr>
                <w:b w:val="false"/>
                <w:bCs w:val="false"/>
                <w:color w:val="222222"/>
                <w:sz w:val="20"/>
                <w:szCs w:val="20"/>
              </w:rPr>
              <w:t xml:space="preserve">MedRAGChecker, MedHELM</w:t>
            </w:r>
          </w:p>
        </w:tc>
        <w:tc>
          <w:tcPr>
            <w:tcW w:type="dxa" w:w="1800"/>
            <w:shd w:fill="FFFFFF" w:color="auto" w:val="clear"/>
          </w:tcPr>
          <w:p>
            <w:r>
              <w:rPr>
                <w:b w:val="false"/>
                <w:bCs w:val="false"/>
                <w:color w:val="222222"/>
                <w:sz w:val="20"/>
                <w:szCs w:val="20"/>
              </w:rPr>
              <w:t xml:space="preserve">MIT, Apache 2.0</w:t>
            </w:r>
          </w:p>
        </w:tc>
        <w:tc>
          <w:tcPr>
            <w:tcW w:type="dxa" w:w="3420"/>
            <w:shd w:fill="FFFFFF" w:color="auto" w:val="clear"/>
          </w:tcPr>
          <w:p>
            <w:r>
              <w:rPr>
                <w:b w:val="false"/>
                <w:bCs w:val="false"/>
                <w:color w:val="222222"/>
                <w:sz w:val="20"/>
                <w:szCs w:val="20"/>
              </w:rPr>
              <w:t xml:space="preserve">SOTA benchmarks for our category</w:t>
            </w:r>
          </w:p>
        </w:tc>
      </w:tr>
      <w:tr>
        <w:trPr>
          <w:tblHeader w:val="false"/>
        </w:trPr>
        <w:tc>
          <w:tcPr>
            <w:tcW w:type="dxa" w:w="1620"/>
            <w:shd w:fill="F8F8F8" w:color="auto" w:val="clear"/>
          </w:tcPr>
          <w:p>
            <w:r>
              <w:rPr>
                <w:b w:val="false"/>
                <w:bCs w:val="false"/>
                <w:color w:val="222222"/>
                <w:sz w:val="20"/>
                <w:szCs w:val="20"/>
              </w:rPr>
              <w:t xml:space="preserve">Eval — atomic factuality</w:t>
            </w:r>
          </w:p>
        </w:tc>
        <w:tc>
          <w:tcPr>
            <w:tcW w:type="dxa" w:w="2520"/>
            <w:shd w:fill="F8F8F8" w:color="auto" w:val="clear"/>
          </w:tcPr>
          <w:p>
            <w:r>
              <w:rPr>
                <w:b w:val="false"/>
                <w:bCs w:val="false"/>
                <w:color w:val="222222"/>
                <w:sz w:val="20"/>
                <w:szCs w:val="20"/>
              </w:rPr>
              <w:t xml:space="preserve">MedScore harness + FActScore</w:t>
            </w:r>
          </w:p>
        </w:tc>
        <w:tc>
          <w:tcPr>
            <w:tcW w:type="dxa" w:w="1800"/>
            <w:shd w:fill="F8F8F8" w:color="auto" w:val="clear"/>
          </w:tcPr>
          <w:p>
            <w:r>
              <w:rPr>
                <w:b w:val="false"/>
                <w:bCs w:val="false"/>
                <w:color w:val="222222"/>
                <w:sz w:val="20"/>
                <w:szCs w:val="20"/>
              </w:rPr>
              <w:t xml:space="preserve">Apache 2.0, MIT</w:t>
            </w:r>
          </w:p>
        </w:tc>
        <w:tc>
          <w:tcPr>
            <w:tcW w:type="dxa" w:w="3420"/>
            <w:shd w:fill="F8F8F8" w:color="auto" w:val="clear"/>
          </w:tcPr>
          <w:p>
            <w:r>
              <w:rPr>
                <w:b w:val="false"/>
                <w:bCs w:val="false"/>
                <w:color w:val="222222"/>
                <w:sz w:val="20"/>
                <w:szCs w:val="20"/>
              </w:rPr>
              <w:t xml:space="preserve">Per-claim accuracy</w:t>
            </w:r>
          </w:p>
        </w:tc>
      </w:tr>
      <w:tr>
        <w:trPr>
          <w:tblHeader w:val="false"/>
        </w:trPr>
        <w:tc>
          <w:tcPr>
            <w:tcW w:type="dxa" w:w="1620"/>
            <w:shd w:fill="FFFFFF" w:color="auto" w:val="clear"/>
          </w:tcPr>
          <w:p>
            <w:r>
              <w:rPr>
                <w:b w:val="false"/>
                <w:bCs w:val="false"/>
                <w:color w:val="222222"/>
                <w:sz w:val="20"/>
                <w:szCs w:val="20"/>
              </w:rPr>
              <w:t xml:space="preserve">App framework</w:t>
            </w:r>
          </w:p>
        </w:tc>
        <w:tc>
          <w:tcPr>
            <w:tcW w:type="dxa" w:w="2520"/>
            <w:shd w:fill="FFFFFF" w:color="auto" w:val="clear"/>
          </w:tcPr>
          <w:p>
            <w:r>
              <w:rPr>
                <w:b w:val="false"/>
                <w:bCs w:val="false"/>
                <w:color w:val="222222"/>
                <w:sz w:val="20"/>
                <w:szCs w:val="20"/>
              </w:rPr>
              <w:t xml:space="preserve">Next.js 16.2.1</w:t>
            </w:r>
          </w:p>
        </w:tc>
        <w:tc>
          <w:tcPr>
            <w:tcW w:type="dxa" w:w="1800"/>
            <w:shd w:fill="FFFFFF" w:color="auto" w:val="clear"/>
          </w:tcPr>
          <w:p>
            <w:r>
              <w:rPr>
                <w:b w:val="false"/>
                <w:bCs w:val="false"/>
                <w:color w:val="222222"/>
                <w:sz w:val="20"/>
                <w:szCs w:val="20"/>
              </w:rPr>
              <w:t xml:space="preserve">MIT</w:t>
            </w:r>
          </w:p>
        </w:tc>
        <w:tc>
          <w:tcPr>
            <w:tcW w:type="dxa" w:w="3420"/>
            <w:shd w:fill="FFFFFF" w:color="auto" w:val="clear"/>
          </w:tcPr>
          <w:p>
            <w:r>
              <w:rPr>
                <w:b w:val="false"/>
                <w:bCs w:val="false"/>
                <w:color w:val="222222"/>
                <w:sz w:val="20"/>
                <w:szCs w:val="20"/>
              </w:rPr>
              <w:t xml:space="preserve">Web app + API routes</w:t>
            </w:r>
          </w:p>
        </w:tc>
      </w:tr>
      <w:tr>
        <w:trPr>
          <w:tblHeader w:val="false"/>
        </w:trPr>
        <w:tc>
          <w:tcPr>
            <w:tcW w:type="dxa" w:w="1620"/>
            <w:shd w:fill="F8F8F8" w:color="auto" w:val="clear"/>
          </w:tcPr>
          <w:p>
            <w:r>
              <w:rPr>
                <w:b w:val="false"/>
                <w:bCs w:val="false"/>
                <w:color w:val="222222"/>
                <w:sz w:val="20"/>
                <w:szCs w:val="20"/>
              </w:rPr>
              <w:t xml:space="preserve">UI</w:t>
            </w:r>
          </w:p>
        </w:tc>
        <w:tc>
          <w:tcPr>
            <w:tcW w:type="dxa" w:w="2520"/>
            <w:shd w:fill="F8F8F8" w:color="auto" w:val="clear"/>
          </w:tcPr>
          <w:p>
            <w:r>
              <w:rPr>
                <w:b w:val="false"/>
                <w:bCs w:val="false"/>
                <w:color w:val="222222"/>
                <w:sz w:val="20"/>
                <w:szCs w:val="20"/>
              </w:rPr>
              <w:t xml:space="preserve">React 19, Tailwind, shadcn/ui</w:t>
            </w:r>
          </w:p>
        </w:tc>
        <w:tc>
          <w:tcPr>
            <w:tcW w:type="dxa" w:w="1800"/>
            <w:shd w:fill="F8F8F8" w:color="auto" w:val="clear"/>
          </w:tcPr>
          <w:p>
            <w:r>
              <w:rPr>
                <w:b w:val="false"/>
                <w:bCs w:val="false"/>
                <w:color w:val="222222"/>
                <w:sz w:val="20"/>
                <w:szCs w:val="20"/>
              </w:rPr>
              <w:t xml:space="preserve">MIT</w:t>
            </w:r>
          </w:p>
        </w:tc>
        <w:tc>
          <w:tcPr>
            <w:tcW w:type="dxa" w:w="3420"/>
            <w:shd w:fill="F8F8F8" w:color="auto" w:val="clear"/>
          </w:tcPr>
          <w:p>
            <w:r>
              <w:rPr>
                <w:b w:val="false"/>
                <w:bCs w:val="false"/>
                <w:color w:val="222222"/>
                <w:sz w:val="20"/>
                <w:szCs w:val="20"/>
              </w:rPr>
              <w:t xml:space="preserve">Component library</w:t>
            </w:r>
          </w:p>
        </w:tc>
      </w:tr>
      <w:tr>
        <w:trPr>
          <w:tblHeader w:val="false"/>
        </w:trPr>
        <w:tc>
          <w:tcPr>
            <w:tcW w:type="dxa" w:w="1620"/>
            <w:shd w:fill="FFFFFF" w:color="auto" w:val="clear"/>
          </w:tcPr>
          <w:p>
            <w:r>
              <w:rPr>
                <w:b w:val="false"/>
                <w:bCs w:val="false"/>
                <w:color w:val="222222"/>
                <w:sz w:val="20"/>
                <w:szCs w:val="20"/>
              </w:rPr>
              <w:t xml:space="preserve">Python services</w:t>
            </w:r>
          </w:p>
        </w:tc>
        <w:tc>
          <w:tcPr>
            <w:tcW w:type="dxa" w:w="2520"/>
            <w:shd w:fill="FFFFFF" w:color="auto" w:val="clear"/>
          </w:tcPr>
          <w:p>
            <w:r>
              <w:rPr>
                <w:b w:val="false"/>
                <w:bCs w:val="false"/>
                <w:color w:val="222222"/>
                <w:sz w:val="20"/>
                <w:szCs w:val="20"/>
              </w:rPr>
              <w:t xml:space="preserve">FastAPI, Pydantic, Polars</w:t>
            </w:r>
          </w:p>
        </w:tc>
        <w:tc>
          <w:tcPr>
            <w:tcW w:type="dxa" w:w="1800"/>
            <w:shd w:fill="FFFFFF" w:color="auto" w:val="clear"/>
          </w:tcPr>
          <w:p>
            <w:r>
              <w:rPr>
                <w:b w:val="false"/>
                <w:bCs w:val="false"/>
                <w:color w:val="222222"/>
                <w:sz w:val="20"/>
                <w:szCs w:val="20"/>
              </w:rPr>
              <w:t xml:space="preserve">MIT, MIT, Apache 2.0</w:t>
            </w:r>
          </w:p>
        </w:tc>
        <w:tc>
          <w:tcPr>
            <w:tcW w:type="dxa" w:w="3420"/>
            <w:shd w:fill="FFFFFF" w:color="auto" w:val="clear"/>
          </w:tcPr>
          <w:p>
            <w:r>
              <w:rPr>
                <w:b w:val="false"/>
                <w:bCs w:val="false"/>
                <w:color w:val="222222"/>
                <w:sz w:val="20"/>
                <w:szCs w:val="20"/>
              </w:rPr>
              <w:t xml:space="preserve">Extraction + retrieval services</w:t>
            </w:r>
          </w:p>
        </w:tc>
      </w:tr>
      <w:tr>
        <w:trPr>
          <w:tblHeader w:val="false"/>
        </w:trPr>
        <w:tc>
          <w:tcPr>
            <w:tcW w:type="dxa" w:w="1620"/>
            <w:shd w:fill="F8F8F8" w:color="auto" w:val="clear"/>
          </w:tcPr>
          <w:p>
            <w:r>
              <w:rPr>
                <w:b w:val="false"/>
                <w:bCs w:val="false"/>
                <w:color w:val="222222"/>
                <w:sz w:val="20"/>
                <w:szCs w:val="20"/>
              </w:rPr>
              <w:t xml:space="preserve">Orchestration</w:t>
            </w:r>
          </w:p>
        </w:tc>
        <w:tc>
          <w:tcPr>
            <w:tcW w:type="dxa" w:w="2520"/>
            <w:shd w:fill="F8F8F8" w:color="auto" w:val="clear"/>
          </w:tcPr>
          <w:p>
            <w:r>
              <w:rPr>
                <w:b w:val="false"/>
                <w:bCs w:val="false"/>
                <w:color w:val="222222"/>
                <w:sz w:val="20"/>
                <w:szCs w:val="20"/>
              </w:rPr>
              <w:t xml:space="preserve">Inngest or Trigger.dev</w:t>
            </w:r>
          </w:p>
        </w:tc>
        <w:tc>
          <w:tcPr>
            <w:tcW w:type="dxa" w:w="1800"/>
            <w:shd w:fill="F8F8F8" w:color="auto" w:val="clear"/>
          </w:tcPr>
          <w:p>
            <w:r>
              <w:rPr>
                <w:b w:val="false"/>
                <w:bCs w:val="false"/>
                <w:color w:val="222222"/>
                <w:sz w:val="20"/>
                <w:szCs w:val="20"/>
              </w:rPr>
              <w:t xml:space="preserve">Apache 2.0</w:t>
            </w:r>
          </w:p>
        </w:tc>
        <w:tc>
          <w:tcPr>
            <w:tcW w:type="dxa" w:w="3420"/>
            <w:shd w:fill="F8F8F8" w:color="auto" w:val="clear"/>
          </w:tcPr>
          <w:p>
            <w:r>
              <w:rPr>
                <w:b w:val="false"/>
                <w:bCs w:val="false"/>
                <w:color w:val="222222"/>
                <w:sz w:val="20"/>
                <w:szCs w:val="20"/>
              </w:rPr>
              <w:t xml:space="preserve">Background extraction jobs</w:t>
            </w:r>
          </w:p>
        </w:tc>
      </w:tr>
      <w:tr>
        <w:trPr>
          <w:tblHeader w:val="false"/>
        </w:trPr>
        <w:tc>
          <w:tcPr>
            <w:tcW w:type="dxa" w:w="1620"/>
            <w:shd w:fill="FFFFFF" w:color="auto" w:val="clear"/>
          </w:tcPr>
          <w:p>
            <w:r>
              <w:rPr>
                <w:b w:val="false"/>
                <w:bCs w:val="false"/>
                <w:color w:val="222222"/>
                <w:sz w:val="20"/>
                <w:szCs w:val="20"/>
              </w:rPr>
              <w:t xml:space="preserve">Observability</w:t>
            </w:r>
          </w:p>
        </w:tc>
        <w:tc>
          <w:tcPr>
            <w:tcW w:type="dxa" w:w="2520"/>
            <w:shd w:fill="FFFFFF" w:color="auto" w:val="clear"/>
          </w:tcPr>
          <w:p>
            <w:r>
              <w:rPr>
                <w:b w:val="false"/>
                <w:bCs w:val="false"/>
                <w:color w:val="222222"/>
                <w:sz w:val="20"/>
                <w:szCs w:val="20"/>
              </w:rPr>
              <w:t xml:space="preserve">OpenTelemetry + Logfire (Pydantic)</w:t>
            </w:r>
          </w:p>
        </w:tc>
        <w:tc>
          <w:tcPr>
            <w:tcW w:type="dxa" w:w="1800"/>
            <w:shd w:fill="FFFFFF" w:color="auto" w:val="clear"/>
          </w:tcPr>
          <w:p>
            <w:r>
              <w:rPr>
                <w:b w:val="false"/>
                <w:bCs w:val="false"/>
                <w:color w:val="222222"/>
                <w:sz w:val="20"/>
                <w:szCs w:val="20"/>
              </w:rPr>
              <w:t xml:space="preserve">Apache 2.0, MIT</w:t>
            </w:r>
          </w:p>
        </w:tc>
        <w:tc>
          <w:tcPr>
            <w:tcW w:type="dxa" w:w="3420"/>
            <w:shd w:fill="FFFFFF" w:color="auto" w:val="clear"/>
          </w:tcPr>
          <w:p>
            <w:r>
              <w:rPr>
                <w:b w:val="false"/>
                <w:bCs w:val="false"/>
                <w:color w:val="222222"/>
                <w:sz w:val="20"/>
                <w:szCs w:val="20"/>
              </w:rPr>
              <w:t xml:space="preserve">Tracing across TS + Python</w:t>
            </w:r>
          </w:p>
        </w:tc>
      </w:tr>
    </w:tbl>
    <w:p>
      <w:pPr>
        <w:pStyle w:val="Heading2"/>
      </w:pPr>
      <w:r>
        <w:t xml:space="preserve">6.2 Why these and not the alternatives</w:t>
      </w:r>
    </w:p>
    <w:p>
      <w:pPr>
        <w:pStyle w:val="Heading3"/>
      </w:pPr>
      <w:r>
        <w:t xml:space="preserve">PaperQA2 (vs writing retrieval from scratch)</w:t>
      </w:r>
    </w:p>
    <w:p>
      <w:r>
        <w:t xml:space="preserve">PaperQA2 by FutureHouse is the open-source reference implementation of provenance-preserving retrieval-augmented generation for scientific literature. It does per-chunk citation, multi-step search, and answer verification with source attribution out of the box. Critically: it is Apache 2.0, well-tested on PubMed corpora, and its architecture matches our per-claim provenance requirement. We do not adopt it wholesale — we adopt the retrieval and citation patterns (estimated 30–40% code reuse) and replace the synthesis layer with something tuned for contradiction surfacing rather than confident answer generation. The alternative — write all of this in-house — costs an estimated 4–6 weeks of engineering and arrives at the same place.</w:t>
      </w:r>
    </w:p>
    <w:p>
      <w:pPr>
        <w:pStyle w:val="Heading3"/>
      </w:pPr>
      <w:r>
        <w:t xml:space="preserve">MedCPT (vs OpenAI embeddings, vs BGE)</w:t>
      </w:r>
    </w:p>
    <w:p>
      <w:r>
        <w:t xml:space="preserve">MedCPT is NCBI's biomedical embedding model trained on PubMed query–article click logs. It is the only open biomedical embedding model trained on real biomedical retrieval behavior. Independent benchmarks (BIOSSES, BioASQ) show it outperforming general-purpose embeddings on biomedical retrieval by 8–15 percentage points. It is public domain (NCBI), runs locally, and has a stable v1 release. The fallback BGE + PubMedBERT pairing handles edge cases where MedCPT underperforms on very recent literature.</w:t>
      </w:r>
    </w:p>
    <w:p>
      <w:pPr>
        <w:pStyle w:val="Heading3"/>
      </w:pPr>
      <w:r>
        <w:t xml:space="preserve">OntoGPT (vs prompt-engineered extraction)</w:t>
      </w:r>
    </w:p>
    <w:p>
      <w:r>
        <w:t xml:space="preserve">OntoGPT from the Monarch Initiative grounds LLM-based extraction in formal biomedical ontologies (MONDO for diseases, HPO for phenotypes, etc.). The output is ontology-grounded — every extracted entity is mapped to a canonical ontology term, not free text. This is what makes Whel's substrate compoundable across conditions: a 'depression' extracted from a PMDD paper and a 'major depressive disorder' extracted from a different paper get unified into a single MONDO entity with multiple synonyms, not two unrelated strings.</w:t>
      </w:r>
    </w:p>
    <w:p>
      <w:pPr>
        <w:pStyle w:val="Heading3"/>
      </w:pPr>
      <w:r>
        <w:t xml:space="preserve">MedScore (vs FActScore)</w:t>
      </w:r>
    </w:p>
    <w:p>
      <w:r>
        <w:t xml:space="preserve">MedScore (May 2025) decomposes biomedical claims into atomic, individually verifiable units at approximately 3x the rate of FActScore on the same input. The decomposition itself is what makes downstream verification tractable: a sentence claiming three things is verified against three different source spans, not aggregated into a single fuzzy match. Apache 2.0, runs locally, batch-mode-friendly.</w:t>
      </w:r>
    </w:p>
    <w:p>
      <w:pPr>
        <w:pStyle w:val="Heading3"/>
      </w:pPr>
      <w:r>
        <w:t xml:space="preserve">Plain Postgres (vs Neo4j, vs Apache AGE)</w:t>
      </w:r>
    </w:p>
    <w:p>
      <w:r>
        <w:t xml:space="preserve">Neo4j Community Edition is GPLv3, which would force us to open-source the substrate; Neo4j Enterprise is commercial. The original plan resolved this with Apache AGE (an in-Postgres OpenCypher extension), but AGE cannot run on managed Supabase — it is a non-trusted C extension outside Supabase’s supported set. Rather than move the graph layer to a second host (Azure Flexible Server or self-hosted Postgres+AGE), which reintroduces the two-database burden AGE was meant to avoid, v1 uses no graph engine at all. At our scale (~10K claims at month 12, ~50K by end of Year 2), a relations table with recursive CTEs in plain Postgres serves every traversal we need. OpenCypher syntax is the only thing a graph engine buys us today, and it is not worth a hosting incompatibility or a maturity risk. We add a graph engine when a query pattern demands it — revisit at 1M+ edges.</w:t>
      </w:r>
    </w:p>
    <w:p>
      <w:pPr>
        <w:pStyle w:val="Heading3"/>
      </w:pPr>
      <w:r>
        <w:t xml:space="preserve">Anthropic Citations API (vs in-house chunk-citation)</w:t>
      </w:r>
    </w:p>
    <w:p>
      <w:r>
        <w:t xml:space="preserve">The Citations API guarantees per-claim citation in generated text — every sentence in the output is tied to a specific source chunk in the input. This is the architectural property that satisfies §3060 clinical decision support exemption condition 4. Implementing this in-house is possible but error-prone (citation drift is a known failure mode of naive RAG implementations). The synthesis layer is architected to be Citations-API-agnostic so the implementation can move in-house if API economics shift.</w:t>
      </w:r>
    </w:p>
    <w:p>
      <w:pPr>
        <w:pStyle w:val="Heading3"/>
      </w:pPr>
      <w:r>
        <w:t xml:space="preserve">HHEM-2.1 (vs no guardrail)</w:t>
      </w:r>
    </w:p>
    <w:p>
      <w:r>
        <w:t xml:space="preserve">Vectara's HHEM-2.1 is the open-source SOTA hallucination evaluation model (Apache 2.0). Used here as a second-stage filter on synthesis output: every generated sentence is checked against the source span it claims to summarize, and sentences that fail HHEM are flagged for human review or auto-removed. This is not redundant with Citations API — Citations API ensures a citation exists, HHEM verifies the cited content actually supports the claim.</w:t>
      </w:r>
    </w:p>
    <w:p>
      <w:pPr>
        <w:pStyle w:val="Heading3"/>
      </w:pPr>
      <w:r>
        <w:t xml:space="preserve">MedHELM and MedRAGChecker (vs eval-as-we-go)</w:t>
      </w:r>
    </w:p>
    <w:p>
      <w:r>
        <w:t xml:space="preserve">MedHELM (Nature Medicine, May 2025) is the most credible holistic evaluation benchmark for biomedical AI systems. MedRAGChecker (2026) is SOTA for biomedical retrieval-augmented generation specifically. Running both on every meaningful change is the eval discipline that lets us claim 'we measured this' instead of 'we vibed this.' The eval suite ships in Phase 1 Week 8 and gates every subsequent change.</w:t>
      </w:r>
    </w:p>
    <w:p>
      <w:pPr>
        <w:pStyle w:val="Heading2"/>
      </w:pPr>
      <w:r>
        <w:t xml:space="preserve">6.3 What we are explicitly not using and why</w:t>
      </w:r>
    </w:p>
    <w:p>
      <w:pPr>
        <w:pStyle w:val="ListParagraph"/>
        <w:numPr>
          <w:ilvl w:val="0"/>
          <w:numId w:val="2"/>
        </w:numPr>
      </w:pPr>
      <w:r>
        <w:t xml:space="preserve">Neo4j Community — GPLv3 forces open-sourcing the substrate. Neo4j Enterprise is commercial. Apache AGE — unhostable on managed Supabase (non-trusted C extension). v1 uses plain Postgres + recursive CTEs and adds a graph engine only when scale demands it (§5.6).</w:t>
      </w:r>
    </w:p>
    <w:p>
      <w:pPr>
        <w:pStyle w:val="ListParagraph"/>
        <w:numPr>
          <w:ilvl w:val="0"/>
          <w:numId w:val="2"/>
        </w:numPr>
      </w:pPr>
      <w:r>
        <w:t xml:space="preserve">LangChain — over-abstracted for our patterns, dependency churn, observability holes. PaperQA2 + custom synthesis layer is cleaner.</w:t>
      </w:r>
    </w:p>
    <w:p>
      <w:pPr>
        <w:pStyle w:val="ListParagraph"/>
        <w:numPr>
          <w:ilvl w:val="0"/>
          <w:numId w:val="2"/>
        </w:numPr>
      </w:pPr>
      <w:r>
        <w:t xml:space="preserve">LlamaIndex — same reasoning as LangChain. We need primitives, not a framework.</w:t>
      </w:r>
    </w:p>
    <w:p>
      <w:pPr>
        <w:pStyle w:val="ListParagraph"/>
        <w:numPr>
          <w:ilvl w:val="0"/>
          <w:numId w:val="2"/>
        </w:numPr>
      </w:pPr>
      <w:r>
        <w:t xml:space="preserve">Pinecone / Weaviate as primary vector store — Postgres with pgvector handles our scale (low millions of chunks) without adding a second database. Revisit at 100M+ chunks.</w:t>
      </w:r>
    </w:p>
    <w:p>
      <w:pPr>
        <w:pStyle w:val="ListParagraph"/>
        <w:numPr>
          <w:ilvl w:val="0"/>
          <w:numId w:val="2"/>
        </w:numPr>
      </w:pPr>
      <w:r>
        <w:t xml:space="preserve">OpenAI embeddings as default — fine as a fallback, but MedCPT outperforms on biomedical retrieval and the per-call cost adds up.</w:t>
      </w:r>
    </w:p>
    <w:p>
      <w:pPr>
        <w:pStyle w:val="ListParagraph"/>
        <w:numPr>
          <w:ilvl w:val="0"/>
          <w:numId w:val="2"/>
        </w:numPr>
      </w:pPr>
      <w:r>
        <w:t xml:space="preserve">Crew AI / Autogen for orchestration — agent frameworks add a layer of indirection we do not need; explicit pipelines are easier to debug.</w:t>
      </w:r>
    </w:p>
    <w:p>
      <w:pPr>
        <w:pStyle w:val="ListParagraph"/>
        <w:numPr>
          <w:ilvl w:val="0"/>
          <w:numId w:val="2"/>
        </w:numPr>
      </w:pPr>
      <w:r>
        <w:t xml:space="preserve">Generic medical LLMs (Med-PaLM, MEDITRON) as backbone — backbone is whatever Claude API serves; the moat is the substrate, not the model.</w:t>
      </w:r>
    </w:p>
    <w:p>
      <w:pPr>
        <w:pStyle w:val="Heading2"/>
      </w:pPr>
      <w:r>
        <w:t xml:space="preserve">6.4 Cost envelope at v1 scale</w:t>
      </w:r>
    </w:p>
    <w:p>
      <w:r>
        <w:t xml:space="preserve">Assumption: v1 corpus is approximately 50,000 PubMed abstracts and 5,000 full-text papers across six conditions, processed once into the substrate plus incremental weekly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rPr>
          <w:tblHeader/>
        </w:trPr>
        <w:tc>
          <w:tcPr>
            <w:tcW w:type="dxa" w:w="3360"/>
            <w:shd w:fill="7A1F3D" w:color="auto" w:val="clear"/>
          </w:tcPr>
          <w:p>
            <w:r>
              <w:rPr>
                <w:b/>
                <w:bCs/>
                <w:color w:val="FFFFFF"/>
                <w:sz w:val="20"/>
                <w:szCs w:val="20"/>
              </w:rPr>
              <w:t xml:space="preserve">Item</w:t>
            </w:r>
          </w:p>
        </w:tc>
        <w:tc>
          <w:tcPr>
            <w:tcW w:type="dxa" w:w="1800"/>
            <w:shd w:fill="7A1F3D" w:color="auto" w:val="clear"/>
          </w:tcPr>
          <w:p>
            <w:r>
              <w:rPr>
                <w:b/>
                <w:bCs/>
                <w:color w:val="FFFFFF"/>
                <w:sz w:val="20"/>
                <w:szCs w:val="20"/>
              </w:rPr>
              <w:t xml:space="preserve">Cost (monthly)</w:t>
            </w:r>
          </w:p>
        </w:tc>
        <w:tc>
          <w:tcPr>
            <w:tcW w:type="dxa" w:w="4200"/>
            <w:shd w:fill="7A1F3D" w:color="auto" w:val="clear"/>
          </w:tcPr>
          <w:p>
            <w:r>
              <w:rPr>
                <w:b/>
                <w:bCs/>
                <w:color w:val="FFFFFF"/>
                <w:sz w:val="20"/>
                <w:szCs w:val="20"/>
              </w:rPr>
              <w:t xml:space="preserve">Notes</w:t>
            </w:r>
          </w:p>
        </w:tc>
      </w:tr>
      <w:tr>
        <w:trPr>
          <w:tblHeader w:val="false"/>
        </w:trPr>
        <w:tc>
          <w:tcPr>
            <w:tcW w:type="dxa" w:w="3360"/>
            <w:shd w:fill="F8F8F8" w:color="auto" w:val="clear"/>
          </w:tcPr>
          <w:p>
            <w:r>
              <w:rPr>
                <w:b w:val="false"/>
                <w:bCs w:val="false"/>
                <w:color w:val="222222"/>
                <w:sz w:val="20"/>
                <w:szCs w:val="20"/>
              </w:rPr>
              <w:t xml:space="preserve">Supabase Pro</w:t>
            </w:r>
          </w:p>
        </w:tc>
        <w:tc>
          <w:tcPr>
            <w:tcW w:type="dxa" w:w="1800"/>
            <w:shd w:fill="F8F8F8" w:color="auto" w:val="clear"/>
          </w:tcPr>
          <w:p>
            <w:r>
              <w:rPr>
                <w:b w:val="false"/>
                <w:bCs w:val="false"/>
                <w:color w:val="222222"/>
                <w:sz w:val="20"/>
                <w:szCs w:val="20"/>
              </w:rPr>
              <w:t xml:space="preserve">$25</w:t>
            </w:r>
          </w:p>
        </w:tc>
        <w:tc>
          <w:tcPr>
            <w:tcW w:type="dxa" w:w="4200"/>
            <w:shd w:fill="F8F8F8" w:color="auto" w:val="clear"/>
          </w:tcPr>
          <w:p>
            <w:r>
              <w:rPr>
                <w:b w:val="false"/>
                <w:bCs w:val="false"/>
                <w:color w:val="222222"/>
                <w:sz w:val="20"/>
                <w:szCs w:val="20"/>
              </w:rPr>
              <w:t xml:space="preserve">Postgres + auth + storage; sufficient through v1 traffic</w:t>
            </w:r>
          </w:p>
        </w:tc>
      </w:tr>
      <w:tr>
        <w:trPr>
          <w:tblHeader w:val="false"/>
        </w:trPr>
        <w:tc>
          <w:tcPr>
            <w:tcW w:type="dxa" w:w="3360"/>
            <w:shd w:fill="FFFFFF" w:color="auto" w:val="clear"/>
          </w:tcPr>
          <w:p>
            <w:r>
              <w:rPr>
                <w:b w:val="false"/>
                <w:bCs w:val="false"/>
                <w:color w:val="222222"/>
                <w:sz w:val="20"/>
                <w:szCs w:val="20"/>
              </w:rPr>
              <w:t xml:space="preserve">Vercel (Next.js hosting)</w:t>
            </w:r>
          </w:p>
        </w:tc>
        <w:tc>
          <w:tcPr>
            <w:tcW w:type="dxa" w:w="1800"/>
            <w:shd w:fill="FFFFFF" w:color="auto" w:val="clear"/>
          </w:tcPr>
          <w:p>
            <w:r>
              <w:rPr>
                <w:b w:val="false"/>
                <w:bCs w:val="false"/>
                <w:color w:val="222222"/>
                <w:sz w:val="20"/>
                <w:szCs w:val="20"/>
              </w:rPr>
              <w:t xml:space="preserve">$20</w:t>
            </w:r>
          </w:p>
        </w:tc>
        <w:tc>
          <w:tcPr>
            <w:tcW w:type="dxa" w:w="4200"/>
            <w:shd w:fill="FFFFFF" w:color="auto" w:val="clear"/>
          </w:tcPr>
          <w:p>
            <w:r>
              <w:rPr>
                <w:b w:val="false"/>
                <w:bCs w:val="false"/>
                <w:color w:val="222222"/>
                <w:sz w:val="20"/>
                <w:szCs w:val="20"/>
              </w:rPr>
              <w:t xml:space="preserve">Pro tier ($20). NOTE: Vercel’s Hobby tier prohibits commercial use, so a company site must be on Pro.</w:t>
            </w:r>
          </w:p>
        </w:tc>
      </w:tr>
      <w:tr>
        <w:trPr>
          <w:tblHeader w:val="false"/>
        </w:trPr>
        <w:tc>
          <w:tcPr>
            <w:tcW w:type="dxa" w:w="3360"/>
            <w:shd w:fill="F8F8F8" w:color="auto" w:val="clear"/>
          </w:tcPr>
          <w:p>
            <w:r>
              <w:rPr>
                <w:b w:val="false"/>
                <w:bCs w:val="false"/>
                <w:color w:val="222222"/>
                <w:sz w:val="20"/>
                <w:szCs w:val="20"/>
              </w:rPr>
              <w:t xml:space="preserve">Anthropic API (Claude + Citations)</w:t>
            </w:r>
          </w:p>
        </w:tc>
        <w:tc>
          <w:tcPr>
            <w:tcW w:type="dxa" w:w="1800"/>
            <w:shd w:fill="F8F8F8" w:color="auto" w:val="clear"/>
          </w:tcPr>
          <w:p>
            <w:r>
              <w:rPr>
                <w:b w:val="false"/>
                <w:bCs w:val="false"/>
                <w:color w:val="222222"/>
                <w:sz w:val="20"/>
                <w:szCs w:val="20"/>
              </w:rPr>
              <w:t xml:space="preserve">$200–$800</w:t>
            </w:r>
          </w:p>
        </w:tc>
        <w:tc>
          <w:tcPr>
            <w:tcW w:type="dxa" w:w="4200"/>
            <w:shd w:fill="F8F8F8" w:color="auto" w:val="clear"/>
          </w:tcPr>
          <w:p>
            <w:r>
              <w:rPr>
                <w:b w:val="false"/>
                <w:bCs w:val="false"/>
                <w:color w:val="222222"/>
                <w:sz w:val="20"/>
                <w:szCs w:val="20"/>
              </w:rPr>
              <w:t xml:space="preserve">~$500/month is STEADY-STATE only (incremental weekly updates). The one-time initial backfill (50K abstracts + 5K full-text papers × chunking + MedScore + OntoGPT + triage + synthesis, ~20–50 model calls per full-text paper) is a separate ~$3K–$10K event, and re-runs on prompt tuning repeat a fraction of it. Budget this as an explicit one-time line, not inside the monthly figure.</w:t>
            </w:r>
          </w:p>
        </w:tc>
      </w:tr>
      <w:tr>
        <w:trPr>
          <w:tblHeader w:val="false"/>
        </w:trPr>
        <w:tc>
          <w:tcPr>
            <w:tcW w:type="dxa" w:w="3360"/>
            <w:shd w:fill="FFFFFF" w:color="auto" w:val="clear"/>
          </w:tcPr>
          <w:p>
            <w:r>
              <w:rPr>
                <w:b w:val="false"/>
                <w:bCs w:val="false"/>
                <w:color w:val="222222"/>
                <w:sz w:val="20"/>
                <w:szCs w:val="20"/>
              </w:rPr>
              <w:t xml:space="preserve">Python services (Fly.io / Railway)</w:t>
            </w:r>
          </w:p>
        </w:tc>
        <w:tc>
          <w:tcPr>
            <w:tcW w:type="dxa" w:w="1800"/>
            <w:shd w:fill="FFFFFF" w:color="auto" w:val="clear"/>
          </w:tcPr>
          <w:p>
            <w:r>
              <w:rPr>
                <w:b w:val="false"/>
                <w:bCs w:val="false"/>
                <w:color w:val="222222"/>
                <w:sz w:val="20"/>
                <w:szCs w:val="20"/>
              </w:rPr>
              <w:t xml:space="preserve">$50–$100</w:t>
            </w:r>
          </w:p>
        </w:tc>
        <w:tc>
          <w:tcPr>
            <w:tcW w:type="dxa" w:w="4200"/>
            <w:shd w:fill="FFFFFF" w:color="auto" w:val="clear"/>
          </w:tcPr>
          <w:p>
            <w:r>
              <w:rPr>
                <w:b w:val="false"/>
                <w:bCs w:val="false"/>
                <w:color w:val="222222"/>
                <w:sz w:val="20"/>
                <w:szCs w:val="20"/>
              </w:rPr>
              <w:t xml:space="preserve">FastAPI for extraction + retrieval</w:t>
            </w:r>
          </w:p>
        </w:tc>
      </w:tr>
      <w:tr>
        <w:trPr>
          <w:tblHeader w:val="false"/>
        </w:trPr>
        <w:tc>
          <w:tcPr>
            <w:tcW w:type="dxa" w:w="3360"/>
            <w:shd w:fill="F8F8F8" w:color="auto" w:val="clear"/>
          </w:tcPr>
          <w:p>
            <w:r>
              <w:rPr>
                <w:b w:val="false"/>
                <w:bCs w:val="false"/>
                <w:color w:val="222222"/>
                <w:sz w:val="20"/>
                <w:szCs w:val="20"/>
              </w:rPr>
              <w:t xml:space="preserve">OpenTelemetry vendor (Honeycomb free / Logfire)</w:t>
            </w:r>
          </w:p>
        </w:tc>
        <w:tc>
          <w:tcPr>
            <w:tcW w:type="dxa" w:w="1800"/>
            <w:shd w:fill="F8F8F8" w:color="auto" w:val="clear"/>
          </w:tcPr>
          <w:p>
            <w:r>
              <w:rPr>
                <w:b w:val="false"/>
                <w:bCs w:val="false"/>
                <w:color w:val="222222"/>
                <w:sz w:val="20"/>
                <w:szCs w:val="20"/>
              </w:rPr>
              <w:t xml:space="preserve">$0–$50</w:t>
            </w:r>
          </w:p>
        </w:tc>
        <w:tc>
          <w:tcPr>
            <w:tcW w:type="dxa" w:w="4200"/>
            <w:shd w:fill="F8F8F8" w:color="auto" w:val="clear"/>
          </w:tcPr>
          <w:p>
            <w:r>
              <w:rPr>
                <w:b w:val="false"/>
                <w:bCs w:val="false"/>
                <w:color w:val="222222"/>
                <w:sz w:val="20"/>
                <w:szCs w:val="20"/>
              </w:rPr>
              <w:t xml:space="preserve">Tracing</w:t>
            </w:r>
          </w:p>
        </w:tc>
      </w:tr>
      <w:tr>
        <w:trPr>
          <w:tblHeader w:val="false"/>
        </w:trPr>
        <w:tc>
          <w:tcPr>
            <w:tcW w:type="dxa" w:w="3360"/>
            <w:shd w:fill="FFFFFF" w:color="auto" w:val="clear"/>
          </w:tcPr>
          <w:p>
            <w:r>
              <w:rPr>
                <w:b w:val="false"/>
                <w:bCs w:val="false"/>
                <w:color w:val="222222"/>
                <w:sz w:val="20"/>
                <w:szCs w:val="20"/>
              </w:rPr>
              <w:t xml:space="preserve">Embedding model hosting (MedCPT on GPU)</w:t>
            </w:r>
          </w:p>
        </w:tc>
        <w:tc>
          <w:tcPr>
            <w:tcW w:type="dxa" w:w="1800"/>
            <w:shd w:fill="FFFFFF" w:color="auto" w:val="clear"/>
          </w:tcPr>
          <w:p>
            <w:r>
              <w:rPr>
                <w:b w:val="false"/>
                <w:bCs w:val="false"/>
                <w:color w:val="222222"/>
                <w:sz w:val="20"/>
                <w:szCs w:val="20"/>
              </w:rPr>
              <w:t xml:space="preserve">$0</w:t>
            </w:r>
          </w:p>
        </w:tc>
        <w:tc>
          <w:tcPr>
            <w:tcW w:type="dxa" w:w="4200"/>
            <w:shd w:fill="FFFFFF" w:color="auto" w:val="clear"/>
          </w:tcPr>
          <w:p>
            <w:r>
              <w:rPr>
                <w:b w:val="false"/>
                <w:bCs w:val="false"/>
                <w:color w:val="222222"/>
                <w:sz w:val="20"/>
                <w:szCs w:val="20"/>
              </w:rPr>
              <w:t xml:space="preserve">Runs CPU on Python service for v1 scale</w:t>
            </w:r>
          </w:p>
        </w:tc>
      </w:tr>
      <w:tr>
        <w:trPr>
          <w:tblHeader w:val="false"/>
        </w:trPr>
        <w:tc>
          <w:tcPr>
            <w:tcW w:type="dxa" w:w="3360"/>
            <w:shd w:fill="F8F8F8" w:color="auto" w:val="clear"/>
          </w:tcPr>
          <w:p>
            <w:r>
              <w:rPr>
                <w:b w:val="false"/>
                <w:bCs w:val="false"/>
                <w:color w:val="222222"/>
                <w:sz w:val="20"/>
                <w:szCs w:val="20"/>
              </w:rPr>
              <w:t xml:space="preserve">Domain + email</w:t>
            </w:r>
          </w:p>
        </w:tc>
        <w:tc>
          <w:tcPr>
            <w:tcW w:type="dxa" w:w="1800"/>
            <w:shd w:fill="F8F8F8" w:color="auto" w:val="clear"/>
          </w:tcPr>
          <w:p>
            <w:r>
              <w:rPr>
                <w:b w:val="false"/>
                <w:bCs w:val="false"/>
                <w:color w:val="222222"/>
                <w:sz w:val="20"/>
                <w:szCs w:val="20"/>
              </w:rPr>
              <w:t xml:space="preserve">$20</w:t>
            </w:r>
          </w:p>
        </w:tc>
        <w:tc>
          <w:tcPr>
            <w:tcW w:type="dxa" w:w="4200"/>
            <w:shd w:fill="F8F8F8" w:color="auto" w:val="clear"/>
          </w:tcPr>
          <w:p>
            <w:r>
              <w:rPr>
                <w:b w:val="false"/>
                <w:bCs w:val="false"/>
                <w:color w:val="222222"/>
                <w:sz w:val="20"/>
                <w:szCs w:val="20"/>
              </w:rPr>
              <w:t xml:space="preserve">Existing</w:t>
            </w:r>
          </w:p>
        </w:tc>
      </w:tr>
      <w:tr>
        <w:trPr>
          <w:tblHeader w:val="false"/>
        </w:trPr>
        <w:tc>
          <w:tcPr>
            <w:tcW w:type="dxa" w:w="3360"/>
            <w:shd w:fill="FFFFFF" w:color="auto" w:val="clear"/>
          </w:tcPr>
          <w:p>
            <w:r>
              <w:rPr>
                <w:b w:val="false"/>
                <w:bCs w:val="false"/>
                <w:color w:val="222222"/>
                <w:sz w:val="20"/>
                <w:szCs w:val="20"/>
              </w:rPr>
              <w:t xml:space="preserve">Stripe Atlas DE franchise tax (amortized)</w:t>
            </w:r>
          </w:p>
        </w:tc>
        <w:tc>
          <w:tcPr>
            <w:tcW w:type="dxa" w:w="1800"/>
            <w:shd w:fill="FFFFFF" w:color="auto" w:val="clear"/>
          </w:tcPr>
          <w:p>
            <w:r>
              <w:rPr>
                <w:b w:val="false"/>
                <w:bCs w:val="false"/>
                <w:color w:val="222222"/>
                <w:sz w:val="20"/>
                <w:szCs w:val="20"/>
              </w:rPr>
              <w:t xml:space="preserve">$45</w:t>
            </w:r>
          </w:p>
        </w:tc>
        <w:tc>
          <w:tcPr>
            <w:tcW w:type="dxa" w:w="4200"/>
            <w:shd w:fill="FFFFFF" w:color="auto" w:val="clear"/>
          </w:tcPr>
          <w:p>
            <w:r>
              <w:rPr>
                <w:b w:val="false"/>
                <w:bCs w:val="false"/>
                <w:color w:val="222222"/>
                <w:sz w:val="20"/>
                <w:szCs w:val="20"/>
              </w:rPr>
              <w:t xml:space="preserve">$540/yr</w:t>
            </w:r>
          </w:p>
        </w:tc>
      </w:tr>
      <w:tr>
        <w:trPr>
          <w:tblHeader w:val="false"/>
        </w:trPr>
        <w:tc>
          <w:tcPr>
            <w:tcW w:type="dxa" w:w="3360"/>
            <w:shd w:fill="F8F8F8" w:color="auto" w:val="clear"/>
          </w:tcPr>
          <w:p>
            <w:r>
              <w:rPr>
                <w:b w:val="false"/>
                <w:bCs w:val="false"/>
                <w:color w:val="222222"/>
                <w:sz w:val="20"/>
                <w:szCs w:val="20"/>
              </w:rPr>
              <w:t xml:space="preserve">Total monthly burn (v1)</w:t>
            </w:r>
          </w:p>
        </w:tc>
        <w:tc>
          <w:tcPr>
            <w:tcW w:type="dxa" w:w="1800"/>
            <w:shd w:fill="F8F8F8" w:color="auto" w:val="clear"/>
          </w:tcPr>
          <w:p>
            <w:r>
              <w:rPr>
                <w:b w:val="false"/>
                <w:bCs w:val="false"/>
                <w:color w:val="222222"/>
                <w:sz w:val="20"/>
                <w:szCs w:val="20"/>
              </w:rPr>
              <w:t xml:space="preserve">~$400–$1,200</w:t>
            </w:r>
          </w:p>
        </w:tc>
        <w:tc>
          <w:tcPr>
            <w:tcW w:type="dxa" w:w="4200"/>
            <w:shd w:fill="F8F8F8" w:color="auto" w:val="clear"/>
          </w:tcPr>
          <w:p>
            <w:r>
              <w:rPr>
                <w:b w:val="false"/>
                <w:bCs w:val="false"/>
                <w:color w:val="222222"/>
                <w:sz w:val="20"/>
                <w:szCs w:val="20"/>
              </w:rPr>
              <w:t xml:space="preserve">Substrate $0 at this scale; compute is the line item</w:t>
            </w:r>
          </w:p>
        </w:tc>
      </w:tr>
    </w:tbl>
    <w:p>
      <w:pPr>
        <w:pStyle w:val="Heading2"/>
      </w:pPr>
      <w:r>
        <w:t xml:space="preserve">6.5 Versioning and reproducibility</w:t>
      </w:r>
    </w:p>
    <w:p>
      <w:pPr>
        <w:pStyle w:val="ListParagraph"/>
        <w:numPr>
          <w:ilvl w:val="0"/>
          <w:numId w:val="2"/>
        </w:numPr>
      </w:pPr>
      <w:r>
        <w:t xml:space="preserve">Every model output is tagged with model_name, model_version, prompt_hash, and timestamp. Stored in claims and syntheses rows.</w:t>
      </w:r>
    </w:p>
    <w:p>
      <w:pPr>
        <w:pStyle w:val="ListParagraph"/>
        <w:numPr>
          <w:ilvl w:val="0"/>
          <w:numId w:val="2"/>
        </w:numPr>
      </w:pPr>
      <w:r>
        <w:t xml:space="preserve">Source documents are versioned by content hash. Re-extracting from the same source produces deterministic claim IDs.</w:t>
      </w:r>
    </w:p>
    <w:p>
      <w:pPr>
        <w:pStyle w:val="ListParagraph"/>
        <w:numPr>
          <w:ilvl w:val="0"/>
          <w:numId w:val="2"/>
        </w:numPr>
      </w:pPr>
      <w:r>
        <w:t xml:space="preserve">Substrate snapshots are taken weekly and stored in Supabase backup. Restore-to-point-in-time available.</w:t>
      </w:r>
    </w:p>
    <w:p>
      <w:pPr>
        <w:pStyle w:val="ListParagraph"/>
        <w:numPr>
          <w:ilvl w:val="0"/>
          <w:numId w:val="2"/>
        </w:numPr>
      </w:pPr>
      <w:r>
        <w:t xml:space="preserve">Eval suite results are stored against substrate snapshot version. Any quality regression can be traced to the exact substrate state.</w:t>
      </w:r>
    </w:p>
    <w:p>
      <w:pPr>
        <w:pStyle w:val="Heading1"/>
        <w:pageBreakBefore/>
      </w:pPr>
      <w:r>
        <w:t xml:space="preserve">7. Data Strategy</w:t>
      </w:r>
    </w:p>
    <w:p>
      <w:pPr>
        <w:spacing w:after="200"/>
      </w:pPr>
      <w:r>
        <w:rPr>
          <w:i/>
          <w:iCs/>
          <w:color w:val="555555"/>
          <w:sz w:val="22"/>
          <w:szCs w:val="22"/>
        </w:rPr>
        <w:t xml:space="preserve">What data we ingest, in what order, and at what cost. The v1 strategy is deliberately built from public, $0-cost sources — every dollar of paid data is deferred to Phase 2.</w:t>
      </w:r>
    </w:p>
    <w:p>
      <w:pPr>
        <w:pStyle w:val="Heading2"/>
      </w:pPr>
      <w:r>
        <w:t xml:space="preserve">7.1 The three-tier source plan</w:t>
      </w:r>
    </w:p>
    <w:p>
      <w:pPr>
        <w:pStyle w:val="Heading3"/>
      </w:pPr>
      <w:r>
        <w:t xml:space="preserve">Tier 1 — Public, $0, must-have for v1</w:t>
      </w:r>
    </w:p>
    <w:p>
      <w:r>
        <w:t xml:space="preserve">Sources required to demonstrate the substrate works. LICENSING ASTERISK (June 2026): “$0” is not the same as “cleared for commercial use.” Genuinely clean for a commercial C-Corp: PubMed, PubMed Central OA, ClinicalTrials.gov, openFDA/FAERS, EudraVigilance, RxNorm, ChEMBL (CC-BY-SA — workable), Open Targets, PrimeKG, CTKG, MeSH, MONDO, HPO. NOT clean as-is: DrugBank Open Data and SIDER (both CC-BY-NC — non-commercial), Reddit (free tier is non-commercial only), and UMLS (redistribution of some source vocabularies, e.g. SNOMED CT, is restricted — fine for internal grounding, but published substrate snapshots must exclude restricted vocabularies). Action: shift drug ground-truth to a ChEMBL + Drugs@FDA + RxNorm composite, treat a DrugBank startup license as a real (earlier-than-Tier-2) line item if their data is wanted, and gate any commercial use of Reddit on a Reddit data agreement.</w:t>
      </w:r>
    </w:p>
    <w:p>
      <w:pPr>
        <w:pStyle w:val="ListParagraph"/>
        <w:numPr>
          <w:ilvl w:val="0"/>
          <w:numId w:val="2"/>
        </w:numPr>
      </w:pPr>
      <w:r>
        <w:t xml:space="preserve">PubMed (NCBI E-utilities API) — abstracts and metadata for all biomedical literature. Free, rate-limited (10 req/sec with API key).</w:t>
      </w:r>
    </w:p>
    <w:p>
      <w:pPr>
        <w:pStyle w:val="ListParagraph"/>
        <w:numPr>
          <w:ilvl w:val="0"/>
          <w:numId w:val="2"/>
        </w:numPr>
      </w:pPr>
      <w:r>
        <w:t xml:space="preserve">PubMed Central Open Access — full text of approximately 9 million open-access biomedical papers. Free.</w:t>
      </w:r>
    </w:p>
    <w:p>
      <w:pPr>
        <w:pStyle w:val="ListParagraph"/>
        <w:numPr>
          <w:ilvl w:val="0"/>
          <w:numId w:val="2"/>
        </w:numPr>
      </w:pPr>
      <w:r>
        <w:t xml:space="preserve">ClinicalTrials.gov (API v2) — trial registrations, protocols, results. Free.</w:t>
      </w:r>
    </w:p>
    <w:p>
      <w:pPr>
        <w:pStyle w:val="ListParagraph"/>
        <w:numPr>
          <w:ilvl w:val="0"/>
          <w:numId w:val="2"/>
        </w:numPr>
      </w:pPr>
      <w:r>
        <w:t xml:space="preserve">FAERS (FDA Adverse Event Reporting System) — adverse-event reports for marketed drugs. Free via openFDA.</w:t>
      </w:r>
    </w:p>
    <w:p>
      <w:pPr>
        <w:pStyle w:val="ListParagraph"/>
        <w:numPr>
          <w:ilvl w:val="0"/>
          <w:numId w:val="2"/>
        </w:numPr>
      </w:pPr>
      <w:r>
        <w:t xml:space="preserve">EudraVigilance (European adverse events) — complement to FAERS for European reports. Free via EMA.</w:t>
      </w:r>
    </w:p>
    <w:p>
      <w:pPr>
        <w:pStyle w:val="ListParagraph"/>
        <w:numPr>
          <w:ilvl w:val="0"/>
          <w:numId w:val="2"/>
        </w:numPr>
      </w:pPr>
      <w:r>
        <w:t xml:space="preserve">DrugBank Open Data — covers FDA-approved drugs with mechanism, target, interaction data. CC-BY-NC: free for academic/grant-funded use only; a commercial product requires a paid DrugBank license. For v1, prefer a ChEMBL + Drugs@FDA + RxNorm composite for drug ground-truth.</w:t>
      </w:r>
    </w:p>
    <w:p>
      <w:pPr>
        <w:pStyle w:val="ListParagraph"/>
        <w:numPr>
          <w:ilvl w:val="0"/>
          <w:numId w:val="2"/>
        </w:numPr>
      </w:pPr>
      <w:r>
        <w:t xml:space="preserve">Open Targets Platform — target-disease evidence integration. Free, REST + GraphQL API.</w:t>
      </w:r>
    </w:p>
    <w:p>
      <w:pPr>
        <w:pStyle w:val="ListParagraph"/>
        <w:numPr>
          <w:ilvl w:val="0"/>
          <w:numId w:val="2"/>
        </w:numPr>
      </w:pPr>
      <w:r>
        <w:t xml:space="preserve">ChEMBL — bioactivity data for drug-like molecules. Free, EBI-hosted.</w:t>
      </w:r>
    </w:p>
    <w:p>
      <w:pPr>
        <w:pStyle w:val="ListParagraph"/>
        <w:numPr>
          <w:ilvl w:val="0"/>
          <w:numId w:val="2"/>
        </w:numPr>
      </w:pPr>
      <w:r>
        <w:t xml:space="preserve">PrimeKG (Harvard, Zitnik lab) — pre-built biomedical knowledge graph with 4M+ relationships. Free, MIT-licensed. Seeds the entity/relation tables on Day 1.</w:t>
      </w:r>
    </w:p>
    <w:p>
      <w:pPr>
        <w:pStyle w:val="ListParagraph"/>
        <w:numPr>
          <w:ilvl w:val="0"/>
          <w:numId w:val="2"/>
        </w:numPr>
      </w:pPr>
      <w:r>
        <w:t xml:space="preserve">CTKG (Clinical Trials Knowledge Graph) — augments PrimeKG with trial-derived relations. Free, CC-BY.</w:t>
      </w:r>
    </w:p>
    <w:p>
      <w:pPr>
        <w:pStyle w:val="ListParagraph"/>
        <w:numPr>
          <w:ilvl w:val="0"/>
          <w:numId w:val="2"/>
        </w:numPr>
      </w:pPr>
      <w:r>
        <w:t xml:space="preserve">MeSH, UMLS Metathesaurus (UMLS account required, free), MONDO, HPO, GO — concept ontologies for grounding.</w:t>
      </w:r>
    </w:p>
    <w:p>
      <w:pPr>
        <w:pStyle w:val="ListParagraph"/>
        <w:numPr>
          <w:ilvl w:val="0"/>
          <w:numId w:val="2"/>
        </w:numPr>
      </w:pPr>
      <w:r>
        <w:t xml:space="preserve">Reddit (PRAW API) — patient-community signal from r/PMDD, r/endo, r/PCOS. The free API tier is non-commercial only (since the 2023 terms change); commercial use by a company requires a data agreement with Reddit. Treat as hypothesis-generation input, and secure terms before any commercial productization.</w:t>
      </w:r>
    </w:p>
    <w:p>
      <w:pPr>
        <w:pStyle w:val="ListParagraph"/>
        <w:numPr>
          <w:ilvl w:val="0"/>
          <w:numId w:val="2"/>
        </w:numPr>
      </w:pPr>
      <w:r>
        <w:t xml:space="preserve">IAPMD-published surveys (open patient-community summaries) — periodic releases on PMDD prevalence and treatment patterns.</w:t>
      </w:r>
    </w:p>
    <w:p>
      <w:pPr>
        <w:pStyle w:val="Heading3"/>
      </w:pPr>
      <w:r>
        <w:t xml:space="preserve">Tier 2 — Conditional, low-cost, Phase 2</w:t>
      </w:r>
    </w:p>
    <w:p>
      <w:r>
        <w:t xml:space="preserve">Sources we want but can defer until we have user signal that they materially improve the substrate. Each is either modestly paid, partnership-gated, or licensing-gated.</w:t>
      </w:r>
    </w:p>
    <w:p>
      <w:pPr>
        <w:pStyle w:val="ListParagraph"/>
        <w:numPr>
          <w:ilvl w:val="0"/>
          <w:numId w:val="2"/>
        </w:numPr>
      </w:pPr>
      <w:r>
        <w:t xml:space="preserve">Embase (Elsevier) — broader biomedical literature coverage than PubMed alone. Approximately $20K/year institutional license. Defer until grant-funded.</w:t>
      </w:r>
    </w:p>
    <w:p>
      <w:pPr>
        <w:pStyle w:val="ListParagraph"/>
        <w:numPr>
          <w:ilvl w:val="0"/>
          <w:numId w:val="2"/>
        </w:numPr>
      </w:pPr>
      <w:r>
        <w:t xml:space="preserve">Cochrane Library — systematic reviews and meta-analyses. Subscription or partnership. Strategically important for evidence weighting.</w:t>
      </w:r>
    </w:p>
    <w:p>
      <w:pPr>
        <w:pStyle w:val="ListParagraph"/>
        <w:numPr>
          <w:ilvl w:val="0"/>
          <w:numId w:val="2"/>
        </w:numPr>
      </w:pPr>
      <w:r>
        <w:t xml:space="preserve">UpToDate / DynaMed — clinical reference content. Subscription. Useful for validating that surfaced evidence aligns with current clinical reference.</w:t>
      </w:r>
    </w:p>
    <w:p>
      <w:pPr>
        <w:pStyle w:val="ListParagraph"/>
        <w:numPr>
          <w:ilvl w:val="0"/>
          <w:numId w:val="2"/>
        </w:numPr>
      </w:pPr>
      <w:r>
        <w:t xml:space="preserve">Clue / Flo aggregated cohort data — partnership-gated. Acquisition target for Phase 2. Critical for cyclical PK validation.</w:t>
      </w:r>
    </w:p>
    <w:p>
      <w:pPr>
        <w:pStyle w:val="ListParagraph"/>
        <w:numPr>
          <w:ilvl w:val="0"/>
          <w:numId w:val="2"/>
        </w:numPr>
      </w:pPr>
      <w:r>
        <w:t xml:space="preserve">Sanofi, Bayer, Organon women's health pipeline disclosures (where public) — augmented with PR + investor calls.</w:t>
      </w:r>
    </w:p>
    <w:p>
      <w:pPr>
        <w:pStyle w:val="ListParagraph"/>
        <w:numPr>
          <w:ilvl w:val="0"/>
          <w:numId w:val="2"/>
        </w:numPr>
      </w:pPr>
      <w:r>
        <w:t xml:space="preserve">NIH RePORTER (free) + funded study results — already free, but full integration deferred to Phase 2 for triage reasons.</w:t>
      </w:r>
    </w:p>
    <w:p>
      <w:pPr>
        <w:pStyle w:val="ListParagraph"/>
        <w:numPr>
          <w:ilvl w:val="0"/>
          <w:numId w:val="2"/>
        </w:numPr>
      </w:pPr>
      <w:r>
        <w:t xml:space="preserve">PatientsLikeMe aggregated reports (where available) — patient-community signal complement to Reddit.</w:t>
      </w:r>
    </w:p>
    <w:p>
      <w:pPr>
        <w:pStyle w:val="Heading3"/>
      </w:pPr>
      <w:r>
        <w:t xml:space="preserve">Tier 3 — Long-horizon, partnership-only, Phase 3+</w:t>
      </w:r>
    </w:p>
    <w:p>
      <w:pPr>
        <w:pStyle w:val="ListParagraph"/>
        <w:numPr>
          <w:ilvl w:val="0"/>
          <w:numId w:val="2"/>
        </w:numPr>
      </w:pPr>
      <w:r>
        <w:t xml:space="preserve">Pharma partner pre-competitive data sharing — the substrate becomes valuable enough that pharmas contribute internal failed-program data for collaborative analysis.</w:t>
      </w:r>
    </w:p>
    <w:p>
      <w:pPr>
        <w:pStyle w:val="ListParagraph"/>
        <w:numPr>
          <w:ilvl w:val="0"/>
          <w:numId w:val="2"/>
        </w:numPr>
      </w:pPr>
      <w:r>
        <w:t xml:space="preserve">EHR partnerships (TriNetX, Truveta) — for cohort-level real-world evidence at scale. Significant licensing cost; only justified post-Series A.</w:t>
      </w:r>
    </w:p>
    <w:p>
      <w:pPr>
        <w:pStyle w:val="ListParagraph"/>
        <w:numPr>
          <w:ilvl w:val="0"/>
          <w:numId w:val="2"/>
        </w:numPr>
      </w:pPr>
      <w:r>
        <w:t xml:space="preserve">FDA Sentinel Initiative data access — only available to qualified researchers via specific channels.</w:t>
      </w:r>
    </w:p>
    <w:p>
      <w:pPr>
        <w:pStyle w:val="ListParagraph"/>
        <w:numPr>
          <w:ilvl w:val="0"/>
          <w:numId w:val="2"/>
        </w:numPr>
      </w:pPr>
      <w:r>
        <w:t xml:space="preserve">Wearable / cycle-tracker continuous data partnerships — beyond aggregated cohort.</w:t>
      </w:r>
    </w:p>
    <w:p>
      <w:pPr>
        <w:pStyle w:val="Heading2"/>
      </w:pPr>
      <w:r>
        <w:t xml:space="preserve">7.2 Cost envelope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1800"/>
        <w:gridCol w:w="2160"/>
      </w:tblGrid>
      <w:tr>
        <w:trPr>
          <w:tblHeader/>
        </w:trPr>
        <w:tc>
          <w:tcPr>
            <w:tcW w:type="dxa" w:w="1080"/>
            <w:shd w:fill="7A1F3D" w:color="auto" w:val="clear"/>
          </w:tcPr>
          <w:p>
            <w:r>
              <w:rPr>
                <w:b/>
                <w:bCs/>
                <w:color w:val="FFFFFF"/>
                <w:sz w:val="20"/>
                <w:szCs w:val="20"/>
              </w:rPr>
              <w:t xml:space="preserve">Tier</w:t>
            </w:r>
          </w:p>
        </w:tc>
        <w:tc>
          <w:tcPr>
            <w:tcW w:type="dxa" w:w="4320"/>
            <w:shd w:fill="7A1F3D" w:color="auto" w:val="clear"/>
          </w:tcPr>
          <w:p>
            <w:r>
              <w:rPr>
                <w:b/>
                <w:bCs/>
                <w:color w:val="FFFFFF"/>
                <w:sz w:val="20"/>
                <w:szCs w:val="20"/>
              </w:rPr>
              <w:t xml:space="preserve">Sources</w:t>
            </w:r>
          </w:p>
        </w:tc>
        <w:tc>
          <w:tcPr>
            <w:tcW w:type="dxa" w:w="1800"/>
            <w:shd w:fill="7A1F3D" w:color="auto" w:val="clear"/>
          </w:tcPr>
          <w:p>
            <w:r>
              <w:rPr>
                <w:b/>
                <w:bCs/>
                <w:color w:val="FFFFFF"/>
                <w:sz w:val="20"/>
                <w:szCs w:val="20"/>
              </w:rPr>
              <w:t xml:space="preserve">Annual cost</w:t>
            </w:r>
          </w:p>
        </w:tc>
        <w:tc>
          <w:tcPr>
            <w:tcW w:type="dxa" w:w="2160"/>
            <w:shd w:fill="7A1F3D" w:color="auto" w:val="clear"/>
          </w:tcPr>
          <w:p>
            <w:r>
              <w:rPr>
                <w:b/>
                <w:bCs/>
                <w:color w:val="FFFFFF"/>
                <w:sz w:val="20"/>
                <w:szCs w:val="20"/>
              </w:rPr>
              <w:t xml:space="preserve">Phase</w:t>
            </w:r>
          </w:p>
        </w:tc>
      </w:tr>
      <w:tr>
        <w:trPr>
          <w:tblHeader w:val="false"/>
        </w:trPr>
        <w:tc>
          <w:tcPr>
            <w:tcW w:type="dxa" w:w="1080"/>
            <w:shd w:fill="F8F8F8" w:color="auto" w:val="clear"/>
          </w:tcPr>
          <w:p>
            <w:r>
              <w:rPr>
                <w:b w:val="false"/>
                <w:bCs w:val="false"/>
                <w:color w:val="222222"/>
                <w:sz w:val="20"/>
                <w:szCs w:val="20"/>
              </w:rPr>
              <w:t xml:space="preserve">Tier 1</w:t>
            </w:r>
          </w:p>
        </w:tc>
        <w:tc>
          <w:tcPr>
            <w:tcW w:type="dxa" w:w="4320"/>
            <w:shd w:fill="F8F8F8" w:color="auto" w:val="clear"/>
          </w:tcPr>
          <w:p>
            <w:r>
              <w:rPr>
                <w:b w:val="false"/>
                <w:bCs w:val="false"/>
                <w:color w:val="222222"/>
                <w:sz w:val="20"/>
                <w:szCs w:val="20"/>
              </w:rPr>
              <w:t xml:space="preserve">13 public sources covering literature, trials, AE, KG seeds, ontology, community</w:t>
            </w:r>
          </w:p>
        </w:tc>
        <w:tc>
          <w:tcPr>
            <w:tcW w:type="dxa" w:w="1800"/>
            <w:shd w:fill="F8F8F8" w:color="auto" w:val="clear"/>
          </w:tcPr>
          <w:p>
            <w:r>
              <w:rPr>
                <w:b w:val="false"/>
                <w:bCs w:val="false"/>
                <w:color w:val="222222"/>
                <w:sz w:val="20"/>
                <w:szCs w:val="20"/>
              </w:rPr>
              <w:t xml:space="preserve">$0</w:t>
            </w:r>
          </w:p>
        </w:tc>
        <w:tc>
          <w:tcPr>
            <w:tcW w:type="dxa" w:w="2160"/>
            <w:shd w:fill="F8F8F8" w:color="auto" w:val="clear"/>
          </w:tcPr>
          <w:p>
            <w:r>
              <w:rPr>
                <w:b w:val="false"/>
                <w:bCs w:val="false"/>
                <w:color w:val="222222"/>
                <w:sz w:val="20"/>
                <w:szCs w:val="20"/>
              </w:rPr>
              <w:t xml:space="preserve">Phase 1 (v1)</w:t>
            </w:r>
          </w:p>
        </w:tc>
      </w:tr>
      <w:tr>
        <w:trPr>
          <w:tblHeader w:val="false"/>
        </w:trPr>
        <w:tc>
          <w:tcPr>
            <w:tcW w:type="dxa" w:w="1080"/>
            <w:shd w:fill="FFFFFF" w:color="auto" w:val="clear"/>
          </w:tcPr>
          <w:p>
            <w:r>
              <w:rPr>
                <w:b w:val="false"/>
                <w:bCs w:val="false"/>
                <w:color w:val="222222"/>
                <w:sz w:val="20"/>
                <w:szCs w:val="20"/>
              </w:rPr>
              <w:t xml:space="preserve">Tier 2</w:t>
            </w:r>
          </w:p>
        </w:tc>
        <w:tc>
          <w:tcPr>
            <w:tcW w:type="dxa" w:w="4320"/>
            <w:shd w:fill="FFFFFF" w:color="auto" w:val="clear"/>
          </w:tcPr>
          <w:p>
            <w:r>
              <w:rPr>
                <w:b w:val="false"/>
                <w:bCs w:val="false"/>
                <w:color w:val="222222"/>
                <w:sz w:val="20"/>
                <w:szCs w:val="20"/>
              </w:rPr>
              <w:t xml:space="preserve">Embase, Cochrane, UpToDate, Clue partnership, Flo partnership, expanded NIH integration</w:t>
            </w:r>
          </w:p>
        </w:tc>
        <w:tc>
          <w:tcPr>
            <w:tcW w:type="dxa" w:w="1800"/>
            <w:shd w:fill="FFFFFF" w:color="auto" w:val="clear"/>
          </w:tcPr>
          <w:p>
            <w:r>
              <w:rPr>
                <w:b w:val="false"/>
                <w:bCs w:val="false"/>
                <w:color w:val="222222"/>
                <w:sz w:val="20"/>
                <w:szCs w:val="20"/>
              </w:rPr>
              <w:t xml:space="preserve">$25K–$80K</w:t>
            </w:r>
          </w:p>
        </w:tc>
        <w:tc>
          <w:tcPr>
            <w:tcW w:type="dxa" w:w="2160"/>
            <w:shd w:fill="FFFFFF" w:color="auto" w:val="clear"/>
          </w:tcPr>
          <w:p>
            <w:r>
              <w:rPr>
                <w:b w:val="false"/>
                <w:bCs w:val="false"/>
                <w:color w:val="222222"/>
                <w:sz w:val="20"/>
                <w:szCs w:val="20"/>
              </w:rPr>
              <w:t xml:space="preserve">Phase 2 (post-grant)</w:t>
            </w:r>
          </w:p>
        </w:tc>
      </w:tr>
      <w:tr>
        <w:trPr>
          <w:tblHeader w:val="false"/>
        </w:trPr>
        <w:tc>
          <w:tcPr>
            <w:tcW w:type="dxa" w:w="1080"/>
            <w:shd w:fill="F8F8F8" w:color="auto" w:val="clear"/>
          </w:tcPr>
          <w:p>
            <w:r>
              <w:rPr>
                <w:b w:val="false"/>
                <w:bCs w:val="false"/>
                <w:color w:val="222222"/>
                <w:sz w:val="20"/>
                <w:szCs w:val="20"/>
              </w:rPr>
              <w:t xml:space="preserve">Tier 3</w:t>
            </w:r>
          </w:p>
        </w:tc>
        <w:tc>
          <w:tcPr>
            <w:tcW w:type="dxa" w:w="4320"/>
            <w:shd w:fill="F8F8F8" w:color="auto" w:val="clear"/>
          </w:tcPr>
          <w:p>
            <w:r>
              <w:rPr>
                <w:b w:val="false"/>
                <w:bCs w:val="false"/>
                <w:color w:val="222222"/>
                <w:sz w:val="20"/>
                <w:szCs w:val="20"/>
              </w:rPr>
              <w:t xml:space="preserve">EHR (TriNetX/Truveta), pharma pre-competitive, FDA Sentinel, wearable continuous</w:t>
            </w:r>
          </w:p>
        </w:tc>
        <w:tc>
          <w:tcPr>
            <w:tcW w:type="dxa" w:w="1800"/>
            <w:shd w:fill="F8F8F8" w:color="auto" w:val="clear"/>
          </w:tcPr>
          <w:p>
            <w:r>
              <w:rPr>
                <w:b w:val="false"/>
                <w:bCs w:val="false"/>
                <w:color w:val="222222"/>
                <w:sz w:val="20"/>
                <w:szCs w:val="20"/>
              </w:rPr>
              <w:t xml:space="preserve">$150K–$500K+</w:t>
            </w:r>
          </w:p>
        </w:tc>
        <w:tc>
          <w:tcPr>
            <w:tcW w:type="dxa" w:w="2160"/>
            <w:shd w:fill="F8F8F8" w:color="auto" w:val="clear"/>
          </w:tcPr>
          <w:p>
            <w:r>
              <w:rPr>
                <w:b w:val="false"/>
                <w:bCs w:val="false"/>
                <w:color w:val="222222"/>
                <w:sz w:val="20"/>
                <w:szCs w:val="20"/>
              </w:rPr>
              <w:t xml:space="preserve">Phase 3+ (post-Series A)</w:t>
            </w:r>
          </w:p>
        </w:tc>
      </w:tr>
    </w:tbl>
    <w:p>
      <w:pPr>
        <w:pStyle w:val="Heading2"/>
      </w:pPr>
      <w:r>
        <w:t xml:space="preserve">7.3 Ingestion cadence</w:t>
      </w:r>
    </w:p>
    <w:p>
      <w:pPr>
        <w:pStyle w:val="ListParagraph"/>
        <w:numPr>
          <w:ilvl w:val="0"/>
          <w:numId w:val="2"/>
        </w:numPr>
      </w:pPr>
      <w:r>
        <w:t xml:space="preserve">PubMed: nightly delta against last-ingested PMID. Backfill on first ingestion (one-time job, ~3–5 days for the female-relevant subset).</w:t>
      </w:r>
    </w:p>
    <w:p>
      <w:pPr>
        <w:pStyle w:val="ListParagraph"/>
        <w:numPr>
          <w:ilvl w:val="0"/>
          <w:numId w:val="2"/>
        </w:numPr>
      </w:pPr>
      <w:r>
        <w:t xml:space="preserve">ClinicalTrials.gov: weekly delta against last-updated date. Backfill once.</w:t>
      </w:r>
    </w:p>
    <w:p>
      <w:pPr>
        <w:pStyle w:val="ListParagraph"/>
        <w:numPr>
          <w:ilvl w:val="0"/>
          <w:numId w:val="2"/>
        </w:numPr>
      </w:pPr>
      <w:r>
        <w:t xml:space="preserve">FAERS / EudraVigilance: quarterly (their release cadence).</w:t>
      </w:r>
    </w:p>
    <w:p>
      <w:pPr>
        <w:pStyle w:val="ListParagraph"/>
        <w:numPr>
          <w:ilvl w:val="0"/>
          <w:numId w:val="2"/>
        </w:numPr>
      </w:pPr>
      <w:r>
        <w:t xml:space="preserve">DrugBank Open: quarterly (their release cadence).</w:t>
      </w:r>
    </w:p>
    <w:p>
      <w:pPr>
        <w:pStyle w:val="ListParagraph"/>
        <w:numPr>
          <w:ilvl w:val="0"/>
          <w:numId w:val="2"/>
        </w:numPr>
      </w:pPr>
      <w:r>
        <w:t xml:space="preserve">PrimeKG / CTKG: one-time import; re-import on their next major release.</w:t>
      </w:r>
    </w:p>
    <w:p>
      <w:pPr>
        <w:pStyle w:val="ListParagraph"/>
        <w:numPr>
          <w:ilvl w:val="0"/>
          <w:numId w:val="2"/>
        </w:numPr>
      </w:pPr>
      <w:r>
        <w:t xml:space="preserve">Ontologies: monthly check for new releases; re-grounding job runs on update.</w:t>
      </w:r>
    </w:p>
    <w:p>
      <w:pPr>
        <w:pStyle w:val="ListParagraph"/>
        <w:numPr>
          <w:ilvl w:val="0"/>
          <w:numId w:val="2"/>
        </w:numPr>
      </w:pPr>
      <w:r>
        <w:t xml:space="preserve">Reddit / community sources: weekly pull, with deduplication on post hash.</w:t>
      </w:r>
    </w:p>
    <w:p>
      <w:pPr>
        <w:pStyle w:val="Heading2"/>
      </w:pPr>
      <w:r>
        <w:t xml:space="preserve">7.4 Female-specificity filter</w:t>
      </w:r>
    </w:p>
    <w:p>
      <w:r>
        <w:t xml:space="preserve">Not all PubMed is relevant to Whel. The female-specificity filter is the first-stage triage that decides what enters the substrate.</w:t>
      </w:r>
    </w:p>
    <w:p>
      <w:r>
        <w:t xml:space="preserve">Stage 1 (rule-based, fast): MeSH term inclusion (Female, Women's Health, Pregnancy, Menstrual Cycle, Hormones, plus condition-specific term sets), title/abstract regex for sex terms, and explicit exclusion of papers tagged only Male or only Animal-Male.</w:t>
      </w:r>
    </w:p>
    <w:p>
      <w:r>
        <w:t xml:space="preserve">Stage 2 (embedding-based, slower): MedCPT cosine similarity against a curated reference set of canonical female-biology papers per condition. Top 30% by similarity proceeds to full extraction. The cutoff is tunable per condition.</w:t>
      </w:r>
    </w:p>
    <w:p>
      <w:r>
        <w:t xml:space="preserve">Stage 3 (LLM triage): a cheap classification call on the abstract to label sex-specificity: female-only, female-primary, sex-comparative, sex-stratified-results, mixed-no-stratification, male-only, non-clinical-animal-only. Substrate ingestion is gated on the first four labels.</w:t>
      </w:r>
    </w:p>
    <w:p>
      <w:pPr>
        <w:pStyle w:val="Heading2"/>
      </w:pPr>
      <w:r>
        <w:t xml:space="preserve">7.5 The female-specific ontology extension</w:t>
      </w:r>
    </w:p>
    <w:p>
      <w:r>
        <w:t xml:space="preserve">Existing ontologies (MeSH, MONDO, HPO) under-cover female-specific biology. Whel adds an extension layer that lives in the substrate and is curated as part of the build. Examples of what the extension covers:</w:t>
      </w:r>
    </w:p>
    <w:p>
      <w:pPr>
        <w:pStyle w:val="ListParagraph"/>
        <w:numPr>
          <w:ilvl w:val="0"/>
          <w:numId w:val="2"/>
        </w:numPr>
      </w:pPr>
      <w:r>
        <w:t xml:space="preserve">Cyclical hormonal states — luteal phase, follicular phase, perimenstrual, and how each maps to PK-relevant time windows.</w:t>
      </w:r>
    </w:p>
    <w:p>
      <w:pPr>
        <w:pStyle w:val="ListParagraph"/>
        <w:numPr>
          <w:ilvl w:val="0"/>
          <w:numId w:val="2"/>
        </w:numPr>
      </w:pPr>
      <w:r>
        <w:t xml:space="preserve">PMDD sub-phenotypes — the contested DSM-5 categories, the IAPMD-recognized variants, and the historical PMS-vs-PMDD distinction.</w:t>
      </w:r>
    </w:p>
    <w:p>
      <w:pPr>
        <w:pStyle w:val="ListParagraph"/>
        <w:numPr>
          <w:ilvl w:val="0"/>
          <w:numId w:val="2"/>
        </w:numPr>
      </w:pPr>
      <w:r>
        <w:t xml:space="preserve">Endometriosis subtype taxonomy — superficial peritoneal, ovarian endometrioma, deep infiltrating, and adenomyosis-overlap.</w:t>
      </w:r>
    </w:p>
    <w:p>
      <w:pPr>
        <w:pStyle w:val="ListParagraph"/>
        <w:numPr>
          <w:ilvl w:val="0"/>
          <w:numId w:val="2"/>
        </w:numPr>
      </w:pPr>
      <w:r>
        <w:t xml:space="preserve">Sex-comparative effect modifiers — labels for how a drug's PK/PD differ in female patients, with sub-labels for cyclical state.</w:t>
      </w:r>
    </w:p>
    <w:p>
      <w:pPr>
        <w:pStyle w:val="ListParagraph"/>
        <w:numPr>
          <w:ilvl w:val="0"/>
          <w:numId w:val="2"/>
        </w:numPr>
      </w:pPr>
      <w:r>
        <w:t xml:space="preserve">Hormonal contraception interaction class — first-class concept because almost every PMDD or endo trial has to control for it and most do so badly.</w:t>
      </w:r>
    </w:p>
    <w:p>
      <w:r>
        <w:t xml:space="preserve">The female-specific extension is the asset that compounds. It is not a finished schema at v1 launch — it is a starting set of approximately 200 concepts that grows with every condition and every contradiction surfaced. The extension is reviewed informally by domain experts during the build (Phase 1) and formalized through an external advisory review in Phase 3.</w:t>
      </w:r>
    </w:p>
    <w:p>
      <w:pPr>
        <w:pStyle w:val="Heading2"/>
      </w:pPr>
      <w:r>
        <w:t xml:space="preserve">7.6 Data lineage and provenance discipline</w:t>
      </w:r>
    </w:p>
    <w:p>
      <w:r>
        <w:t xml:space="preserve">Every record in the substrate carries lineage: which raw source it came from, when it was retrieved, by what version of the extraction pipeline, against which ontology snapshot. This is not optional. The substrate's credibility depends on the ability to answer 'why does Whel say this?' down to the source span and model run.</w:t>
      </w:r>
    </w:p>
    <w:p>
      <w:pPr>
        <w:pStyle w:val="ListParagraph"/>
        <w:numPr>
          <w:ilvl w:val="0"/>
          <w:numId w:val="2"/>
        </w:numPr>
      </w:pPr>
      <w:r>
        <w:t xml:space="preserve">Raw sources stored immutably (S3-equivalent, hash-addressed). Never deleted.</w:t>
      </w:r>
    </w:p>
    <w:p>
      <w:pPr>
        <w:pStyle w:val="ListParagraph"/>
        <w:numPr>
          <w:ilvl w:val="0"/>
          <w:numId w:val="2"/>
        </w:numPr>
      </w:pPr>
      <w:r>
        <w:t xml:space="preserve">Extracted claims reference raw sources by hash, not by URL. URL changes do not break lineage.</w:t>
      </w:r>
    </w:p>
    <w:p>
      <w:pPr>
        <w:pStyle w:val="ListParagraph"/>
        <w:numPr>
          <w:ilvl w:val="0"/>
          <w:numId w:val="2"/>
        </w:numPr>
      </w:pPr>
      <w:r>
        <w:t xml:space="preserve">Substrate snapshots are immutable. Quality regressions can be traced to the change that caused them.</w:t>
      </w:r>
    </w:p>
    <w:p>
      <w:pPr>
        <w:pStyle w:val="ListParagraph"/>
        <w:numPr>
          <w:ilvl w:val="0"/>
          <w:numId w:val="2"/>
        </w:numPr>
      </w:pPr>
      <w:r>
        <w:t xml:space="preserve">Audit log records every substrate write with actor (pipeline run id, human curator id, or external service) and reason.</w:t>
      </w:r>
    </w:p>
    <w:p>
      <w:pPr>
        <w:pStyle w:val="Heading1"/>
        <w:pageBreakBefore/>
      </w:pPr>
      <w:r>
        <w:t xml:space="preserve">8. Biomedical Knowledge Resources Catalog</w:t>
      </w:r>
    </w:p>
    <w:p>
      <w:pPr>
        <w:spacing w:after="200"/>
      </w:pPr>
      <w:r>
        <w:rPr>
          <w:i/>
          <w:iCs/>
          <w:color w:val="555555"/>
          <w:sz w:val="22"/>
          <w:szCs w:val="22"/>
        </w:rPr>
        <w:t xml:space="preserve">Comprehensive index of databases, tools, ontologies, and reference resources surveyed during the reframe research. Organized by function, with license, access mode, and the role each plays in the Whel stack.</w:t>
      </w:r>
    </w:p>
    <w:p>
      <w:pPr>
        <w:pStyle w:val="Heading2"/>
      </w:pPr>
      <w:r>
        <w:t xml:space="preserve">8.1 Literature and primary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PubMed (NCBI)</w:t>
            </w:r>
          </w:p>
        </w:tc>
        <w:tc>
          <w:tcPr>
            <w:tcW w:type="dxa" w:w="1980"/>
            <w:shd w:fill="F8F8F8" w:color="auto" w:val="clear"/>
          </w:tcPr>
          <w:p>
            <w:r>
              <w:rPr>
                <w:b w:val="false"/>
                <w:bCs w:val="false"/>
                <w:color w:val="222222"/>
                <w:sz w:val="20"/>
                <w:szCs w:val="20"/>
              </w:rPr>
              <w:t xml:space="preserve">37M+ biomedical citations</w:t>
            </w:r>
          </w:p>
        </w:tc>
        <w:tc>
          <w:tcPr>
            <w:tcW w:type="dxa" w:w="2160"/>
            <w:shd w:fill="F8F8F8" w:color="auto" w:val="clear"/>
          </w:tcPr>
          <w:p>
            <w:r>
              <w:rPr>
                <w:b w:val="false"/>
                <w:bCs w:val="false"/>
                <w:color w:val="222222"/>
                <w:sz w:val="20"/>
                <w:szCs w:val="20"/>
              </w:rPr>
              <w:t xml:space="preserve">Public domain (US gov)</w:t>
            </w:r>
          </w:p>
        </w:tc>
        <w:tc>
          <w:tcPr>
            <w:tcW w:type="dxa" w:w="3240"/>
            <w:shd w:fill="F8F8F8" w:color="auto" w:val="clear"/>
          </w:tcPr>
          <w:p>
            <w:r>
              <w:rPr>
                <w:b w:val="false"/>
                <w:bCs w:val="false"/>
                <w:color w:val="222222"/>
                <w:sz w:val="20"/>
                <w:szCs w:val="20"/>
              </w:rPr>
              <w:t xml:space="preserve">Primary literature index — Tier 1</w:t>
            </w:r>
          </w:p>
        </w:tc>
      </w:tr>
      <w:tr>
        <w:trPr>
          <w:tblHeader w:val="false"/>
        </w:trPr>
        <w:tc>
          <w:tcPr>
            <w:tcW w:type="dxa" w:w="1980"/>
            <w:shd w:fill="FFFFFF" w:color="auto" w:val="clear"/>
          </w:tcPr>
          <w:p>
            <w:r>
              <w:rPr>
                <w:b w:val="false"/>
                <w:bCs w:val="false"/>
                <w:color w:val="222222"/>
                <w:sz w:val="20"/>
                <w:szCs w:val="20"/>
              </w:rPr>
              <w:t xml:space="preserve">PubMed Central OA</w:t>
            </w:r>
          </w:p>
        </w:tc>
        <w:tc>
          <w:tcPr>
            <w:tcW w:type="dxa" w:w="1980"/>
            <w:shd w:fill="FFFFFF" w:color="auto" w:val="clear"/>
          </w:tcPr>
          <w:p>
            <w:r>
              <w:rPr>
                <w:b w:val="false"/>
                <w:bCs w:val="false"/>
                <w:color w:val="222222"/>
                <w:sz w:val="20"/>
                <w:szCs w:val="20"/>
              </w:rPr>
              <w:t xml:space="preserve">9M+ open-access full texts</w:t>
            </w:r>
          </w:p>
        </w:tc>
        <w:tc>
          <w:tcPr>
            <w:tcW w:type="dxa" w:w="2160"/>
            <w:shd w:fill="FFFFFF" w:color="auto" w:val="clear"/>
          </w:tcPr>
          <w:p>
            <w:r>
              <w:rPr>
                <w:b w:val="false"/>
                <w:bCs w:val="false"/>
                <w:color w:val="222222"/>
                <w:sz w:val="20"/>
                <w:szCs w:val="20"/>
              </w:rPr>
              <w:t xml:space="preserve">Various open</w:t>
            </w:r>
          </w:p>
        </w:tc>
        <w:tc>
          <w:tcPr>
            <w:tcW w:type="dxa" w:w="3240"/>
            <w:shd w:fill="FFFFFF" w:color="auto" w:val="clear"/>
          </w:tcPr>
          <w:p>
            <w:r>
              <w:rPr>
                <w:b w:val="false"/>
                <w:bCs w:val="false"/>
                <w:color w:val="222222"/>
                <w:sz w:val="20"/>
                <w:szCs w:val="20"/>
              </w:rPr>
              <w:t xml:space="preserve">Full-text retrieval — Tier 1</w:t>
            </w:r>
          </w:p>
        </w:tc>
      </w:tr>
      <w:tr>
        <w:trPr>
          <w:tblHeader w:val="false"/>
        </w:trPr>
        <w:tc>
          <w:tcPr>
            <w:tcW w:type="dxa" w:w="1980"/>
            <w:shd w:fill="F8F8F8" w:color="auto" w:val="clear"/>
          </w:tcPr>
          <w:p>
            <w:r>
              <w:rPr>
                <w:b w:val="false"/>
                <w:bCs w:val="false"/>
                <w:color w:val="222222"/>
                <w:sz w:val="20"/>
                <w:szCs w:val="20"/>
              </w:rPr>
              <w:t xml:space="preserve">Europe PMC</w:t>
            </w:r>
          </w:p>
        </w:tc>
        <w:tc>
          <w:tcPr>
            <w:tcW w:type="dxa" w:w="1980"/>
            <w:shd w:fill="F8F8F8" w:color="auto" w:val="clear"/>
          </w:tcPr>
          <w:p>
            <w:r>
              <w:rPr>
                <w:b w:val="false"/>
                <w:bCs w:val="false"/>
                <w:color w:val="222222"/>
                <w:sz w:val="20"/>
                <w:szCs w:val="20"/>
              </w:rPr>
              <w:t xml:space="preserve">PubMed + European preprints</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Augments PMC coverage</w:t>
            </w:r>
          </w:p>
        </w:tc>
      </w:tr>
      <w:tr>
        <w:trPr>
          <w:tblHeader w:val="false"/>
        </w:trPr>
        <w:tc>
          <w:tcPr>
            <w:tcW w:type="dxa" w:w="1980"/>
            <w:shd w:fill="FFFFFF" w:color="auto" w:val="clear"/>
          </w:tcPr>
          <w:p>
            <w:r>
              <w:rPr>
                <w:b w:val="false"/>
                <w:bCs w:val="false"/>
                <w:color w:val="222222"/>
                <w:sz w:val="20"/>
                <w:szCs w:val="20"/>
              </w:rPr>
              <w:t xml:space="preserve">bioRxiv / medRxiv</w:t>
            </w:r>
          </w:p>
        </w:tc>
        <w:tc>
          <w:tcPr>
            <w:tcW w:type="dxa" w:w="1980"/>
            <w:shd w:fill="FFFFFF" w:color="auto" w:val="clear"/>
          </w:tcPr>
          <w:p>
            <w:r>
              <w:rPr>
                <w:b w:val="false"/>
                <w:bCs w:val="false"/>
                <w:color w:val="222222"/>
                <w:sz w:val="20"/>
                <w:szCs w:val="20"/>
              </w:rPr>
              <w:t xml:space="preserve">Preprints</w:t>
            </w:r>
          </w:p>
        </w:tc>
        <w:tc>
          <w:tcPr>
            <w:tcW w:type="dxa" w:w="2160"/>
            <w:shd w:fill="FFFFFF" w:color="auto" w:val="clear"/>
          </w:tcPr>
          <w:p>
            <w:r>
              <w:rPr>
                <w:b w:val="false"/>
                <w:bCs w:val="false"/>
                <w:color w:val="222222"/>
                <w:sz w:val="20"/>
                <w:szCs w:val="20"/>
              </w:rPr>
              <w:t xml:space="preserve">CC-BY</w:t>
            </w:r>
          </w:p>
        </w:tc>
        <w:tc>
          <w:tcPr>
            <w:tcW w:type="dxa" w:w="3240"/>
            <w:shd w:fill="FFFFFF" w:color="auto" w:val="clear"/>
          </w:tcPr>
          <w:p>
            <w:r>
              <w:rPr>
                <w:b w:val="false"/>
                <w:bCs w:val="false"/>
                <w:color w:val="222222"/>
                <w:sz w:val="20"/>
                <w:szCs w:val="20"/>
              </w:rPr>
              <w:t xml:space="preserve">Pre-publication signal — Tier 1</w:t>
            </w:r>
          </w:p>
        </w:tc>
      </w:tr>
      <w:tr>
        <w:trPr>
          <w:tblHeader w:val="false"/>
        </w:trPr>
        <w:tc>
          <w:tcPr>
            <w:tcW w:type="dxa" w:w="1980"/>
            <w:shd w:fill="F8F8F8" w:color="auto" w:val="clear"/>
          </w:tcPr>
          <w:p>
            <w:r>
              <w:rPr>
                <w:b w:val="false"/>
                <w:bCs w:val="false"/>
                <w:color w:val="222222"/>
                <w:sz w:val="20"/>
                <w:szCs w:val="20"/>
              </w:rPr>
              <w:t xml:space="preserve">Embase (Elsevier)</w:t>
            </w:r>
          </w:p>
        </w:tc>
        <w:tc>
          <w:tcPr>
            <w:tcW w:type="dxa" w:w="1980"/>
            <w:shd w:fill="F8F8F8" w:color="auto" w:val="clear"/>
          </w:tcPr>
          <w:p>
            <w:r>
              <w:rPr>
                <w:b w:val="false"/>
                <w:bCs w:val="false"/>
                <w:color w:val="222222"/>
                <w:sz w:val="20"/>
                <w:szCs w:val="20"/>
              </w:rPr>
              <w:t xml:space="preserve">32M+ records incl. conferences</w:t>
            </w:r>
          </w:p>
        </w:tc>
        <w:tc>
          <w:tcPr>
            <w:tcW w:type="dxa" w:w="2160"/>
            <w:shd w:fill="F8F8F8" w:color="auto" w:val="clear"/>
          </w:tcPr>
          <w:p>
            <w:r>
              <w:rPr>
                <w:b w:val="false"/>
                <w:bCs w:val="false"/>
                <w:color w:val="222222"/>
                <w:sz w:val="20"/>
                <w:szCs w:val="20"/>
              </w:rPr>
              <w:t xml:space="preserve">Subscription ~$20K/yr</w:t>
            </w:r>
          </w:p>
        </w:tc>
        <w:tc>
          <w:tcPr>
            <w:tcW w:type="dxa" w:w="3240"/>
            <w:shd w:fill="F8F8F8" w:color="auto" w:val="clear"/>
          </w:tcPr>
          <w:p>
            <w:r>
              <w:rPr>
                <w:b w:val="false"/>
                <w:bCs w:val="false"/>
                <w:color w:val="222222"/>
                <w:sz w:val="20"/>
                <w:szCs w:val="20"/>
              </w:rPr>
              <w:t xml:space="preserve">Tier 2</w:t>
            </w:r>
          </w:p>
        </w:tc>
      </w:tr>
      <w:tr>
        <w:trPr>
          <w:tblHeader w:val="false"/>
        </w:trPr>
        <w:tc>
          <w:tcPr>
            <w:tcW w:type="dxa" w:w="1980"/>
            <w:shd w:fill="FFFFFF" w:color="auto" w:val="clear"/>
          </w:tcPr>
          <w:p>
            <w:r>
              <w:rPr>
                <w:b w:val="false"/>
                <w:bCs w:val="false"/>
                <w:color w:val="222222"/>
                <w:sz w:val="20"/>
                <w:szCs w:val="20"/>
              </w:rPr>
              <w:t xml:space="preserve">Cochrane Library</w:t>
            </w:r>
          </w:p>
        </w:tc>
        <w:tc>
          <w:tcPr>
            <w:tcW w:type="dxa" w:w="1980"/>
            <w:shd w:fill="FFFFFF" w:color="auto" w:val="clear"/>
          </w:tcPr>
          <w:p>
            <w:r>
              <w:rPr>
                <w:b w:val="false"/>
                <w:bCs w:val="false"/>
                <w:color w:val="222222"/>
                <w:sz w:val="20"/>
                <w:szCs w:val="20"/>
              </w:rPr>
              <w:t xml:space="preserve">Systematic reviews, RCT register</w:t>
            </w:r>
          </w:p>
        </w:tc>
        <w:tc>
          <w:tcPr>
            <w:tcW w:type="dxa" w:w="2160"/>
            <w:shd w:fill="FFFFFF" w:color="auto" w:val="clear"/>
          </w:tcPr>
          <w:p>
            <w:r>
              <w:rPr>
                <w:b w:val="false"/>
                <w:bCs w:val="false"/>
                <w:color w:val="222222"/>
                <w:sz w:val="20"/>
                <w:szCs w:val="20"/>
              </w:rPr>
              <w:t xml:space="preserve">Subscription / partnership</w:t>
            </w:r>
          </w:p>
        </w:tc>
        <w:tc>
          <w:tcPr>
            <w:tcW w:type="dxa" w:w="3240"/>
            <w:shd w:fill="FFFFFF" w:color="auto" w:val="clear"/>
          </w:tcPr>
          <w:p>
            <w:r>
              <w:rPr>
                <w:b w:val="false"/>
                <w:bCs w:val="false"/>
                <w:color w:val="222222"/>
                <w:sz w:val="20"/>
                <w:szCs w:val="20"/>
              </w:rPr>
              <w:t xml:space="preserve">Tier 2 — evidence weighting</w:t>
            </w:r>
          </w:p>
        </w:tc>
      </w:tr>
      <w:tr>
        <w:trPr>
          <w:tblHeader w:val="false"/>
        </w:trPr>
        <w:tc>
          <w:tcPr>
            <w:tcW w:type="dxa" w:w="1980"/>
            <w:shd w:fill="F8F8F8" w:color="auto" w:val="clear"/>
          </w:tcPr>
          <w:p>
            <w:r>
              <w:rPr>
                <w:b w:val="false"/>
                <w:bCs w:val="false"/>
                <w:color w:val="222222"/>
                <w:sz w:val="20"/>
                <w:szCs w:val="20"/>
              </w:rPr>
              <w:t xml:space="preserve">Scopus / Web of Science</w:t>
            </w:r>
          </w:p>
        </w:tc>
        <w:tc>
          <w:tcPr>
            <w:tcW w:type="dxa" w:w="1980"/>
            <w:shd w:fill="F8F8F8" w:color="auto" w:val="clear"/>
          </w:tcPr>
          <w:p>
            <w:r>
              <w:rPr>
                <w:b w:val="false"/>
                <w:bCs w:val="false"/>
                <w:color w:val="222222"/>
                <w:sz w:val="20"/>
                <w:szCs w:val="20"/>
              </w:rPr>
              <w:t xml:space="preserve">Citation graphs</w:t>
            </w:r>
          </w:p>
        </w:tc>
        <w:tc>
          <w:tcPr>
            <w:tcW w:type="dxa" w:w="2160"/>
            <w:shd w:fill="F8F8F8" w:color="auto" w:val="clear"/>
          </w:tcPr>
          <w:p>
            <w:r>
              <w:rPr>
                <w:b w:val="false"/>
                <w:bCs w:val="false"/>
                <w:color w:val="222222"/>
                <w:sz w:val="20"/>
                <w:szCs w:val="20"/>
              </w:rPr>
              <w:t xml:space="preserve">Subscription</w:t>
            </w:r>
          </w:p>
        </w:tc>
        <w:tc>
          <w:tcPr>
            <w:tcW w:type="dxa" w:w="3240"/>
            <w:shd w:fill="F8F8F8" w:color="auto" w:val="clear"/>
          </w:tcPr>
          <w:p>
            <w:r>
              <w:rPr>
                <w:b w:val="false"/>
                <w:bCs w:val="false"/>
                <w:color w:val="222222"/>
                <w:sz w:val="20"/>
                <w:szCs w:val="20"/>
              </w:rPr>
              <w:t xml:space="preserve">Tier 2 — citation analysis</w:t>
            </w:r>
          </w:p>
        </w:tc>
      </w:tr>
      <w:tr>
        <w:trPr>
          <w:tblHeader w:val="false"/>
        </w:trPr>
        <w:tc>
          <w:tcPr>
            <w:tcW w:type="dxa" w:w="1980"/>
            <w:shd w:fill="FFFFFF" w:color="auto" w:val="clear"/>
          </w:tcPr>
          <w:p>
            <w:r>
              <w:rPr>
                <w:b w:val="false"/>
                <w:bCs w:val="false"/>
                <w:color w:val="222222"/>
                <w:sz w:val="20"/>
                <w:szCs w:val="20"/>
              </w:rPr>
              <w:t xml:space="preserve">Semantic Scholar API</w:t>
            </w:r>
          </w:p>
        </w:tc>
        <w:tc>
          <w:tcPr>
            <w:tcW w:type="dxa" w:w="1980"/>
            <w:shd w:fill="FFFFFF" w:color="auto" w:val="clear"/>
          </w:tcPr>
          <w:p>
            <w:r>
              <w:rPr>
                <w:b w:val="false"/>
                <w:bCs w:val="false"/>
                <w:color w:val="222222"/>
                <w:sz w:val="20"/>
                <w:szCs w:val="20"/>
              </w:rPr>
              <w:t xml:space="preserve">Open citation graph</w:t>
            </w:r>
          </w:p>
        </w:tc>
        <w:tc>
          <w:tcPr>
            <w:tcW w:type="dxa" w:w="2160"/>
            <w:shd w:fill="FFFFFF" w:color="auto" w:val="clear"/>
          </w:tcPr>
          <w:p>
            <w:r>
              <w:rPr>
                <w:b w:val="false"/>
                <w:bCs w:val="false"/>
                <w:color w:val="222222"/>
                <w:sz w:val="20"/>
                <w:szCs w:val="20"/>
              </w:rPr>
              <w:t xml:space="preserve">Open (CC-BY-ND for some)</w:t>
            </w:r>
          </w:p>
        </w:tc>
        <w:tc>
          <w:tcPr>
            <w:tcW w:type="dxa" w:w="3240"/>
            <w:shd w:fill="FFFFFF" w:color="auto" w:val="clear"/>
          </w:tcPr>
          <w:p>
            <w:r>
              <w:rPr>
                <w:b w:val="false"/>
                <w:bCs w:val="false"/>
                <w:color w:val="222222"/>
                <w:sz w:val="20"/>
                <w:szCs w:val="20"/>
              </w:rPr>
              <w:t xml:space="preserve">Tier 1 — citation context</w:t>
            </w:r>
          </w:p>
        </w:tc>
      </w:tr>
      <w:tr>
        <w:trPr>
          <w:tblHeader w:val="false"/>
        </w:trPr>
        <w:tc>
          <w:tcPr>
            <w:tcW w:type="dxa" w:w="1980"/>
            <w:shd w:fill="F8F8F8" w:color="auto" w:val="clear"/>
          </w:tcPr>
          <w:p>
            <w:r>
              <w:rPr>
                <w:b w:val="false"/>
                <w:bCs w:val="false"/>
                <w:color w:val="222222"/>
                <w:sz w:val="20"/>
                <w:szCs w:val="20"/>
              </w:rPr>
              <w:t xml:space="preserve">CrossRef</w:t>
            </w:r>
          </w:p>
        </w:tc>
        <w:tc>
          <w:tcPr>
            <w:tcW w:type="dxa" w:w="1980"/>
            <w:shd w:fill="F8F8F8" w:color="auto" w:val="clear"/>
          </w:tcPr>
          <w:p>
            <w:r>
              <w:rPr>
                <w:b w:val="false"/>
                <w:bCs w:val="false"/>
                <w:color w:val="222222"/>
                <w:sz w:val="20"/>
                <w:szCs w:val="20"/>
              </w:rPr>
              <w:t xml:space="preserve">DOI metadata, citations</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1 — reference resolution</w:t>
            </w:r>
          </w:p>
        </w:tc>
      </w:tr>
      <w:tr>
        <w:trPr>
          <w:tblHeader w:val="false"/>
        </w:trPr>
        <w:tc>
          <w:tcPr>
            <w:tcW w:type="dxa" w:w="1980"/>
            <w:shd w:fill="FFFFFF" w:color="auto" w:val="clear"/>
          </w:tcPr>
          <w:p>
            <w:r>
              <w:rPr>
                <w:b w:val="false"/>
                <w:bCs w:val="false"/>
                <w:color w:val="222222"/>
                <w:sz w:val="20"/>
                <w:szCs w:val="20"/>
              </w:rPr>
              <w:t xml:space="preserve">OpenAlex</w:t>
            </w:r>
          </w:p>
        </w:tc>
        <w:tc>
          <w:tcPr>
            <w:tcW w:type="dxa" w:w="1980"/>
            <w:shd w:fill="FFFFFF" w:color="auto" w:val="clear"/>
          </w:tcPr>
          <w:p>
            <w:r>
              <w:rPr>
                <w:b w:val="false"/>
                <w:bCs w:val="false"/>
                <w:color w:val="222222"/>
                <w:sz w:val="20"/>
                <w:szCs w:val="20"/>
              </w:rPr>
              <w:t xml:space="preserve">Open scholarly graph successor to MAG</w:t>
            </w:r>
          </w:p>
        </w:tc>
        <w:tc>
          <w:tcPr>
            <w:tcW w:type="dxa" w:w="2160"/>
            <w:shd w:fill="FFFFFF" w:color="auto" w:val="clear"/>
          </w:tcPr>
          <w:p>
            <w:r>
              <w:rPr>
                <w:b w:val="false"/>
                <w:bCs w:val="false"/>
                <w:color w:val="222222"/>
                <w:sz w:val="20"/>
                <w:szCs w:val="20"/>
              </w:rPr>
              <w:t xml:space="preserve">CC0</w:t>
            </w:r>
          </w:p>
        </w:tc>
        <w:tc>
          <w:tcPr>
            <w:tcW w:type="dxa" w:w="3240"/>
            <w:shd w:fill="FFFFFF" w:color="auto" w:val="clear"/>
          </w:tcPr>
          <w:p>
            <w:r>
              <w:rPr>
                <w:b w:val="false"/>
                <w:bCs w:val="false"/>
                <w:color w:val="222222"/>
                <w:sz w:val="20"/>
                <w:szCs w:val="20"/>
              </w:rPr>
              <w:t xml:space="preserve">Tier 1 — author + institution graph</w:t>
            </w:r>
          </w:p>
        </w:tc>
      </w:tr>
    </w:tbl>
    <w:p>
      <w:pPr>
        <w:pStyle w:val="Heading2"/>
      </w:pPr>
      <w:r>
        <w:t xml:space="preserve">8.2 Clinical trials and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ClinicalTrials.gov</w:t>
            </w:r>
          </w:p>
        </w:tc>
        <w:tc>
          <w:tcPr>
            <w:tcW w:type="dxa" w:w="1980"/>
            <w:shd w:fill="F8F8F8" w:color="auto" w:val="clear"/>
          </w:tcPr>
          <w:p>
            <w:r>
              <w:rPr>
                <w:b w:val="false"/>
                <w:bCs w:val="false"/>
                <w:color w:val="222222"/>
                <w:sz w:val="20"/>
                <w:szCs w:val="20"/>
              </w:rPr>
              <w:t xml:space="preserve">500K+ trial registrations + results</w:t>
            </w:r>
          </w:p>
        </w:tc>
        <w:tc>
          <w:tcPr>
            <w:tcW w:type="dxa" w:w="2160"/>
            <w:shd w:fill="F8F8F8" w:color="auto" w:val="clear"/>
          </w:tcPr>
          <w:p>
            <w:r>
              <w:rPr>
                <w:b w:val="false"/>
                <w:bCs w:val="false"/>
                <w:color w:val="222222"/>
                <w:sz w:val="20"/>
                <w:szCs w:val="20"/>
              </w:rPr>
              <w:t xml:space="preserve">US gov, free API v2</w:t>
            </w:r>
          </w:p>
        </w:tc>
        <w:tc>
          <w:tcPr>
            <w:tcW w:type="dxa" w:w="3240"/>
            <w:shd w:fill="F8F8F8" w:color="auto" w:val="clear"/>
          </w:tcPr>
          <w:p>
            <w:r>
              <w:rPr>
                <w:b w:val="false"/>
                <w:bCs w:val="false"/>
                <w:color w:val="222222"/>
                <w:sz w:val="20"/>
                <w:szCs w:val="20"/>
              </w:rPr>
              <w:t xml:space="preserve">Tier 1 — trial evidence</w:t>
            </w:r>
          </w:p>
        </w:tc>
      </w:tr>
      <w:tr>
        <w:trPr>
          <w:tblHeader w:val="false"/>
        </w:trPr>
        <w:tc>
          <w:tcPr>
            <w:tcW w:type="dxa" w:w="1980"/>
            <w:shd w:fill="FFFFFF" w:color="auto" w:val="clear"/>
          </w:tcPr>
          <w:p>
            <w:r>
              <w:rPr>
                <w:b w:val="false"/>
                <w:bCs w:val="false"/>
                <w:color w:val="222222"/>
                <w:sz w:val="20"/>
                <w:szCs w:val="20"/>
              </w:rPr>
              <w:t xml:space="preserve">EU Clinical Trials Register</w:t>
            </w:r>
          </w:p>
        </w:tc>
        <w:tc>
          <w:tcPr>
            <w:tcW w:type="dxa" w:w="1980"/>
            <w:shd w:fill="FFFFFF" w:color="auto" w:val="clear"/>
          </w:tcPr>
          <w:p>
            <w:r>
              <w:rPr>
                <w:b w:val="false"/>
                <w:bCs w:val="false"/>
                <w:color w:val="222222"/>
                <w:sz w:val="20"/>
                <w:szCs w:val="20"/>
              </w:rPr>
              <w:t xml:space="preserve">European trials</w:t>
            </w:r>
          </w:p>
        </w:tc>
        <w:tc>
          <w:tcPr>
            <w:tcW w:type="dxa" w:w="2160"/>
            <w:shd w:fill="FFFFFF" w:color="auto" w:val="clear"/>
          </w:tcPr>
          <w:p>
            <w:r>
              <w:rPr>
                <w:b w:val="false"/>
                <w:bCs w:val="false"/>
                <w:color w:val="222222"/>
                <w:sz w:val="20"/>
                <w:szCs w:val="20"/>
              </w:rPr>
              <w:t xml:space="preserve">EMA, free</w:t>
            </w:r>
          </w:p>
        </w:tc>
        <w:tc>
          <w:tcPr>
            <w:tcW w:type="dxa" w:w="3240"/>
            <w:shd w:fill="FFFFFF" w:color="auto" w:val="clear"/>
          </w:tcPr>
          <w:p>
            <w:r>
              <w:rPr>
                <w:b w:val="false"/>
                <w:bCs w:val="false"/>
                <w:color w:val="222222"/>
                <w:sz w:val="20"/>
                <w:szCs w:val="20"/>
              </w:rPr>
              <w:t xml:space="preserve">Tier 1 — European complement</w:t>
            </w:r>
          </w:p>
        </w:tc>
      </w:tr>
      <w:tr>
        <w:trPr>
          <w:tblHeader w:val="false"/>
        </w:trPr>
        <w:tc>
          <w:tcPr>
            <w:tcW w:type="dxa" w:w="1980"/>
            <w:shd w:fill="F8F8F8" w:color="auto" w:val="clear"/>
          </w:tcPr>
          <w:p>
            <w:r>
              <w:rPr>
                <w:b w:val="false"/>
                <w:bCs w:val="false"/>
                <w:color w:val="222222"/>
                <w:sz w:val="20"/>
                <w:szCs w:val="20"/>
              </w:rPr>
              <w:t xml:space="preserve">ISRCTN</w:t>
            </w:r>
          </w:p>
        </w:tc>
        <w:tc>
          <w:tcPr>
            <w:tcW w:type="dxa" w:w="1980"/>
            <w:shd w:fill="F8F8F8" w:color="auto" w:val="clear"/>
          </w:tcPr>
          <w:p>
            <w:r>
              <w:rPr>
                <w:b w:val="false"/>
                <w:bCs w:val="false"/>
                <w:color w:val="222222"/>
                <w:sz w:val="20"/>
                <w:szCs w:val="20"/>
              </w:rPr>
              <w:t xml:space="preserve">International trials</w:t>
            </w:r>
          </w:p>
        </w:tc>
        <w:tc>
          <w:tcPr>
            <w:tcW w:type="dxa" w:w="2160"/>
            <w:shd w:fill="F8F8F8" w:color="auto" w:val="clear"/>
          </w:tcPr>
          <w:p>
            <w:r>
              <w:rPr>
                <w:b w:val="false"/>
                <w:bCs w:val="false"/>
                <w:color w:val="222222"/>
                <w:sz w:val="20"/>
                <w:szCs w:val="20"/>
              </w:rPr>
              <w:t xml:space="preserve">Free</w:t>
            </w:r>
          </w:p>
        </w:tc>
        <w:tc>
          <w:tcPr>
            <w:tcW w:type="dxa" w:w="3240"/>
            <w:shd w:fill="F8F8F8" w:color="auto" w:val="clear"/>
          </w:tcPr>
          <w:p>
            <w:r>
              <w:rPr>
                <w:b w:val="false"/>
                <w:bCs w:val="false"/>
                <w:color w:val="222222"/>
                <w:sz w:val="20"/>
                <w:szCs w:val="20"/>
              </w:rPr>
              <w:t xml:space="preserve">Tier 1 — augment trial coverage</w:t>
            </w:r>
          </w:p>
        </w:tc>
      </w:tr>
      <w:tr>
        <w:trPr>
          <w:tblHeader w:val="false"/>
        </w:trPr>
        <w:tc>
          <w:tcPr>
            <w:tcW w:type="dxa" w:w="1980"/>
            <w:shd w:fill="FFFFFF" w:color="auto" w:val="clear"/>
          </w:tcPr>
          <w:p>
            <w:r>
              <w:rPr>
                <w:b w:val="false"/>
                <w:bCs w:val="false"/>
                <w:color w:val="222222"/>
                <w:sz w:val="20"/>
                <w:szCs w:val="20"/>
              </w:rPr>
              <w:t xml:space="preserve">WHO ICTRP</w:t>
            </w:r>
          </w:p>
        </w:tc>
        <w:tc>
          <w:tcPr>
            <w:tcW w:type="dxa" w:w="1980"/>
            <w:shd w:fill="FFFFFF" w:color="auto" w:val="clear"/>
          </w:tcPr>
          <w:p>
            <w:r>
              <w:rPr>
                <w:b w:val="false"/>
                <w:bCs w:val="false"/>
                <w:color w:val="222222"/>
                <w:sz w:val="20"/>
                <w:szCs w:val="20"/>
              </w:rPr>
              <w:t xml:space="preserve">International trial portal aggregating registries</w:t>
            </w:r>
          </w:p>
        </w:tc>
        <w:tc>
          <w:tcPr>
            <w:tcW w:type="dxa" w:w="2160"/>
            <w:shd w:fill="FFFFFF" w:color="auto" w:val="clear"/>
          </w:tcPr>
          <w:p>
            <w:r>
              <w:rPr>
                <w:b w:val="false"/>
                <w:bCs w:val="false"/>
                <w:color w:val="222222"/>
                <w:sz w:val="20"/>
                <w:szCs w:val="20"/>
              </w:rPr>
              <w:t xml:space="preserve">Free</w:t>
            </w:r>
          </w:p>
        </w:tc>
        <w:tc>
          <w:tcPr>
            <w:tcW w:type="dxa" w:w="3240"/>
            <w:shd w:fill="FFFFFF" w:color="auto" w:val="clear"/>
          </w:tcPr>
          <w:p>
            <w:r>
              <w:rPr>
                <w:b w:val="false"/>
                <w:bCs w:val="false"/>
                <w:color w:val="222222"/>
                <w:sz w:val="20"/>
                <w:szCs w:val="20"/>
              </w:rPr>
              <w:t xml:space="preserve">Tier 1 — global trial signal</w:t>
            </w:r>
          </w:p>
        </w:tc>
      </w:tr>
      <w:tr>
        <w:trPr>
          <w:tblHeader w:val="false"/>
        </w:trPr>
        <w:tc>
          <w:tcPr>
            <w:tcW w:type="dxa" w:w="1980"/>
            <w:shd w:fill="F8F8F8" w:color="auto" w:val="clear"/>
          </w:tcPr>
          <w:p>
            <w:r>
              <w:rPr>
                <w:b w:val="false"/>
                <w:bCs w:val="false"/>
                <w:color w:val="222222"/>
                <w:sz w:val="20"/>
                <w:szCs w:val="20"/>
              </w:rPr>
              <w:t xml:space="preserve">FDA Drugs@FDA</w:t>
            </w:r>
          </w:p>
        </w:tc>
        <w:tc>
          <w:tcPr>
            <w:tcW w:type="dxa" w:w="1980"/>
            <w:shd w:fill="F8F8F8" w:color="auto" w:val="clear"/>
          </w:tcPr>
          <w:p>
            <w:r>
              <w:rPr>
                <w:b w:val="false"/>
                <w:bCs w:val="false"/>
                <w:color w:val="222222"/>
                <w:sz w:val="20"/>
                <w:szCs w:val="20"/>
              </w:rPr>
              <w:t xml:space="preserve">FDA-approved drug labels and approval history</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1 — regulatory ground truth</w:t>
            </w:r>
          </w:p>
        </w:tc>
      </w:tr>
      <w:tr>
        <w:trPr>
          <w:tblHeader w:val="false"/>
        </w:trPr>
        <w:tc>
          <w:tcPr>
            <w:tcW w:type="dxa" w:w="1980"/>
            <w:shd w:fill="FFFFFF" w:color="auto" w:val="clear"/>
          </w:tcPr>
          <w:p>
            <w:r>
              <w:rPr>
                <w:b w:val="false"/>
                <w:bCs w:val="false"/>
                <w:color w:val="222222"/>
                <w:sz w:val="20"/>
                <w:szCs w:val="20"/>
              </w:rPr>
              <w:t xml:space="preserve">FDA Orange Book</w:t>
            </w:r>
          </w:p>
        </w:tc>
        <w:tc>
          <w:tcPr>
            <w:tcW w:type="dxa" w:w="1980"/>
            <w:shd w:fill="FFFFFF" w:color="auto" w:val="clear"/>
          </w:tcPr>
          <w:p>
            <w:r>
              <w:rPr>
                <w:b w:val="false"/>
                <w:bCs w:val="false"/>
                <w:color w:val="222222"/>
                <w:sz w:val="20"/>
                <w:szCs w:val="20"/>
              </w:rPr>
              <w:t xml:space="preserve">Approved drug products + patent</w:t>
            </w:r>
          </w:p>
        </w:tc>
        <w:tc>
          <w:tcPr>
            <w:tcW w:type="dxa" w:w="2160"/>
            <w:shd w:fill="FFFFFF" w:color="auto" w:val="clear"/>
          </w:tcPr>
          <w:p>
            <w:r>
              <w:rPr>
                <w:b w:val="false"/>
                <w:bCs w:val="false"/>
                <w:color w:val="222222"/>
                <w:sz w:val="20"/>
                <w:szCs w:val="20"/>
              </w:rPr>
              <w:t xml:space="preserve">Public domain</w:t>
            </w:r>
          </w:p>
        </w:tc>
        <w:tc>
          <w:tcPr>
            <w:tcW w:type="dxa" w:w="3240"/>
            <w:shd w:fill="FFFFFF" w:color="auto" w:val="clear"/>
          </w:tcPr>
          <w:p>
            <w:r>
              <w:rPr>
                <w:b w:val="false"/>
                <w:bCs w:val="false"/>
                <w:color w:val="222222"/>
                <w:sz w:val="20"/>
                <w:szCs w:val="20"/>
              </w:rPr>
              <w:t xml:space="preserve">Tier 1 — repurposing target list</w:t>
            </w:r>
          </w:p>
        </w:tc>
      </w:tr>
      <w:tr>
        <w:trPr>
          <w:tblHeader w:val="false"/>
        </w:trPr>
        <w:tc>
          <w:tcPr>
            <w:tcW w:type="dxa" w:w="1980"/>
            <w:shd w:fill="F8F8F8" w:color="auto" w:val="clear"/>
          </w:tcPr>
          <w:p>
            <w:r>
              <w:rPr>
                <w:b w:val="false"/>
                <w:bCs w:val="false"/>
                <w:color w:val="222222"/>
                <w:sz w:val="20"/>
                <w:szCs w:val="20"/>
              </w:rPr>
              <w:t xml:space="preserve">FDA Purple Book</w:t>
            </w:r>
          </w:p>
        </w:tc>
        <w:tc>
          <w:tcPr>
            <w:tcW w:type="dxa" w:w="1980"/>
            <w:shd w:fill="F8F8F8" w:color="auto" w:val="clear"/>
          </w:tcPr>
          <w:p>
            <w:r>
              <w:rPr>
                <w:b w:val="false"/>
                <w:bCs w:val="false"/>
                <w:color w:val="222222"/>
                <w:sz w:val="20"/>
                <w:szCs w:val="20"/>
              </w:rPr>
              <w:t xml:space="preserve">Biologics</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2</w:t>
            </w:r>
          </w:p>
        </w:tc>
      </w:tr>
      <w:tr>
        <w:trPr>
          <w:tblHeader w:val="false"/>
        </w:trPr>
        <w:tc>
          <w:tcPr>
            <w:tcW w:type="dxa" w:w="1980"/>
            <w:shd w:fill="FFFFFF" w:color="auto" w:val="clear"/>
          </w:tcPr>
          <w:p>
            <w:r>
              <w:rPr>
                <w:b w:val="false"/>
                <w:bCs w:val="false"/>
                <w:color w:val="222222"/>
                <w:sz w:val="20"/>
                <w:szCs w:val="20"/>
              </w:rPr>
              <w:t xml:space="preserve">FDA AERS / FAERS via openFDA</w:t>
            </w:r>
          </w:p>
        </w:tc>
        <w:tc>
          <w:tcPr>
            <w:tcW w:type="dxa" w:w="1980"/>
            <w:shd w:fill="FFFFFF" w:color="auto" w:val="clear"/>
          </w:tcPr>
          <w:p>
            <w:r>
              <w:rPr>
                <w:b w:val="false"/>
                <w:bCs w:val="false"/>
                <w:color w:val="222222"/>
                <w:sz w:val="20"/>
                <w:szCs w:val="20"/>
              </w:rPr>
              <w:t xml:space="preserve">Adverse events</w:t>
            </w:r>
          </w:p>
        </w:tc>
        <w:tc>
          <w:tcPr>
            <w:tcW w:type="dxa" w:w="2160"/>
            <w:shd w:fill="FFFFFF" w:color="auto" w:val="clear"/>
          </w:tcPr>
          <w:p>
            <w:r>
              <w:rPr>
                <w:b w:val="false"/>
                <w:bCs w:val="false"/>
                <w:color w:val="222222"/>
                <w:sz w:val="20"/>
                <w:szCs w:val="20"/>
              </w:rPr>
              <w:t xml:space="preserve">Public domain, free API</w:t>
            </w:r>
          </w:p>
        </w:tc>
        <w:tc>
          <w:tcPr>
            <w:tcW w:type="dxa" w:w="3240"/>
            <w:shd w:fill="FFFFFF" w:color="auto" w:val="clear"/>
          </w:tcPr>
          <w:p>
            <w:r>
              <w:rPr>
                <w:b w:val="false"/>
                <w:bCs w:val="false"/>
                <w:color w:val="222222"/>
                <w:sz w:val="20"/>
                <w:szCs w:val="20"/>
              </w:rPr>
              <w:t xml:space="preserve">Tier 1 — safety signal</w:t>
            </w:r>
          </w:p>
        </w:tc>
      </w:tr>
      <w:tr>
        <w:trPr>
          <w:tblHeader w:val="false"/>
        </w:trPr>
        <w:tc>
          <w:tcPr>
            <w:tcW w:type="dxa" w:w="1980"/>
            <w:shd w:fill="F8F8F8" w:color="auto" w:val="clear"/>
          </w:tcPr>
          <w:p>
            <w:r>
              <w:rPr>
                <w:b w:val="false"/>
                <w:bCs w:val="false"/>
                <w:color w:val="222222"/>
                <w:sz w:val="20"/>
                <w:szCs w:val="20"/>
              </w:rPr>
              <w:t xml:space="preserve">EudraVigilance</w:t>
            </w:r>
          </w:p>
        </w:tc>
        <w:tc>
          <w:tcPr>
            <w:tcW w:type="dxa" w:w="1980"/>
            <w:shd w:fill="F8F8F8" w:color="auto" w:val="clear"/>
          </w:tcPr>
          <w:p>
            <w:r>
              <w:rPr>
                <w:b w:val="false"/>
                <w:bCs w:val="false"/>
                <w:color w:val="222222"/>
                <w:sz w:val="20"/>
                <w:szCs w:val="20"/>
              </w:rPr>
              <w:t xml:space="preserve">EU adverse events</w:t>
            </w:r>
          </w:p>
        </w:tc>
        <w:tc>
          <w:tcPr>
            <w:tcW w:type="dxa" w:w="2160"/>
            <w:shd w:fill="F8F8F8" w:color="auto" w:val="clear"/>
          </w:tcPr>
          <w:p>
            <w:r>
              <w:rPr>
                <w:b w:val="false"/>
                <w:bCs w:val="false"/>
                <w:color w:val="222222"/>
                <w:sz w:val="20"/>
                <w:szCs w:val="20"/>
              </w:rPr>
              <w:t xml:space="preserve">EMA, free</w:t>
            </w:r>
          </w:p>
        </w:tc>
        <w:tc>
          <w:tcPr>
            <w:tcW w:type="dxa" w:w="3240"/>
            <w:shd w:fill="F8F8F8" w:color="auto" w:val="clear"/>
          </w:tcPr>
          <w:p>
            <w:r>
              <w:rPr>
                <w:b w:val="false"/>
                <w:bCs w:val="false"/>
                <w:color w:val="222222"/>
                <w:sz w:val="20"/>
                <w:szCs w:val="20"/>
              </w:rPr>
              <w:t xml:space="preserve">Tier 1 — safety complement</w:t>
            </w:r>
          </w:p>
        </w:tc>
      </w:tr>
      <w:tr>
        <w:trPr>
          <w:tblHeader w:val="false"/>
        </w:trPr>
        <w:tc>
          <w:tcPr>
            <w:tcW w:type="dxa" w:w="1980"/>
            <w:shd w:fill="FFFFFF" w:color="auto" w:val="clear"/>
          </w:tcPr>
          <w:p>
            <w:r>
              <w:rPr>
                <w:b w:val="false"/>
                <w:bCs w:val="false"/>
                <w:color w:val="222222"/>
                <w:sz w:val="20"/>
                <w:szCs w:val="20"/>
              </w:rPr>
              <w:t xml:space="preserve">Health Canada Drug Database</w:t>
            </w:r>
          </w:p>
        </w:tc>
        <w:tc>
          <w:tcPr>
            <w:tcW w:type="dxa" w:w="1980"/>
            <w:shd w:fill="FFFFFF" w:color="auto" w:val="clear"/>
          </w:tcPr>
          <w:p>
            <w:r>
              <w:rPr>
                <w:b w:val="false"/>
                <w:bCs w:val="false"/>
                <w:color w:val="222222"/>
                <w:sz w:val="20"/>
                <w:szCs w:val="20"/>
              </w:rPr>
              <w:t xml:space="preserve">CA approvals</w:t>
            </w:r>
          </w:p>
        </w:tc>
        <w:tc>
          <w:tcPr>
            <w:tcW w:type="dxa" w:w="2160"/>
            <w:shd w:fill="FFFFFF" w:color="auto" w:val="clear"/>
          </w:tcPr>
          <w:p>
            <w:r>
              <w:rPr>
                <w:b w:val="false"/>
                <w:bCs w:val="false"/>
                <w:color w:val="222222"/>
                <w:sz w:val="20"/>
                <w:szCs w:val="20"/>
              </w:rPr>
              <w:t xml:space="preserve">Public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1980"/>
            <w:shd w:fill="F8F8F8" w:color="auto" w:val="clear"/>
          </w:tcPr>
          <w:p>
            <w:r>
              <w:rPr>
                <w:b w:val="false"/>
                <w:bCs w:val="false"/>
                <w:color w:val="222222"/>
                <w:sz w:val="20"/>
                <w:szCs w:val="20"/>
              </w:rPr>
              <w:t xml:space="preserve">FDA Sentinel</w:t>
            </w:r>
          </w:p>
        </w:tc>
        <w:tc>
          <w:tcPr>
            <w:tcW w:type="dxa" w:w="1980"/>
            <w:shd w:fill="F8F8F8" w:color="auto" w:val="clear"/>
          </w:tcPr>
          <w:p>
            <w:r>
              <w:rPr>
                <w:b w:val="false"/>
                <w:bCs w:val="false"/>
                <w:color w:val="222222"/>
                <w:sz w:val="20"/>
                <w:szCs w:val="20"/>
              </w:rPr>
              <w:t xml:space="preserve">Active surveillance EHR-linked</w:t>
            </w:r>
          </w:p>
        </w:tc>
        <w:tc>
          <w:tcPr>
            <w:tcW w:type="dxa" w:w="2160"/>
            <w:shd w:fill="F8F8F8" w:color="auto" w:val="clear"/>
          </w:tcPr>
          <w:p>
            <w:r>
              <w:rPr>
                <w:b w:val="false"/>
                <w:bCs w:val="false"/>
                <w:color w:val="222222"/>
                <w:sz w:val="20"/>
                <w:szCs w:val="20"/>
              </w:rPr>
              <w:t xml:space="preserve">Restricted access</w:t>
            </w:r>
          </w:p>
        </w:tc>
        <w:tc>
          <w:tcPr>
            <w:tcW w:type="dxa" w:w="3240"/>
            <w:shd w:fill="F8F8F8" w:color="auto" w:val="clear"/>
          </w:tcPr>
          <w:p>
            <w:r>
              <w:rPr>
                <w:b w:val="false"/>
                <w:bCs w:val="false"/>
                <w:color w:val="222222"/>
                <w:sz w:val="20"/>
                <w:szCs w:val="20"/>
              </w:rPr>
              <w:t xml:space="preserve">Tier 3</w:t>
            </w:r>
          </w:p>
        </w:tc>
      </w:tr>
    </w:tbl>
    <w:p>
      <w:pPr>
        <w:pStyle w:val="Heading2"/>
      </w:pPr>
      <w:r>
        <w:t xml:space="preserve">8.3 Drug and chemistry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2160"/>
        <w:gridCol w:w="3240"/>
      </w:tblGrid>
      <w:tr>
        <w:trPr>
          <w:tblHeader/>
        </w:trPr>
        <w:tc>
          <w:tcPr>
            <w:tcW w:type="dxa" w:w="198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Coverage</w:t>
            </w:r>
          </w:p>
        </w:tc>
        <w:tc>
          <w:tcPr>
            <w:tcW w:type="dxa" w:w="2160"/>
            <w:shd w:fill="7A1F3D" w:color="auto" w:val="clear"/>
          </w:tcPr>
          <w:p>
            <w:r>
              <w:rPr>
                <w:b/>
                <w:bCs/>
                <w:color w:val="FFFFFF"/>
                <w:sz w:val="20"/>
                <w:szCs w:val="20"/>
              </w:rPr>
              <w:t xml:space="preserve">License / cost</w:t>
            </w:r>
          </w:p>
        </w:tc>
        <w:tc>
          <w:tcPr>
            <w:tcW w:type="dxa" w:w="3240"/>
            <w:shd w:fill="7A1F3D" w:color="auto" w:val="clear"/>
          </w:tcPr>
          <w:p>
            <w:r>
              <w:rPr>
                <w:b/>
                <w:bCs/>
                <w:color w:val="FFFFFF"/>
                <w:sz w:val="20"/>
                <w:szCs w:val="20"/>
              </w:rPr>
              <w:t xml:space="preserve">Role in Whel</w:t>
            </w:r>
          </w:p>
        </w:tc>
      </w:tr>
      <w:tr>
        <w:trPr>
          <w:tblHeader w:val="false"/>
        </w:trPr>
        <w:tc>
          <w:tcPr>
            <w:tcW w:type="dxa" w:w="1980"/>
            <w:shd w:fill="F8F8F8" w:color="auto" w:val="clear"/>
          </w:tcPr>
          <w:p>
            <w:r>
              <w:rPr>
                <w:b w:val="false"/>
                <w:bCs w:val="false"/>
                <w:color w:val="222222"/>
                <w:sz w:val="20"/>
                <w:szCs w:val="20"/>
              </w:rPr>
              <w:t xml:space="preserve">DrugBank Open</w:t>
            </w:r>
          </w:p>
        </w:tc>
        <w:tc>
          <w:tcPr>
            <w:tcW w:type="dxa" w:w="1980"/>
            <w:shd w:fill="F8F8F8" w:color="auto" w:val="clear"/>
          </w:tcPr>
          <w:p>
            <w:r>
              <w:rPr>
                <w:b w:val="false"/>
                <w:bCs w:val="false"/>
                <w:color w:val="222222"/>
                <w:sz w:val="20"/>
                <w:szCs w:val="20"/>
              </w:rPr>
              <w:t xml:space="preserve">Approved drugs, mechanisms, targets, interactions</w:t>
            </w:r>
          </w:p>
        </w:tc>
        <w:tc>
          <w:tcPr>
            <w:tcW w:type="dxa" w:w="2160"/>
            <w:shd w:fill="F8F8F8" w:color="auto" w:val="clear"/>
          </w:tcPr>
          <w:p>
            <w:r>
              <w:rPr>
                <w:b w:val="false"/>
                <w:bCs w:val="false"/>
                <w:color w:val="222222"/>
                <w:sz w:val="20"/>
                <w:szCs w:val="20"/>
              </w:rPr>
              <w:t xml:space="preserve">CC-BY-NC 4.0 (academic free)</w:t>
            </w:r>
          </w:p>
        </w:tc>
        <w:tc>
          <w:tcPr>
            <w:tcW w:type="dxa" w:w="3240"/>
            <w:shd w:fill="F8F8F8" w:color="auto" w:val="clear"/>
          </w:tcPr>
          <w:p>
            <w:r>
              <w:rPr>
                <w:b w:val="false"/>
                <w:bCs w:val="false"/>
                <w:color w:val="222222"/>
                <w:sz w:val="20"/>
                <w:szCs w:val="20"/>
              </w:rPr>
              <w:t xml:space="preserve">Tier 1 — drug ground truth</w:t>
            </w:r>
          </w:p>
        </w:tc>
      </w:tr>
      <w:tr>
        <w:trPr>
          <w:tblHeader w:val="false"/>
        </w:trPr>
        <w:tc>
          <w:tcPr>
            <w:tcW w:type="dxa" w:w="1980"/>
            <w:shd w:fill="FFFFFF" w:color="auto" w:val="clear"/>
          </w:tcPr>
          <w:p>
            <w:r>
              <w:rPr>
                <w:b w:val="false"/>
                <w:bCs w:val="false"/>
                <w:color w:val="222222"/>
                <w:sz w:val="20"/>
                <w:szCs w:val="20"/>
              </w:rPr>
              <w:t xml:space="preserve">ChEMBL (EBI)</w:t>
            </w:r>
          </w:p>
        </w:tc>
        <w:tc>
          <w:tcPr>
            <w:tcW w:type="dxa" w:w="1980"/>
            <w:shd w:fill="FFFFFF" w:color="auto" w:val="clear"/>
          </w:tcPr>
          <w:p>
            <w:r>
              <w:rPr>
                <w:b w:val="false"/>
                <w:bCs w:val="false"/>
                <w:color w:val="222222"/>
                <w:sz w:val="20"/>
                <w:szCs w:val="20"/>
              </w:rPr>
              <w:t xml:space="preserve">Bioactivity for drug-like molecules</w:t>
            </w:r>
          </w:p>
        </w:tc>
        <w:tc>
          <w:tcPr>
            <w:tcW w:type="dxa" w:w="2160"/>
            <w:shd w:fill="FFFFFF" w:color="auto" w:val="clear"/>
          </w:tcPr>
          <w:p>
            <w:r>
              <w:rPr>
                <w:b w:val="false"/>
                <w:bCs w:val="false"/>
                <w:color w:val="222222"/>
                <w:sz w:val="20"/>
                <w:szCs w:val="20"/>
              </w:rPr>
              <w:t xml:space="preserve">CC-BY-SA</w:t>
            </w:r>
          </w:p>
        </w:tc>
        <w:tc>
          <w:tcPr>
            <w:tcW w:type="dxa" w:w="3240"/>
            <w:shd w:fill="FFFFFF" w:color="auto" w:val="clear"/>
          </w:tcPr>
          <w:p>
            <w:r>
              <w:rPr>
                <w:b w:val="false"/>
                <w:bCs w:val="false"/>
                <w:color w:val="222222"/>
                <w:sz w:val="20"/>
                <w:szCs w:val="20"/>
              </w:rPr>
              <w:t xml:space="preserve">Tier 1 — target activity</w:t>
            </w:r>
          </w:p>
        </w:tc>
      </w:tr>
      <w:tr>
        <w:trPr>
          <w:tblHeader w:val="false"/>
        </w:trPr>
        <w:tc>
          <w:tcPr>
            <w:tcW w:type="dxa" w:w="1980"/>
            <w:shd w:fill="F8F8F8" w:color="auto" w:val="clear"/>
          </w:tcPr>
          <w:p>
            <w:r>
              <w:rPr>
                <w:b w:val="false"/>
                <w:bCs w:val="false"/>
                <w:color w:val="222222"/>
                <w:sz w:val="20"/>
                <w:szCs w:val="20"/>
              </w:rPr>
              <w:t xml:space="preserve">PubChem</w:t>
            </w:r>
          </w:p>
        </w:tc>
        <w:tc>
          <w:tcPr>
            <w:tcW w:type="dxa" w:w="1980"/>
            <w:shd w:fill="F8F8F8" w:color="auto" w:val="clear"/>
          </w:tcPr>
          <w:p>
            <w:r>
              <w:rPr>
                <w:b w:val="false"/>
                <w:bCs w:val="false"/>
                <w:color w:val="222222"/>
                <w:sz w:val="20"/>
                <w:szCs w:val="20"/>
              </w:rPr>
              <w:t xml:space="preserve">Chemicals, bioassays</w:t>
            </w:r>
          </w:p>
        </w:tc>
        <w:tc>
          <w:tcPr>
            <w:tcW w:type="dxa" w:w="2160"/>
            <w:shd w:fill="F8F8F8" w:color="auto" w:val="clear"/>
          </w:tcPr>
          <w:p>
            <w:r>
              <w:rPr>
                <w:b w:val="false"/>
                <w:bCs w:val="false"/>
                <w:color w:val="222222"/>
                <w:sz w:val="20"/>
                <w:szCs w:val="20"/>
              </w:rPr>
              <w:t xml:space="preserve">Public domain</w:t>
            </w:r>
          </w:p>
        </w:tc>
        <w:tc>
          <w:tcPr>
            <w:tcW w:type="dxa" w:w="3240"/>
            <w:shd w:fill="F8F8F8" w:color="auto" w:val="clear"/>
          </w:tcPr>
          <w:p>
            <w:r>
              <w:rPr>
                <w:b w:val="false"/>
                <w:bCs w:val="false"/>
                <w:color w:val="222222"/>
                <w:sz w:val="20"/>
                <w:szCs w:val="20"/>
              </w:rPr>
              <w:t xml:space="preserve">Tier 1 — chemistry</w:t>
            </w:r>
          </w:p>
        </w:tc>
      </w:tr>
      <w:tr>
        <w:trPr>
          <w:tblHeader w:val="false"/>
        </w:trPr>
        <w:tc>
          <w:tcPr>
            <w:tcW w:type="dxa" w:w="1980"/>
            <w:shd w:fill="FFFFFF" w:color="auto" w:val="clear"/>
          </w:tcPr>
          <w:p>
            <w:r>
              <w:rPr>
                <w:b w:val="false"/>
                <w:bCs w:val="false"/>
                <w:color w:val="222222"/>
                <w:sz w:val="20"/>
                <w:szCs w:val="20"/>
              </w:rPr>
              <w:t xml:space="preserve">DGIdb</w:t>
            </w:r>
          </w:p>
        </w:tc>
        <w:tc>
          <w:tcPr>
            <w:tcW w:type="dxa" w:w="1980"/>
            <w:shd w:fill="FFFFFF" w:color="auto" w:val="clear"/>
          </w:tcPr>
          <w:p>
            <w:r>
              <w:rPr>
                <w:b w:val="false"/>
                <w:bCs w:val="false"/>
                <w:color w:val="222222"/>
                <w:sz w:val="20"/>
                <w:szCs w:val="20"/>
              </w:rPr>
              <w:t xml:space="preserve">Drug–gene interactions</w:t>
            </w:r>
          </w:p>
        </w:tc>
        <w:tc>
          <w:tcPr>
            <w:tcW w:type="dxa" w:w="2160"/>
            <w:shd w:fill="FFFFFF" w:color="auto" w:val="clear"/>
          </w:tcPr>
          <w:p>
            <w:r>
              <w:rPr>
                <w:b w:val="false"/>
                <w:bCs w:val="false"/>
                <w:color w:val="222222"/>
                <w:sz w:val="20"/>
                <w:szCs w:val="20"/>
              </w:rPr>
              <w:t xml:space="preserve">Open</w:t>
            </w:r>
          </w:p>
        </w:tc>
        <w:tc>
          <w:tcPr>
            <w:tcW w:type="dxa" w:w="3240"/>
            <w:shd w:fill="FFFFFF" w:color="auto" w:val="clear"/>
          </w:tcPr>
          <w:p>
            <w:r>
              <w:rPr>
                <w:b w:val="false"/>
                <w:bCs w:val="false"/>
                <w:color w:val="222222"/>
                <w:sz w:val="20"/>
                <w:szCs w:val="20"/>
              </w:rPr>
              <w:t xml:space="preserve">Tier 1 — repurposing input</w:t>
            </w:r>
          </w:p>
        </w:tc>
      </w:tr>
      <w:tr>
        <w:trPr>
          <w:tblHeader w:val="false"/>
        </w:trPr>
        <w:tc>
          <w:tcPr>
            <w:tcW w:type="dxa" w:w="1980"/>
            <w:shd w:fill="F8F8F8" w:color="auto" w:val="clear"/>
          </w:tcPr>
          <w:p>
            <w:r>
              <w:rPr>
                <w:b w:val="false"/>
                <w:bCs w:val="false"/>
                <w:color w:val="222222"/>
                <w:sz w:val="20"/>
                <w:szCs w:val="20"/>
              </w:rPr>
              <w:t xml:space="preserve">SIDER</w:t>
            </w:r>
          </w:p>
        </w:tc>
        <w:tc>
          <w:tcPr>
            <w:tcW w:type="dxa" w:w="1980"/>
            <w:shd w:fill="F8F8F8" w:color="auto" w:val="clear"/>
          </w:tcPr>
          <w:p>
            <w:r>
              <w:rPr>
                <w:b w:val="false"/>
                <w:bCs w:val="false"/>
                <w:color w:val="222222"/>
                <w:sz w:val="20"/>
                <w:szCs w:val="20"/>
              </w:rPr>
              <w:t xml:space="preserve">Drug side effects mined from labels</w:t>
            </w:r>
          </w:p>
        </w:tc>
        <w:tc>
          <w:tcPr>
            <w:tcW w:type="dxa" w:w="2160"/>
            <w:shd w:fill="F8F8F8" w:color="auto" w:val="clear"/>
          </w:tcPr>
          <w:p>
            <w:r>
              <w:rPr>
                <w:b w:val="false"/>
                <w:bCs w:val="false"/>
                <w:color w:val="222222"/>
                <w:sz w:val="20"/>
                <w:szCs w:val="20"/>
              </w:rPr>
              <w:t xml:space="preserve">CC-BY-NC-SA</w:t>
            </w:r>
          </w:p>
        </w:tc>
        <w:tc>
          <w:tcPr>
            <w:tcW w:type="dxa" w:w="3240"/>
            <w:shd w:fill="F8F8F8" w:color="auto" w:val="clear"/>
          </w:tcPr>
          <w:p>
            <w:r>
              <w:rPr>
                <w:b w:val="false"/>
                <w:bCs w:val="false"/>
                <w:color w:val="222222"/>
                <w:sz w:val="20"/>
                <w:szCs w:val="20"/>
              </w:rPr>
              <w:t xml:space="preserve">Tier 1 — known AE baselines</w:t>
            </w:r>
          </w:p>
        </w:tc>
      </w:tr>
      <w:tr>
        <w:trPr>
          <w:tblHeader w:val="false"/>
        </w:trPr>
        <w:tc>
          <w:tcPr>
            <w:tcW w:type="dxa" w:w="1980"/>
            <w:shd w:fill="FFFFFF" w:color="auto" w:val="clear"/>
          </w:tcPr>
          <w:p>
            <w:r>
              <w:rPr>
                <w:b w:val="false"/>
                <w:bCs w:val="false"/>
                <w:color w:val="222222"/>
                <w:sz w:val="20"/>
                <w:szCs w:val="20"/>
              </w:rPr>
              <w:t xml:space="preserve">OFFSIDES / TWOSIDES</w:t>
            </w:r>
          </w:p>
        </w:tc>
        <w:tc>
          <w:tcPr>
            <w:tcW w:type="dxa" w:w="1980"/>
            <w:shd w:fill="FFFFFF" w:color="auto" w:val="clear"/>
          </w:tcPr>
          <w:p>
            <w:r>
              <w:rPr>
                <w:b w:val="false"/>
                <w:bCs w:val="false"/>
                <w:color w:val="222222"/>
                <w:sz w:val="20"/>
                <w:szCs w:val="20"/>
              </w:rPr>
              <w:t xml:space="preserve">Off-label + drug-drug AE</w:t>
            </w:r>
          </w:p>
        </w:tc>
        <w:tc>
          <w:tcPr>
            <w:tcW w:type="dxa" w:w="2160"/>
            <w:shd w:fill="FFFFFF" w:color="auto" w:val="clear"/>
          </w:tcPr>
          <w:p>
            <w:r>
              <w:rPr>
                <w:b w:val="false"/>
                <w:bCs w:val="false"/>
                <w:color w:val="222222"/>
                <w:sz w:val="20"/>
                <w:szCs w:val="20"/>
              </w:rPr>
              <w:t xml:space="preserve">Academic</w:t>
            </w:r>
          </w:p>
        </w:tc>
        <w:tc>
          <w:tcPr>
            <w:tcW w:type="dxa" w:w="3240"/>
            <w:shd w:fill="FFFFFF" w:color="auto" w:val="clear"/>
          </w:tcPr>
          <w:p>
            <w:r>
              <w:rPr>
                <w:b w:val="false"/>
                <w:bCs w:val="false"/>
                <w:color w:val="222222"/>
                <w:sz w:val="20"/>
                <w:szCs w:val="20"/>
              </w:rPr>
              <w:t xml:space="preserve">Tier 2 — off-label signal</w:t>
            </w:r>
          </w:p>
        </w:tc>
      </w:tr>
      <w:tr>
        <w:trPr>
          <w:tblHeader w:val="false"/>
        </w:trPr>
        <w:tc>
          <w:tcPr>
            <w:tcW w:type="dxa" w:w="1980"/>
            <w:shd w:fill="F8F8F8" w:color="auto" w:val="clear"/>
          </w:tcPr>
          <w:p>
            <w:r>
              <w:rPr>
                <w:b w:val="false"/>
                <w:bCs w:val="false"/>
                <w:color w:val="222222"/>
                <w:sz w:val="20"/>
                <w:szCs w:val="20"/>
              </w:rPr>
              <w:t xml:space="preserve">RxNorm</w:t>
            </w:r>
          </w:p>
        </w:tc>
        <w:tc>
          <w:tcPr>
            <w:tcW w:type="dxa" w:w="1980"/>
            <w:shd w:fill="F8F8F8" w:color="auto" w:val="clear"/>
          </w:tcPr>
          <w:p>
            <w:r>
              <w:rPr>
                <w:b w:val="false"/>
                <w:bCs w:val="false"/>
                <w:color w:val="222222"/>
                <w:sz w:val="20"/>
                <w:szCs w:val="20"/>
              </w:rPr>
              <w:t xml:space="preserve">Drug name normalization</w:t>
            </w:r>
          </w:p>
        </w:tc>
        <w:tc>
          <w:tcPr>
            <w:tcW w:type="dxa" w:w="2160"/>
            <w:shd w:fill="F8F8F8" w:color="auto" w:val="clear"/>
          </w:tcPr>
          <w:p>
            <w:r>
              <w:rPr>
                <w:b w:val="false"/>
                <w:bCs w:val="false"/>
                <w:color w:val="222222"/>
                <w:sz w:val="20"/>
                <w:szCs w:val="20"/>
              </w:rPr>
              <w:t xml:space="preserve">Public domain (NLM)</w:t>
            </w:r>
          </w:p>
        </w:tc>
        <w:tc>
          <w:tcPr>
            <w:tcW w:type="dxa" w:w="3240"/>
            <w:shd w:fill="F8F8F8" w:color="auto" w:val="clear"/>
          </w:tcPr>
          <w:p>
            <w:r>
              <w:rPr>
                <w:b w:val="false"/>
                <w:bCs w:val="false"/>
                <w:color w:val="222222"/>
                <w:sz w:val="20"/>
                <w:szCs w:val="20"/>
              </w:rPr>
              <w:t xml:space="preserve">Tier 1 — entity resolution</w:t>
            </w:r>
          </w:p>
        </w:tc>
      </w:tr>
      <w:tr>
        <w:trPr>
          <w:tblHeader w:val="false"/>
        </w:trPr>
        <w:tc>
          <w:tcPr>
            <w:tcW w:type="dxa" w:w="1980"/>
            <w:shd w:fill="FFFFFF" w:color="auto" w:val="clear"/>
          </w:tcPr>
          <w:p>
            <w:r>
              <w:rPr>
                <w:b w:val="false"/>
                <w:bCs w:val="false"/>
                <w:color w:val="222222"/>
                <w:sz w:val="20"/>
                <w:szCs w:val="20"/>
              </w:rPr>
              <w:t xml:space="preserve">ATC classification (WHOCC)</w:t>
            </w:r>
          </w:p>
        </w:tc>
        <w:tc>
          <w:tcPr>
            <w:tcW w:type="dxa" w:w="1980"/>
            <w:shd w:fill="FFFFFF" w:color="auto" w:val="clear"/>
          </w:tcPr>
          <w:p>
            <w:r>
              <w:rPr>
                <w:b w:val="false"/>
                <w:bCs w:val="false"/>
                <w:color w:val="222222"/>
                <w:sz w:val="20"/>
                <w:szCs w:val="20"/>
              </w:rPr>
              <w:t xml:space="preserve">Drug therapeutic classes</w:t>
            </w:r>
          </w:p>
        </w:tc>
        <w:tc>
          <w:tcPr>
            <w:tcW w:type="dxa" w:w="2160"/>
            <w:shd w:fill="FFFFFF" w:color="auto" w:val="clear"/>
          </w:tcPr>
          <w:p>
            <w:r>
              <w:rPr>
                <w:b w:val="false"/>
                <w:bCs w:val="false"/>
                <w:color w:val="222222"/>
                <w:sz w:val="20"/>
                <w:szCs w:val="20"/>
              </w:rPr>
              <w:t xml:space="preserve">Free</w:t>
            </w:r>
          </w:p>
        </w:tc>
        <w:tc>
          <w:tcPr>
            <w:tcW w:type="dxa" w:w="3240"/>
            <w:shd w:fill="FFFFFF" w:color="auto" w:val="clear"/>
          </w:tcPr>
          <w:p>
            <w:r>
              <w:rPr>
                <w:b w:val="false"/>
                <w:bCs w:val="false"/>
                <w:color w:val="222222"/>
                <w:sz w:val="20"/>
                <w:szCs w:val="20"/>
              </w:rPr>
              <w:t xml:space="preserve">Tier 1 — drug ontology</w:t>
            </w:r>
          </w:p>
        </w:tc>
      </w:tr>
      <w:tr>
        <w:trPr>
          <w:tblHeader w:val="false"/>
        </w:trPr>
        <w:tc>
          <w:tcPr>
            <w:tcW w:type="dxa" w:w="1980"/>
            <w:shd w:fill="F8F8F8" w:color="auto" w:val="clear"/>
          </w:tcPr>
          <w:p>
            <w:r>
              <w:rPr>
                <w:b w:val="false"/>
                <w:bCs w:val="false"/>
                <w:color w:val="222222"/>
                <w:sz w:val="20"/>
                <w:szCs w:val="20"/>
              </w:rPr>
              <w:t xml:space="preserve">Open Targets</w:t>
            </w:r>
          </w:p>
        </w:tc>
        <w:tc>
          <w:tcPr>
            <w:tcW w:type="dxa" w:w="1980"/>
            <w:shd w:fill="F8F8F8" w:color="auto" w:val="clear"/>
          </w:tcPr>
          <w:p>
            <w:r>
              <w:rPr>
                <w:b w:val="false"/>
                <w:bCs w:val="false"/>
                <w:color w:val="222222"/>
                <w:sz w:val="20"/>
                <w:szCs w:val="20"/>
              </w:rPr>
              <w:t xml:space="preserve">Target-disease evidence integration</w:t>
            </w:r>
          </w:p>
        </w:tc>
        <w:tc>
          <w:tcPr>
            <w:tcW w:type="dxa" w:w="2160"/>
            <w:shd w:fill="F8F8F8" w:color="auto" w:val="clear"/>
          </w:tcPr>
          <w:p>
            <w:r>
              <w:rPr>
                <w:b w:val="false"/>
                <w:bCs w:val="false"/>
                <w:color w:val="222222"/>
                <w:sz w:val="20"/>
                <w:szCs w:val="20"/>
              </w:rPr>
              <w:t xml:space="preserve">CC0</w:t>
            </w:r>
          </w:p>
        </w:tc>
        <w:tc>
          <w:tcPr>
            <w:tcW w:type="dxa" w:w="3240"/>
            <w:shd w:fill="F8F8F8" w:color="auto" w:val="clear"/>
          </w:tcPr>
          <w:p>
            <w:r>
              <w:rPr>
                <w:b w:val="false"/>
                <w:bCs w:val="false"/>
                <w:color w:val="222222"/>
                <w:sz w:val="20"/>
                <w:szCs w:val="20"/>
              </w:rPr>
              <w:t xml:space="preserve">Tier 1 — target prioritization</w:t>
            </w:r>
          </w:p>
        </w:tc>
      </w:tr>
      <w:tr>
        <w:trPr>
          <w:tblHeader w:val="false"/>
        </w:trPr>
        <w:tc>
          <w:tcPr>
            <w:tcW w:type="dxa" w:w="1980"/>
            <w:shd w:fill="FFFFFF" w:color="auto" w:val="clear"/>
          </w:tcPr>
          <w:p>
            <w:r>
              <w:rPr>
                <w:b w:val="false"/>
                <w:bCs w:val="false"/>
                <w:color w:val="222222"/>
                <w:sz w:val="20"/>
                <w:szCs w:val="20"/>
              </w:rPr>
              <w:t xml:space="preserve">Therapeutic Target Database (TTD)</w:t>
            </w:r>
          </w:p>
        </w:tc>
        <w:tc>
          <w:tcPr>
            <w:tcW w:type="dxa" w:w="1980"/>
            <w:shd w:fill="FFFFFF" w:color="auto" w:val="clear"/>
          </w:tcPr>
          <w:p>
            <w:r>
              <w:rPr>
                <w:b w:val="false"/>
                <w:bCs w:val="false"/>
                <w:color w:val="222222"/>
                <w:sz w:val="20"/>
                <w:szCs w:val="20"/>
              </w:rPr>
              <w:t xml:space="preserve">Therapeutic targets</w:t>
            </w:r>
          </w:p>
        </w:tc>
        <w:tc>
          <w:tcPr>
            <w:tcW w:type="dxa" w:w="2160"/>
            <w:shd w:fill="FFFFFF" w:color="auto" w:val="clear"/>
          </w:tcPr>
          <w:p>
            <w:r>
              <w:rPr>
                <w:b w:val="false"/>
                <w:bCs w:val="false"/>
                <w:color w:val="222222"/>
                <w:sz w:val="20"/>
                <w:szCs w:val="20"/>
              </w:rPr>
              <w:t xml:space="preserve">Free academic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1980"/>
            <w:shd w:fill="F8F8F8" w:color="auto" w:val="clear"/>
          </w:tcPr>
          <w:p>
            <w:r>
              <w:rPr>
                <w:b w:val="false"/>
                <w:bCs w:val="false"/>
                <w:color w:val="222222"/>
                <w:sz w:val="20"/>
                <w:szCs w:val="20"/>
              </w:rPr>
              <w:t xml:space="preserve">REPO4EU</w:t>
            </w:r>
          </w:p>
        </w:tc>
        <w:tc>
          <w:tcPr>
            <w:tcW w:type="dxa" w:w="1980"/>
            <w:shd w:fill="F8F8F8" w:color="auto" w:val="clear"/>
          </w:tcPr>
          <w:p>
            <w:r>
              <w:rPr>
                <w:b w:val="false"/>
                <w:bCs w:val="false"/>
                <w:color w:val="222222"/>
                <w:sz w:val="20"/>
                <w:szCs w:val="20"/>
              </w:rPr>
              <w:t xml:space="preserve">EU drug repurposing platform</w:t>
            </w:r>
          </w:p>
        </w:tc>
        <w:tc>
          <w:tcPr>
            <w:tcW w:type="dxa" w:w="216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2 — cross-reference repurposing candidates</w:t>
            </w:r>
          </w:p>
        </w:tc>
      </w:tr>
    </w:tbl>
    <w:p>
      <w:pPr>
        <w:pStyle w:val="Heading2"/>
      </w:pPr>
      <w:r>
        <w:t xml:space="preserve">8.4 Knowledge graphs and pre-built substrates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980"/>
        <w:gridCol w:w="1620"/>
        <w:gridCol w:w="3240"/>
      </w:tblGrid>
      <w:tr>
        <w:trPr>
          <w:tblHeader/>
        </w:trPr>
        <w:tc>
          <w:tcPr>
            <w:tcW w:type="dxa" w:w="2520"/>
            <w:shd w:fill="7A1F3D" w:color="auto" w:val="clear"/>
          </w:tcPr>
          <w:p>
            <w:r>
              <w:rPr>
                <w:b/>
                <w:bCs/>
                <w:color w:val="FFFFFF"/>
                <w:sz w:val="20"/>
                <w:szCs w:val="20"/>
              </w:rPr>
              <w:t xml:space="preserve">Resource</w:t>
            </w:r>
          </w:p>
        </w:tc>
        <w:tc>
          <w:tcPr>
            <w:tcW w:type="dxa" w:w="1980"/>
            <w:shd w:fill="7A1F3D" w:color="auto" w:val="clear"/>
          </w:tcPr>
          <w:p>
            <w:r>
              <w:rPr>
                <w:b/>
                <w:bCs/>
                <w:color w:val="FFFFFF"/>
                <w:sz w:val="20"/>
                <w:szCs w:val="20"/>
              </w:rPr>
              <w:t xml:space="preserve">Size</w:t>
            </w:r>
          </w:p>
        </w:tc>
        <w:tc>
          <w:tcPr>
            <w:tcW w:type="dxa" w:w="1620"/>
            <w:shd w:fill="7A1F3D" w:color="auto" w:val="clear"/>
          </w:tcPr>
          <w:p>
            <w:r>
              <w:rPr>
                <w:b/>
                <w:bCs/>
                <w:color w:val="FFFFFF"/>
                <w:sz w:val="20"/>
                <w:szCs w:val="20"/>
              </w:rPr>
              <w:t xml:space="preserve">License</w:t>
            </w:r>
          </w:p>
        </w:tc>
        <w:tc>
          <w:tcPr>
            <w:tcW w:type="dxa" w:w="3240"/>
            <w:shd w:fill="7A1F3D" w:color="auto" w:val="clear"/>
          </w:tcPr>
          <w:p>
            <w:r>
              <w:rPr>
                <w:b/>
                <w:bCs/>
                <w:color w:val="FFFFFF"/>
                <w:sz w:val="20"/>
                <w:szCs w:val="20"/>
              </w:rPr>
              <w:t xml:space="preserve">Role in Whel</w:t>
            </w:r>
          </w:p>
        </w:tc>
      </w:tr>
      <w:tr>
        <w:trPr>
          <w:tblHeader w:val="false"/>
        </w:trPr>
        <w:tc>
          <w:tcPr>
            <w:tcW w:type="dxa" w:w="2520"/>
            <w:shd w:fill="F8F8F8" w:color="auto" w:val="clear"/>
          </w:tcPr>
          <w:p>
            <w:r>
              <w:rPr>
                <w:b w:val="false"/>
                <w:bCs w:val="false"/>
                <w:color w:val="222222"/>
                <w:sz w:val="20"/>
                <w:szCs w:val="20"/>
              </w:rPr>
              <w:t xml:space="preserve">PrimeKG (Harvard, Zitnik lab)</w:t>
            </w:r>
          </w:p>
        </w:tc>
        <w:tc>
          <w:tcPr>
            <w:tcW w:type="dxa" w:w="1980"/>
            <w:shd w:fill="F8F8F8" w:color="auto" w:val="clear"/>
          </w:tcPr>
          <w:p>
            <w:r>
              <w:rPr>
                <w:b w:val="false"/>
                <w:bCs w:val="false"/>
                <w:color w:val="222222"/>
                <w:sz w:val="20"/>
                <w:szCs w:val="20"/>
              </w:rPr>
              <w:t xml:space="preserve">~4M+ relations across 10 sources</w:t>
            </w:r>
          </w:p>
        </w:tc>
        <w:tc>
          <w:tcPr>
            <w:tcW w:type="dxa" w:w="1620"/>
            <w:shd w:fill="F8F8F8" w:color="auto" w:val="clear"/>
          </w:tcPr>
          <w:p>
            <w:r>
              <w:rPr>
                <w:b w:val="false"/>
                <w:bCs w:val="false"/>
                <w:color w:val="222222"/>
                <w:sz w:val="20"/>
                <w:szCs w:val="20"/>
              </w:rPr>
              <w:t xml:space="preserve">MIT</w:t>
            </w:r>
          </w:p>
        </w:tc>
        <w:tc>
          <w:tcPr>
            <w:tcW w:type="dxa" w:w="3240"/>
            <w:shd w:fill="F8F8F8" w:color="auto" w:val="clear"/>
          </w:tcPr>
          <w:p>
            <w:r>
              <w:rPr>
                <w:b w:val="false"/>
                <w:bCs w:val="false"/>
                <w:color w:val="222222"/>
                <w:sz w:val="20"/>
                <w:szCs w:val="20"/>
              </w:rPr>
              <w:t xml:space="preserve">Seed graph — Day 1 import</w:t>
            </w:r>
          </w:p>
        </w:tc>
      </w:tr>
      <w:tr>
        <w:trPr>
          <w:tblHeader w:val="false"/>
        </w:trPr>
        <w:tc>
          <w:tcPr>
            <w:tcW w:type="dxa" w:w="2520"/>
            <w:shd w:fill="FFFFFF" w:color="auto" w:val="clear"/>
          </w:tcPr>
          <w:p>
            <w:r>
              <w:rPr>
                <w:b w:val="false"/>
                <w:bCs w:val="false"/>
                <w:color w:val="222222"/>
                <w:sz w:val="20"/>
                <w:szCs w:val="20"/>
              </w:rPr>
              <w:t xml:space="preserve">CTKG (Clinical Trials KG)</w:t>
            </w:r>
          </w:p>
        </w:tc>
        <w:tc>
          <w:tcPr>
            <w:tcW w:type="dxa" w:w="1980"/>
            <w:shd w:fill="FFFFFF" w:color="auto" w:val="clear"/>
          </w:tcPr>
          <w:p>
            <w:r>
              <w:rPr>
                <w:b w:val="false"/>
                <w:bCs w:val="false"/>
                <w:color w:val="222222"/>
                <w:sz w:val="20"/>
                <w:szCs w:val="20"/>
              </w:rPr>
              <w:t xml:space="preserve">Trial-derived relations</w:t>
            </w:r>
          </w:p>
        </w:tc>
        <w:tc>
          <w:tcPr>
            <w:tcW w:type="dxa" w:w="1620"/>
            <w:shd w:fill="FFFFFF" w:color="auto" w:val="clear"/>
          </w:tcPr>
          <w:p>
            <w:r>
              <w:rPr>
                <w:b w:val="false"/>
                <w:bCs w:val="false"/>
                <w:color w:val="222222"/>
                <w:sz w:val="20"/>
                <w:szCs w:val="20"/>
              </w:rPr>
              <w:t xml:space="preserve">CC-BY</w:t>
            </w:r>
          </w:p>
        </w:tc>
        <w:tc>
          <w:tcPr>
            <w:tcW w:type="dxa" w:w="3240"/>
            <w:shd w:fill="FFFFFF" w:color="auto" w:val="clear"/>
          </w:tcPr>
          <w:p>
            <w:r>
              <w:rPr>
                <w:b w:val="false"/>
                <w:bCs w:val="false"/>
                <w:color w:val="222222"/>
                <w:sz w:val="20"/>
                <w:szCs w:val="20"/>
              </w:rPr>
              <w:t xml:space="preserve">Augment seed graph</w:t>
            </w:r>
          </w:p>
        </w:tc>
      </w:tr>
      <w:tr>
        <w:trPr>
          <w:tblHeader w:val="false"/>
        </w:trPr>
        <w:tc>
          <w:tcPr>
            <w:tcW w:type="dxa" w:w="2520"/>
            <w:shd w:fill="F8F8F8" w:color="auto" w:val="clear"/>
          </w:tcPr>
          <w:p>
            <w:r>
              <w:rPr>
                <w:b w:val="false"/>
                <w:bCs w:val="false"/>
                <w:color w:val="222222"/>
                <w:sz w:val="20"/>
                <w:szCs w:val="20"/>
              </w:rPr>
              <w:t xml:space="preserve">Hetionet</w:t>
            </w:r>
          </w:p>
        </w:tc>
        <w:tc>
          <w:tcPr>
            <w:tcW w:type="dxa" w:w="1980"/>
            <w:shd w:fill="F8F8F8" w:color="auto" w:val="clear"/>
          </w:tcPr>
          <w:p>
            <w:r>
              <w:rPr>
                <w:b w:val="false"/>
                <w:bCs w:val="false"/>
                <w:color w:val="222222"/>
                <w:sz w:val="20"/>
                <w:szCs w:val="20"/>
              </w:rPr>
              <w:t xml:space="preserve">47K nodes, 2.2M edges</w:t>
            </w:r>
          </w:p>
        </w:tc>
        <w:tc>
          <w:tcPr>
            <w:tcW w:type="dxa" w:w="1620"/>
            <w:shd w:fill="F8F8F8" w:color="auto" w:val="clear"/>
          </w:tcPr>
          <w:p>
            <w:r>
              <w:rPr>
                <w:b w:val="false"/>
                <w:bCs w:val="false"/>
                <w:color w:val="222222"/>
                <w:sz w:val="20"/>
                <w:szCs w:val="20"/>
              </w:rPr>
              <w:t xml:space="preserve">CC0</w:t>
            </w:r>
          </w:p>
        </w:tc>
        <w:tc>
          <w:tcPr>
            <w:tcW w:type="dxa" w:w="3240"/>
            <w:shd w:fill="F8F8F8" w:color="auto" w:val="clear"/>
          </w:tcPr>
          <w:p>
            <w:r>
              <w:rPr>
                <w:b w:val="false"/>
                <w:bCs w:val="false"/>
                <w:color w:val="222222"/>
                <w:sz w:val="20"/>
                <w:szCs w:val="20"/>
              </w:rPr>
              <w:t xml:space="preserve">Cross-reference comparator</w:t>
            </w:r>
          </w:p>
        </w:tc>
      </w:tr>
      <w:tr>
        <w:trPr>
          <w:tblHeader w:val="false"/>
        </w:trPr>
        <w:tc>
          <w:tcPr>
            <w:tcW w:type="dxa" w:w="2520"/>
            <w:shd w:fill="FFFFFF" w:color="auto" w:val="clear"/>
          </w:tcPr>
          <w:p>
            <w:r>
              <w:rPr>
                <w:b w:val="false"/>
                <w:bCs w:val="false"/>
                <w:color w:val="222222"/>
                <w:sz w:val="20"/>
                <w:szCs w:val="20"/>
              </w:rPr>
              <w:t xml:space="preserve">DRKG (Drug Repurposing KG)</w:t>
            </w:r>
          </w:p>
        </w:tc>
        <w:tc>
          <w:tcPr>
            <w:tcW w:type="dxa" w:w="1980"/>
            <w:shd w:fill="FFFFFF" w:color="auto" w:val="clear"/>
          </w:tcPr>
          <w:p>
            <w:r>
              <w:rPr>
                <w:b w:val="false"/>
                <w:bCs w:val="false"/>
                <w:color w:val="222222"/>
                <w:sz w:val="20"/>
                <w:szCs w:val="20"/>
              </w:rPr>
              <w:t xml:space="preserve">5.9M edges, 17 datasets</w:t>
            </w:r>
          </w:p>
        </w:tc>
        <w:tc>
          <w:tcPr>
            <w:tcW w:type="dxa" w:w="1620"/>
            <w:shd w:fill="FFFFFF" w:color="auto" w:val="clear"/>
          </w:tcPr>
          <w:p>
            <w:r>
              <w:rPr>
                <w:b w:val="false"/>
                <w:bCs w:val="false"/>
                <w:color w:val="222222"/>
                <w:sz w:val="20"/>
                <w:szCs w:val="20"/>
              </w:rPr>
              <w:t xml:space="preserve">Apache 2.0</w:t>
            </w:r>
          </w:p>
        </w:tc>
        <w:tc>
          <w:tcPr>
            <w:tcW w:type="dxa" w:w="3240"/>
            <w:shd w:fill="FFFFFF" w:color="auto" w:val="clear"/>
          </w:tcPr>
          <w:p>
            <w:r>
              <w:rPr>
                <w:b w:val="false"/>
                <w:bCs w:val="false"/>
                <w:color w:val="222222"/>
                <w:sz w:val="20"/>
                <w:szCs w:val="20"/>
              </w:rPr>
              <w:t xml:space="preserve">Drug-repurposing-specific seed</w:t>
            </w:r>
          </w:p>
        </w:tc>
      </w:tr>
      <w:tr>
        <w:trPr>
          <w:tblHeader w:val="false"/>
        </w:trPr>
        <w:tc>
          <w:tcPr>
            <w:tcW w:type="dxa" w:w="2520"/>
            <w:shd w:fill="F8F8F8" w:color="auto" w:val="clear"/>
          </w:tcPr>
          <w:p>
            <w:r>
              <w:rPr>
                <w:b w:val="false"/>
                <w:bCs w:val="false"/>
                <w:color w:val="222222"/>
                <w:sz w:val="20"/>
                <w:szCs w:val="20"/>
              </w:rPr>
              <w:t xml:space="preserve">BioKG</w:t>
            </w:r>
          </w:p>
        </w:tc>
        <w:tc>
          <w:tcPr>
            <w:tcW w:type="dxa" w:w="1980"/>
            <w:shd w:fill="F8F8F8" w:color="auto" w:val="clear"/>
          </w:tcPr>
          <w:p>
            <w:r>
              <w:rPr>
                <w:b w:val="false"/>
                <w:bCs w:val="false"/>
                <w:color w:val="222222"/>
                <w:sz w:val="20"/>
                <w:szCs w:val="20"/>
              </w:rPr>
              <w:t xml:space="preserve">2M+ relations</w:t>
            </w:r>
          </w:p>
        </w:tc>
        <w:tc>
          <w:tcPr>
            <w:tcW w:type="dxa" w:w="1620"/>
            <w:shd w:fill="F8F8F8" w:color="auto" w:val="clear"/>
          </w:tcPr>
          <w:p>
            <w:r>
              <w:rPr>
                <w:b w:val="false"/>
                <w:bCs w:val="false"/>
                <w:color w:val="222222"/>
                <w:sz w:val="20"/>
                <w:szCs w:val="20"/>
              </w:rPr>
              <w:t xml:space="preserve">MIT</w:t>
            </w:r>
          </w:p>
        </w:tc>
        <w:tc>
          <w:tcPr>
            <w:tcW w:type="dxa" w:w="3240"/>
            <w:shd w:fill="F8F8F8" w:color="auto" w:val="clear"/>
          </w:tcPr>
          <w:p>
            <w:r>
              <w:rPr>
                <w:b w:val="false"/>
                <w:bCs w:val="false"/>
                <w:color w:val="222222"/>
                <w:sz w:val="20"/>
                <w:szCs w:val="20"/>
              </w:rPr>
              <w:t xml:space="preserve">Tier 2 expansion</w:t>
            </w:r>
          </w:p>
        </w:tc>
      </w:tr>
      <w:tr>
        <w:trPr>
          <w:tblHeader w:val="false"/>
        </w:trPr>
        <w:tc>
          <w:tcPr>
            <w:tcW w:type="dxa" w:w="2520"/>
            <w:shd w:fill="FFFFFF" w:color="auto" w:val="clear"/>
          </w:tcPr>
          <w:p>
            <w:r>
              <w:rPr>
                <w:b w:val="false"/>
                <w:bCs w:val="false"/>
                <w:color w:val="222222"/>
                <w:sz w:val="20"/>
                <w:szCs w:val="20"/>
              </w:rPr>
              <w:t xml:space="preserve">SPOKE (UCSF)</w:t>
            </w:r>
          </w:p>
        </w:tc>
        <w:tc>
          <w:tcPr>
            <w:tcW w:type="dxa" w:w="1980"/>
            <w:shd w:fill="FFFFFF" w:color="auto" w:val="clear"/>
          </w:tcPr>
          <w:p>
            <w:r>
              <w:rPr>
                <w:b w:val="false"/>
                <w:bCs w:val="false"/>
                <w:color w:val="222222"/>
                <w:sz w:val="20"/>
                <w:szCs w:val="20"/>
              </w:rPr>
              <w:t xml:space="preserve">Larger, academically maintained</w:t>
            </w:r>
          </w:p>
        </w:tc>
        <w:tc>
          <w:tcPr>
            <w:tcW w:type="dxa" w:w="1620"/>
            <w:shd w:fill="FFFFFF" w:color="auto" w:val="clear"/>
          </w:tcPr>
          <w:p>
            <w:r>
              <w:rPr>
                <w:b w:val="false"/>
                <w:bCs w:val="false"/>
                <w:color w:val="222222"/>
                <w:sz w:val="20"/>
                <w:szCs w:val="20"/>
              </w:rPr>
              <w:t xml:space="preserve">Free academic</w:t>
            </w:r>
          </w:p>
        </w:tc>
        <w:tc>
          <w:tcPr>
            <w:tcW w:type="dxa" w:w="3240"/>
            <w:shd w:fill="FFFFFF" w:color="auto" w:val="clear"/>
          </w:tcPr>
          <w:p>
            <w:r>
              <w:rPr>
                <w:b w:val="false"/>
                <w:bCs w:val="false"/>
                <w:color w:val="222222"/>
                <w:sz w:val="20"/>
                <w:szCs w:val="20"/>
              </w:rPr>
              <w:t xml:space="preserve">Tier 2</w:t>
            </w:r>
          </w:p>
        </w:tc>
      </w:tr>
      <w:tr>
        <w:trPr>
          <w:tblHeader w:val="false"/>
        </w:trPr>
        <w:tc>
          <w:tcPr>
            <w:tcW w:type="dxa" w:w="2520"/>
            <w:shd w:fill="F8F8F8" w:color="auto" w:val="clear"/>
          </w:tcPr>
          <w:p>
            <w:r>
              <w:rPr>
                <w:b w:val="false"/>
                <w:bCs w:val="false"/>
                <w:color w:val="222222"/>
                <w:sz w:val="20"/>
                <w:szCs w:val="20"/>
              </w:rPr>
              <w:t xml:space="preserve">OREGANO</w:t>
            </w:r>
          </w:p>
        </w:tc>
        <w:tc>
          <w:tcPr>
            <w:tcW w:type="dxa" w:w="1980"/>
            <w:shd w:fill="F8F8F8" w:color="auto" w:val="clear"/>
          </w:tcPr>
          <w:p>
            <w:r>
              <w:rPr>
                <w:b w:val="false"/>
                <w:bCs w:val="false"/>
                <w:color w:val="222222"/>
                <w:sz w:val="20"/>
                <w:szCs w:val="20"/>
              </w:rPr>
              <w:t xml:space="preserve">Plant-derived bioactives</w:t>
            </w:r>
          </w:p>
        </w:tc>
        <w:tc>
          <w:tcPr>
            <w:tcW w:type="dxa" w:w="1620"/>
            <w:shd w:fill="F8F8F8" w:color="auto" w:val="clear"/>
          </w:tcPr>
          <w:p>
            <w:r>
              <w:rPr>
                <w:b w:val="false"/>
                <w:bCs w:val="false"/>
                <w:color w:val="222222"/>
                <w:sz w:val="20"/>
                <w:szCs w:val="20"/>
              </w:rPr>
              <w:t xml:space="preserve">Open</w:t>
            </w:r>
          </w:p>
        </w:tc>
        <w:tc>
          <w:tcPr>
            <w:tcW w:type="dxa" w:w="3240"/>
            <w:shd w:fill="F8F8F8" w:color="auto" w:val="clear"/>
          </w:tcPr>
          <w:p>
            <w:r>
              <w:rPr>
                <w:b w:val="false"/>
                <w:bCs w:val="false"/>
                <w:color w:val="222222"/>
                <w:sz w:val="20"/>
                <w:szCs w:val="20"/>
              </w:rPr>
              <w:t xml:space="preserve">Tier 3 — adjacent space</w:t>
            </w:r>
          </w:p>
        </w:tc>
      </w:tr>
    </w:tbl>
    <w:p>
      <w:pPr>
        <w:pStyle w:val="Heading2"/>
      </w:pPr>
      <w:r>
        <w:t xml:space="preserve">8.5 Ontologies and controlled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980"/>
        <w:gridCol w:w="2700"/>
      </w:tblGrid>
      <w:tr>
        <w:trPr>
          <w:tblHeader/>
        </w:trPr>
        <w:tc>
          <w:tcPr>
            <w:tcW w:type="dxa" w:w="2160"/>
            <w:shd w:fill="7A1F3D" w:color="auto" w:val="clear"/>
          </w:tcPr>
          <w:p>
            <w:r>
              <w:rPr>
                <w:b/>
                <w:bCs/>
                <w:color w:val="FFFFFF"/>
                <w:sz w:val="20"/>
                <w:szCs w:val="20"/>
              </w:rPr>
              <w:t xml:space="preserve">Ontology</w:t>
            </w:r>
          </w:p>
        </w:tc>
        <w:tc>
          <w:tcPr>
            <w:tcW w:type="dxa" w:w="2520"/>
            <w:shd w:fill="7A1F3D" w:color="auto" w:val="clear"/>
          </w:tcPr>
          <w:p>
            <w:r>
              <w:rPr>
                <w:b/>
                <w:bCs/>
                <w:color w:val="FFFFFF"/>
                <w:sz w:val="20"/>
                <w:szCs w:val="20"/>
              </w:rPr>
              <w:t xml:space="preserve">Domain</w:t>
            </w:r>
          </w:p>
        </w:tc>
        <w:tc>
          <w:tcPr>
            <w:tcW w:type="dxa" w:w="1980"/>
            <w:shd w:fill="7A1F3D" w:color="auto" w:val="clear"/>
          </w:tcPr>
          <w:p>
            <w:r>
              <w:rPr>
                <w:b/>
                <w:bCs/>
                <w:color w:val="FFFFFF"/>
                <w:sz w:val="20"/>
                <w:szCs w:val="20"/>
              </w:rPr>
              <w:t xml:space="preserve">License</w:t>
            </w:r>
          </w:p>
        </w:tc>
        <w:tc>
          <w:tcPr>
            <w:tcW w:type="dxa" w:w="270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MeSH (NLM)</w:t>
            </w:r>
          </w:p>
        </w:tc>
        <w:tc>
          <w:tcPr>
            <w:tcW w:type="dxa" w:w="2520"/>
            <w:shd w:fill="F8F8F8" w:color="auto" w:val="clear"/>
          </w:tcPr>
          <w:p>
            <w:r>
              <w:rPr>
                <w:b w:val="false"/>
                <w:bCs w:val="false"/>
                <w:color w:val="222222"/>
                <w:sz w:val="20"/>
                <w:szCs w:val="20"/>
              </w:rPr>
              <w:t xml:space="preserve">Biomedical concepts (PubMed indexing)</w:t>
            </w:r>
          </w:p>
        </w:tc>
        <w:tc>
          <w:tcPr>
            <w:tcW w:type="dxa" w:w="1980"/>
            <w:shd w:fill="F8F8F8" w:color="auto" w:val="clear"/>
          </w:tcPr>
          <w:p>
            <w:r>
              <w:rPr>
                <w:b w:val="false"/>
                <w:bCs w:val="false"/>
                <w:color w:val="222222"/>
                <w:sz w:val="20"/>
                <w:szCs w:val="20"/>
              </w:rPr>
              <w:t xml:space="preserve">Public domain</w:t>
            </w:r>
          </w:p>
        </w:tc>
        <w:tc>
          <w:tcPr>
            <w:tcW w:type="dxa" w:w="2700"/>
            <w:shd w:fill="F8F8F8" w:color="auto" w:val="clear"/>
          </w:tcPr>
          <w:p>
            <w:r>
              <w:rPr>
                <w:b w:val="false"/>
                <w:bCs w:val="false"/>
                <w:color w:val="222222"/>
                <w:sz w:val="20"/>
                <w:szCs w:val="20"/>
              </w:rPr>
              <w:t xml:space="preserve">Tier 1 — concept anchor</w:t>
            </w:r>
          </w:p>
        </w:tc>
      </w:tr>
      <w:tr>
        <w:trPr>
          <w:tblHeader w:val="false"/>
        </w:trPr>
        <w:tc>
          <w:tcPr>
            <w:tcW w:type="dxa" w:w="2160"/>
            <w:shd w:fill="FFFFFF" w:color="auto" w:val="clear"/>
          </w:tcPr>
          <w:p>
            <w:r>
              <w:rPr>
                <w:b w:val="false"/>
                <w:bCs w:val="false"/>
                <w:color w:val="222222"/>
                <w:sz w:val="20"/>
                <w:szCs w:val="20"/>
              </w:rPr>
              <w:t xml:space="preserve">UMLS Metathesaurus</w:t>
            </w:r>
          </w:p>
        </w:tc>
        <w:tc>
          <w:tcPr>
            <w:tcW w:type="dxa" w:w="2520"/>
            <w:shd w:fill="FFFFFF" w:color="auto" w:val="clear"/>
          </w:tcPr>
          <w:p>
            <w:r>
              <w:rPr>
                <w:b w:val="false"/>
                <w:bCs w:val="false"/>
                <w:color w:val="222222"/>
                <w:sz w:val="20"/>
                <w:szCs w:val="20"/>
              </w:rPr>
              <w:t xml:space="preserve">Unified concepts across 200+ vocabularies</w:t>
            </w:r>
          </w:p>
        </w:tc>
        <w:tc>
          <w:tcPr>
            <w:tcW w:type="dxa" w:w="1980"/>
            <w:shd w:fill="FFFFFF" w:color="auto" w:val="clear"/>
          </w:tcPr>
          <w:p>
            <w:r>
              <w:rPr>
                <w:b w:val="false"/>
                <w:bCs w:val="false"/>
                <w:color w:val="222222"/>
                <w:sz w:val="20"/>
                <w:szCs w:val="20"/>
              </w:rPr>
              <w:t xml:space="preserve">NLM (free, account required)</w:t>
            </w:r>
          </w:p>
        </w:tc>
        <w:tc>
          <w:tcPr>
            <w:tcW w:type="dxa" w:w="2700"/>
            <w:shd w:fill="FFFFFF" w:color="auto" w:val="clear"/>
          </w:tcPr>
          <w:p>
            <w:r>
              <w:rPr>
                <w:b w:val="false"/>
                <w:bCs w:val="false"/>
                <w:color w:val="222222"/>
                <w:sz w:val="20"/>
                <w:szCs w:val="20"/>
              </w:rPr>
              <w:t xml:space="preserve">Tier 1 — entity resolution</w:t>
            </w:r>
          </w:p>
        </w:tc>
      </w:tr>
      <w:tr>
        <w:trPr>
          <w:tblHeader w:val="false"/>
        </w:trPr>
        <w:tc>
          <w:tcPr>
            <w:tcW w:type="dxa" w:w="2160"/>
            <w:shd w:fill="F8F8F8" w:color="auto" w:val="clear"/>
          </w:tcPr>
          <w:p>
            <w:r>
              <w:rPr>
                <w:b w:val="false"/>
                <w:bCs w:val="false"/>
                <w:color w:val="222222"/>
                <w:sz w:val="20"/>
                <w:szCs w:val="20"/>
              </w:rPr>
              <w:t xml:space="preserve">MONDO</w:t>
            </w:r>
          </w:p>
        </w:tc>
        <w:tc>
          <w:tcPr>
            <w:tcW w:type="dxa" w:w="2520"/>
            <w:shd w:fill="F8F8F8" w:color="auto" w:val="clear"/>
          </w:tcPr>
          <w:p>
            <w:r>
              <w:rPr>
                <w:b w:val="false"/>
                <w:bCs w:val="false"/>
                <w:color w:val="222222"/>
                <w:sz w:val="20"/>
                <w:szCs w:val="20"/>
              </w:rPr>
              <w:t xml:space="preserve">Disease ontology</w:t>
            </w:r>
          </w:p>
        </w:tc>
        <w:tc>
          <w:tcPr>
            <w:tcW w:type="dxa" w:w="1980"/>
            <w:shd w:fill="F8F8F8" w:color="auto" w:val="clear"/>
          </w:tcPr>
          <w:p>
            <w:r>
              <w:rPr>
                <w:b w:val="false"/>
                <w:bCs w:val="false"/>
                <w:color w:val="222222"/>
                <w:sz w:val="20"/>
                <w:szCs w:val="20"/>
              </w:rPr>
              <w:t xml:space="preserve">CC-BY 4.0</w:t>
            </w:r>
          </w:p>
        </w:tc>
        <w:tc>
          <w:tcPr>
            <w:tcW w:type="dxa" w:w="2700"/>
            <w:shd w:fill="F8F8F8" w:color="auto" w:val="clear"/>
          </w:tcPr>
          <w:p>
            <w:r>
              <w:rPr>
                <w:b w:val="false"/>
                <w:bCs w:val="false"/>
                <w:color w:val="222222"/>
                <w:sz w:val="20"/>
                <w:szCs w:val="20"/>
              </w:rPr>
              <w:t xml:space="preserve">Tier 1 — disease grounding</w:t>
            </w:r>
          </w:p>
        </w:tc>
      </w:tr>
      <w:tr>
        <w:trPr>
          <w:tblHeader w:val="false"/>
        </w:trPr>
        <w:tc>
          <w:tcPr>
            <w:tcW w:type="dxa" w:w="2160"/>
            <w:shd w:fill="FFFFFF" w:color="auto" w:val="clear"/>
          </w:tcPr>
          <w:p>
            <w:r>
              <w:rPr>
                <w:b w:val="false"/>
                <w:bCs w:val="false"/>
                <w:color w:val="222222"/>
                <w:sz w:val="20"/>
                <w:szCs w:val="20"/>
              </w:rPr>
              <w:t xml:space="preserve">HPO (Human Phenotype Ontology)</w:t>
            </w:r>
          </w:p>
        </w:tc>
        <w:tc>
          <w:tcPr>
            <w:tcW w:type="dxa" w:w="2520"/>
            <w:shd w:fill="FFFFFF" w:color="auto" w:val="clear"/>
          </w:tcPr>
          <w:p>
            <w:r>
              <w:rPr>
                <w:b w:val="false"/>
                <w:bCs w:val="false"/>
                <w:color w:val="222222"/>
                <w:sz w:val="20"/>
                <w:szCs w:val="20"/>
              </w:rPr>
              <w:t xml:space="preserve">Phenotypic abnormalities</w:t>
            </w:r>
          </w:p>
        </w:tc>
        <w:tc>
          <w:tcPr>
            <w:tcW w:type="dxa" w:w="1980"/>
            <w:shd w:fill="FFFFFF" w:color="auto" w:val="clear"/>
          </w:tcPr>
          <w:p>
            <w:r>
              <w:rPr>
                <w:b w:val="false"/>
                <w:bCs w:val="false"/>
                <w:color w:val="222222"/>
                <w:sz w:val="20"/>
                <w:szCs w:val="20"/>
              </w:rPr>
              <w:t xml:space="preserve">CC-BY 4.0</w:t>
            </w:r>
          </w:p>
        </w:tc>
        <w:tc>
          <w:tcPr>
            <w:tcW w:type="dxa" w:w="2700"/>
            <w:shd w:fill="FFFFFF" w:color="auto" w:val="clear"/>
          </w:tcPr>
          <w:p>
            <w:r>
              <w:rPr>
                <w:b w:val="false"/>
                <w:bCs w:val="false"/>
                <w:color w:val="222222"/>
                <w:sz w:val="20"/>
                <w:szCs w:val="20"/>
              </w:rPr>
              <w:t xml:space="preserve">Tier 1 — phenotype</w:t>
            </w:r>
          </w:p>
        </w:tc>
      </w:tr>
      <w:tr>
        <w:trPr>
          <w:tblHeader w:val="false"/>
        </w:trPr>
        <w:tc>
          <w:tcPr>
            <w:tcW w:type="dxa" w:w="2160"/>
            <w:shd w:fill="F8F8F8" w:color="auto" w:val="clear"/>
          </w:tcPr>
          <w:p>
            <w:r>
              <w:rPr>
                <w:b w:val="false"/>
                <w:bCs w:val="false"/>
                <w:color w:val="222222"/>
                <w:sz w:val="20"/>
                <w:szCs w:val="20"/>
              </w:rPr>
              <w:t xml:space="preserve">GO (Gene Ontology)</w:t>
            </w:r>
          </w:p>
        </w:tc>
        <w:tc>
          <w:tcPr>
            <w:tcW w:type="dxa" w:w="2520"/>
            <w:shd w:fill="F8F8F8" w:color="auto" w:val="clear"/>
          </w:tcPr>
          <w:p>
            <w:r>
              <w:rPr>
                <w:b w:val="false"/>
                <w:bCs w:val="false"/>
                <w:color w:val="222222"/>
                <w:sz w:val="20"/>
                <w:szCs w:val="20"/>
              </w:rPr>
              <w:t xml:space="preserve">Gene functions</w:t>
            </w:r>
          </w:p>
        </w:tc>
        <w:tc>
          <w:tcPr>
            <w:tcW w:type="dxa" w:w="1980"/>
            <w:shd w:fill="F8F8F8" w:color="auto" w:val="clear"/>
          </w:tcPr>
          <w:p>
            <w:r>
              <w:rPr>
                <w:b w:val="false"/>
                <w:bCs w:val="false"/>
                <w:color w:val="222222"/>
                <w:sz w:val="20"/>
                <w:szCs w:val="20"/>
              </w:rPr>
              <w:t xml:space="preserve">CC-BY 4.0</w:t>
            </w:r>
          </w:p>
        </w:tc>
        <w:tc>
          <w:tcPr>
            <w:tcW w:type="dxa" w:w="2700"/>
            <w:shd w:fill="F8F8F8" w:color="auto" w:val="clear"/>
          </w:tcPr>
          <w:p>
            <w:r>
              <w:rPr>
                <w:b w:val="false"/>
                <w:bCs w:val="false"/>
                <w:color w:val="222222"/>
                <w:sz w:val="20"/>
                <w:szCs w:val="20"/>
              </w:rPr>
              <w:t xml:space="preserve">Tier 1 — gene function</w:t>
            </w:r>
          </w:p>
        </w:tc>
      </w:tr>
      <w:tr>
        <w:trPr>
          <w:tblHeader w:val="false"/>
        </w:trPr>
        <w:tc>
          <w:tcPr>
            <w:tcW w:type="dxa" w:w="2160"/>
            <w:shd w:fill="FFFFFF" w:color="auto" w:val="clear"/>
          </w:tcPr>
          <w:p>
            <w:r>
              <w:rPr>
                <w:b w:val="false"/>
                <w:bCs w:val="false"/>
                <w:color w:val="222222"/>
                <w:sz w:val="20"/>
                <w:szCs w:val="20"/>
              </w:rPr>
              <w:t xml:space="preserve">ChEBI</w:t>
            </w:r>
          </w:p>
        </w:tc>
        <w:tc>
          <w:tcPr>
            <w:tcW w:type="dxa" w:w="2520"/>
            <w:shd w:fill="FFFFFF" w:color="auto" w:val="clear"/>
          </w:tcPr>
          <w:p>
            <w:r>
              <w:rPr>
                <w:b w:val="false"/>
                <w:bCs w:val="false"/>
                <w:color w:val="222222"/>
                <w:sz w:val="20"/>
                <w:szCs w:val="20"/>
              </w:rPr>
              <w:t xml:space="preserve">Chemical entities of biological interest</w:t>
            </w:r>
          </w:p>
        </w:tc>
        <w:tc>
          <w:tcPr>
            <w:tcW w:type="dxa" w:w="1980"/>
            <w:shd w:fill="FFFFFF" w:color="auto" w:val="clear"/>
          </w:tcPr>
          <w:p>
            <w:r>
              <w:rPr>
                <w:b w:val="false"/>
                <w:bCs w:val="false"/>
                <w:color w:val="222222"/>
                <w:sz w:val="20"/>
                <w:szCs w:val="20"/>
              </w:rPr>
              <w:t xml:space="preserve">CC-BY 4.0</w:t>
            </w:r>
          </w:p>
        </w:tc>
        <w:tc>
          <w:tcPr>
            <w:tcW w:type="dxa" w:w="2700"/>
            <w:shd w:fill="FFFFFF" w:color="auto" w:val="clear"/>
          </w:tcPr>
          <w:p>
            <w:r>
              <w:rPr>
                <w:b w:val="false"/>
                <w:bCs w:val="false"/>
                <w:color w:val="222222"/>
                <w:sz w:val="20"/>
                <w:szCs w:val="20"/>
              </w:rPr>
              <w:t xml:space="preserve">Tier 1 — chemistry ontology</w:t>
            </w:r>
          </w:p>
        </w:tc>
      </w:tr>
      <w:tr>
        <w:trPr>
          <w:tblHeader w:val="false"/>
        </w:trPr>
        <w:tc>
          <w:tcPr>
            <w:tcW w:type="dxa" w:w="2160"/>
            <w:shd w:fill="F8F8F8" w:color="auto" w:val="clear"/>
          </w:tcPr>
          <w:p>
            <w:r>
              <w:rPr>
                <w:b w:val="false"/>
                <w:bCs w:val="false"/>
                <w:color w:val="222222"/>
                <w:sz w:val="20"/>
                <w:szCs w:val="20"/>
              </w:rPr>
              <w:t xml:space="preserve">SNOMED CT</w:t>
            </w:r>
          </w:p>
        </w:tc>
        <w:tc>
          <w:tcPr>
            <w:tcW w:type="dxa" w:w="2520"/>
            <w:shd w:fill="F8F8F8" w:color="auto" w:val="clear"/>
          </w:tcPr>
          <w:p>
            <w:r>
              <w:rPr>
                <w:b w:val="false"/>
                <w:bCs w:val="false"/>
                <w:color w:val="222222"/>
                <w:sz w:val="20"/>
                <w:szCs w:val="20"/>
              </w:rPr>
              <w:t xml:space="preserve">Clinical terminology</w:t>
            </w:r>
          </w:p>
        </w:tc>
        <w:tc>
          <w:tcPr>
            <w:tcW w:type="dxa" w:w="1980"/>
            <w:shd w:fill="F8F8F8" w:color="auto" w:val="clear"/>
          </w:tcPr>
          <w:p>
            <w:r>
              <w:rPr>
                <w:b w:val="false"/>
                <w:bCs w:val="false"/>
                <w:color w:val="222222"/>
                <w:sz w:val="20"/>
                <w:szCs w:val="20"/>
              </w:rPr>
              <w:t xml:space="preserve">Free for US use (NLM)</w:t>
            </w:r>
          </w:p>
        </w:tc>
        <w:tc>
          <w:tcPr>
            <w:tcW w:type="dxa" w:w="2700"/>
            <w:shd w:fill="F8F8F8" w:color="auto" w:val="clear"/>
          </w:tcPr>
          <w:p>
            <w:r>
              <w:rPr>
                <w:b w:val="false"/>
                <w:bCs w:val="false"/>
                <w:color w:val="222222"/>
                <w:sz w:val="20"/>
                <w:szCs w:val="20"/>
              </w:rPr>
              <w:t xml:space="preserve">Tier 2 — clinical translation</w:t>
            </w:r>
          </w:p>
        </w:tc>
      </w:tr>
      <w:tr>
        <w:trPr>
          <w:tblHeader w:val="false"/>
        </w:trPr>
        <w:tc>
          <w:tcPr>
            <w:tcW w:type="dxa" w:w="2160"/>
            <w:shd w:fill="FFFFFF" w:color="auto" w:val="clear"/>
          </w:tcPr>
          <w:p>
            <w:r>
              <w:rPr>
                <w:b w:val="false"/>
                <w:bCs w:val="false"/>
                <w:color w:val="222222"/>
                <w:sz w:val="20"/>
                <w:szCs w:val="20"/>
              </w:rPr>
              <w:t xml:space="preserve">ICD-10/11</w:t>
            </w:r>
          </w:p>
        </w:tc>
        <w:tc>
          <w:tcPr>
            <w:tcW w:type="dxa" w:w="2520"/>
            <w:shd w:fill="FFFFFF" w:color="auto" w:val="clear"/>
          </w:tcPr>
          <w:p>
            <w:r>
              <w:rPr>
                <w:b w:val="false"/>
                <w:bCs w:val="false"/>
                <w:color w:val="222222"/>
                <w:sz w:val="20"/>
                <w:szCs w:val="20"/>
              </w:rPr>
              <w:t xml:space="preserve">Disease classification</w:t>
            </w:r>
          </w:p>
        </w:tc>
        <w:tc>
          <w:tcPr>
            <w:tcW w:type="dxa" w:w="1980"/>
            <w:shd w:fill="FFFFFF" w:color="auto" w:val="clear"/>
          </w:tcPr>
          <w:p>
            <w:r>
              <w:rPr>
                <w:b w:val="false"/>
                <w:bCs w:val="false"/>
                <w:color w:val="222222"/>
                <w:sz w:val="20"/>
                <w:szCs w:val="20"/>
              </w:rPr>
              <w:t xml:space="preserve">Free (WHO)</w:t>
            </w:r>
          </w:p>
        </w:tc>
        <w:tc>
          <w:tcPr>
            <w:tcW w:type="dxa" w:w="2700"/>
            <w:shd w:fill="FFFFFF" w:color="auto" w:val="clear"/>
          </w:tcPr>
          <w:p>
            <w:r>
              <w:rPr>
                <w:b w:val="false"/>
                <w:bCs w:val="false"/>
                <w:color w:val="222222"/>
                <w:sz w:val="20"/>
                <w:szCs w:val="20"/>
              </w:rPr>
              <w:t xml:space="preserve">Tier 2 — billing/coding mapping</w:t>
            </w:r>
          </w:p>
        </w:tc>
      </w:tr>
      <w:tr>
        <w:trPr>
          <w:tblHeader w:val="false"/>
        </w:trPr>
        <w:tc>
          <w:tcPr>
            <w:tcW w:type="dxa" w:w="2160"/>
            <w:shd w:fill="F8F8F8" w:color="auto" w:val="clear"/>
          </w:tcPr>
          <w:p>
            <w:r>
              <w:rPr>
                <w:b w:val="false"/>
                <w:bCs w:val="false"/>
                <w:color w:val="222222"/>
                <w:sz w:val="20"/>
                <w:szCs w:val="20"/>
              </w:rPr>
              <w:t xml:space="preserve">LOINC</w:t>
            </w:r>
          </w:p>
        </w:tc>
        <w:tc>
          <w:tcPr>
            <w:tcW w:type="dxa" w:w="2520"/>
            <w:shd w:fill="F8F8F8" w:color="auto" w:val="clear"/>
          </w:tcPr>
          <w:p>
            <w:r>
              <w:rPr>
                <w:b w:val="false"/>
                <w:bCs w:val="false"/>
                <w:color w:val="222222"/>
                <w:sz w:val="20"/>
                <w:szCs w:val="20"/>
              </w:rPr>
              <w:t xml:space="preserve">Lab observations</w:t>
            </w:r>
          </w:p>
        </w:tc>
        <w:tc>
          <w:tcPr>
            <w:tcW w:type="dxa" w:w="1980"/>
            <w:shd w:fill="F8F8F8" w:color="auto" w:val="clear"/>
          </w:tcPr>
          <w:p>
            <w:r>
              <w:rPr>
                <w:b w:val="false"/>
                <w:bCs w:val="false"/>
                <w:color w:val="222222"/>
                <w:sz w:val="20"/>
                <w:szCs w:val="20"/>
              </w:rPr>
              <w:t xml:space="preserve">Free</w:t>
            </w:r>
          </w:p>
        </w:tc>
        <w:tc>
          <w:tcPr>
            <w:tcW w:type="dxa" w:w="2700"/>
            <w:shd w:fill="F8F8F8" w:color="auto" w:val="clear"/>
          </w:tcPr>
          <w:p>
            <w:r>
              <w:rPr>
                <w:b w:val="false"/>
                <w:bCs w:val="false"/>
                <w:color w:val="222222"/>
                <w:sz w:val="20"/>
                <w:szCs w:val="20"/>
              </w:rPr>
              <w:t xml:space="preserve">Tier 3</w:t>
            </w:r>
          </w:p>
        </w:tc>
      </w:tr>
      <w:tr>
        <w:trPr>
          <w:tblHeader w:val="false"/>
        </w:trPr>
        <w:tc>
          <w:tcPr>
            <w:tcW w:type="dxa" w:w="2160"/>
            <w:shd w:fill="FFFFFF" w:color="auto" w:val="clear"/>
          </w:tcPr>
          <w:p>
            <w:r>
              <w:rPr>
                <w:b w:val="false"/>
                <w:bCs w:val="false"/>
                <w:color w:val="222222"/>
                <w:sz w:val="20"/>
                <w:szCs w:val="20"/>
              </w:rPr>
              <w:t xml:space="preserve">ATC (WHOCC)</w:t>
            </w:r>
          </w:p>
        </w:tc>
        <w:tc>
          <w:tcPr>
            <w:tcW w:type="dxa" w:w="2520"/>
            <w:shd w:fill="FFFFFF" w:color="auto" w:val="clear"/>
          </w:tcPr>
          <w:p>
            <w:r>
              <w:rPr>
                <w:b w:val="false"/>
                <w:bCs w:val="false"/>
                <w:color w:val="222222"/>
                <w:sz w:val="20"/>
                <w:szCs w:val="20"/>
              </w:rPr>
              <w:t xml:space="preserve">Drug classification</w:t>
            </w:r>
          </w:p>
        </w:tc>
        <w:tc>
          <w:tcPr>
            <w:tcW w:type="dxa" w:w="1980"/>
            <w:shd w:fill="FFFFFF" w:color="auto" w:val="clear"/>
          </w:tcPr>
          <w:p>
            <w:r>
              <w:rPr>
                <w:b w:val="false"/>
                <w:bCs w:val="false"/>
                <w:color w:val="222222"/>
                <w:sz w:val="20"/>
                <w:szCs w:val="20"/>
              </w:rPr>
              <w:t xml:space="preserve">Free</w:t>
            </w:r>
          </w:p>
        </w:tc>
        <w:tc>
          <w:tcPr>
            <w:tcW w:type="dxa" w:w="2700"/>
            <w:shd w:fill="FFFFFF" w:color="auto" w:val="clear"/>
          </w:tcPr>
          <w:p>
            <w:r>
              <w:rPr>
                <w:b w:val="false"/>
                <w:bCs w:val="false"/>
                <w:color w:val="222222"/>
                <w:sz w:val="20"/>
                <w:szCs w:val="20"/>
              </w:rPr>
              <w:t xml:space="preserve">Tier 1 — drug class</w:t>
            </w:r>
          </w:p>
        </w:tc>
      </w:tr>
      <w:tr>
        <w:trPr>
          <w:tblHeader w:val="false"/>
        </w:trPr>
        <w:tc>
          <w:tcPr>
            <w:tcW w:type="dxa" w:w="2160"/>
            <w:shd w:fill="F8F8F8" w:color="auto" w:val="clear"/>
          </w:tcPr>
          <w:p>
            <w:r>
              <w:rPr>
                <w:b w:val="false"/>
                <w:bCs w:val="false"/>
                <w:color w:val="222222"/>
                <w:sz w:val="20"/>
                <w:szCs w:val="20"/>
              </w:rPr>
              <w:t xml:space="preserve">RxNorm</w:t>
            </w:r>
          </w:p>
        </w:tc>
        <w:tc>
          <w:tcPr>
            <w:tcW w:type="dxa" w:w="2520"/>
            <w:shd w:fill="F8F8F8" w:color="auto" w:val="clear"/>
          </w:tcPr>
          <w:p>
            <w:r>
              <w:rPr>
                <w:b w:val="false"/>
                <w:bCs w:val="false"/>
                <w:color w:val="222222"/>
                <w:sz w:val="20"/>
                <w:szCs w:val="20"/>
              </w:rPr>
              <w:t xml:space="preserve">Drug names</w:t>
            </w:r>
          </w:p>
        </w:tc>
        <w:tc>
          <w:tcPr>
            <w:tcW w:type="dxa" w:w="1980"/>
            <w:shd w:fill="F8F8F8" w:color="auto" w:val="clear"/>
          </w:tcPr>
          <w:p>
            <w:r>
              <w:rPr>
                <w:b w:val="false"/>
                <w:bCs w:val="false"/>
                <w:color w:val="222222"/>
                <w:sz w:val="20"/>
                <w:szCs w:val="20"/>
              </w:rPr>
              <w:t xml:space="preserve">Public domain (NLM)</w:t>
            </w:r>
          </w:p>
        </w:tc>
        <w:tc>
          <w:tcPr>
            <w:tcW w:type="dxa" w:w="2700"/>
            <w:shd w:fill="F8F8F8" w:color="auto" w:val="clear"/>
          </w:tcPr>
          <w:p>
            <w:r>
              <w:rPr>
                <w:b w:val="false"/>
                <w:bCs w:val="false"/>
                <w:color w:val="222222"/>
                <w:sz w:val="20"/>
                <w:szCs w:val="20"/>
              </w:rPr>
              <w:t xml:space="preserve">Tier 1 — drug entity resolution</w:t>
            </w:r>
          </w:p>
        </w:tc>
      </w:tr>
      <w:tr>
        <w:trPr>
          <w:tblHeader w:val="false"/>
        </w:trPr>
        <w:tc>
          <w:tcPr>
            <w:tcW w:type="dxa" w:w="2160"/>
            <w:shd w:fill="FFFFFF" w:color="auto" w:val="clear"/>
          </w:tcPr>
          <w:p>
            <w:r>
              <w:rPr>
                <w:b w:val="false"/>
                <w:bCs w:val="false"/>
                <w:color w:val="222222"/>
                <w:sz w:val="20"/>
                <w:szCs w:val="20"/>
              </w:rPr>
              <w:t xml:space="preserve">DOID (Disease Ontology)</w:t>
            </w:r>
          </w:p>
        </w:tc>
        <w:tc>
          <w:tcPr>
            <w:tcW w:type="dxa" w:w="2520"/>
            <w:shd w:fill="FFFFFF" w:color="auto" w:val="clear"/>
          </w:tcPr>
          <w:p>
            <w:r>
              <w:rPr>
                <w:b w:val="false"/>
                <w:bCs w:val="false"/>
                <w:color w:val="222222"/>
                <w:sz w:val="20"/>
                <w:szCs w:val="20"/>
              </w:rPr>
              <w:t xml:space="preserve">Disease relationships</w:t>
            </w:r>
          </w:p>
        </w:tc>
        <w:tc>
          <w:tcPr>
            <w:tcW w:type="dxa" w:w="1980"/>
            <w:shd w:fill="FFFFFF" w:color="auto" w:val="clear"/>
          </w:tcPr>
          <w:p>
            <w:r>
              <w:rPr>
                <w:b w:val="false"/>
                <w:bCs w:val="false"/>
                <w:color w:val="222222"/>
                <w:sz w:val="20"/>
                <w:szCs w:val="20"/>
              </w:rPr>
              <w:t xml:space="preserve">CC0</w:t>
            </w:r>
          </w:p>
        </w:tc>
        <w:tc>
          <w:tcPr>
            <w:tcW w:type="dxa" w:w="2700"/>
            <w:shd w:fill="FFFFFF" w:color="auto" w:val="clear"/>
          </w:tcPr>
          <w:p>
            <w:r>
              <w:rPr>
                <w:b w:val="false"/>
                <w:bCs w:val="false"/>
                <w:color w:val="222222"/>
                <w:sz w:val="20"/>
                <w:szCs w:val="20"/>
              </w:rPr>
              <w:t xml:space="preserve">Tier 1 — augment MONDO</w:t>
            </w:r>
          </w:p>
        </w:tc>
      </w:tr>
    </w:tbl>
    <w:p>
      <w:pPr>
        <w:pStyle w:val="Heading2"/>
      </w:pPr>
      <w:r>
        <w:t xml:space="preserve">8.6 NLP and extraction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620"/>
        <w:gridCol w:w="3060"/>
      </w:tblGrid>
      <w:tr>
        <w:trPr>
          <w:tblHeader/>
        </w:trPr>
        <w:tc>
          <w:tcPr>
            <w:tcW w:type="dxa" w:w="2160"/>
            <w:shd w:fill="7A1F3D" w:color="auto" w:val="clear"/>
          </w:tcPr>
          <w:p>
            <w:r>
              <w:rPr>
                <w:b/>
                <w:bCs/>
                <w:color w:val="FFFFFF"/>
                <w:sz w:val="20"/>
                <w:szCs w:val="20"/>
              </w:rPr>
              <w:t xml:space="preserve">Tool</w:t>
            </w:r>
          </w:p>
        </w:tc>
        <w:tc>
          <w:tcPr>
            <w:tcW w:type="dxa" w:w="2520"/>
            <w:shd w:fill="7A1F3D" w:color="auto" w:val="clear"/>
          </w:tcPr>
          <w:p>
            <w:r>
              <w:rPr>
                <w:b/>
                <w:bCs/>
                <w:color w:val="FFFFFF"/>
                <w:sz w:val="20"/>
                <w:szCs w:val="20"/>
              </w:rPr>
              <w:t xml:space="preserve">Function</w:t>
            </w:r>
          </w:p>
        </w:tc>
        <w:tc>
          <w:tcPr>
            <w:tcW w:type="dxa" w:w="1620"/>
            <w:shd w:fill="7A1F3D" w:color="auto" w:val="clear"/>
          </w:tcPr>
          <w:p>
            <w:r>
              <w:rPr>
                <w:b/>
                <w:bCs/>
                <w:color w:val="FFFFFF"/>
                <w:sz w:val="20"/>
                <w:szCs w:val="20"/>
              </w:rPr>
              <w:t xml:space="preserve">License</w:t>
            </w:r>
          </w:p>
        </w:tc>
        <w:tc>
          <w:tcPr>
            <w:tcW w:type="dxa" w:w="306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PaperQA2 (FutureHouse)</w:t>
            </w:r>
          </w:p>
        </w:tc>
        <w:tc>
          <w:tcPr>
            <w:tcW w:type="dxa" w:w="2520"/>
            <w:shd w:fill="F8F8F8" w:color="auto" w:val="clear"/>
          </w:tcPr>
          <w:p>
            <w:r>
              <w:rPr>
                <w:b w:val="false"/>
                <w:bCs w:val="false"/>
                <w:color w:val="222222"/>
                <w:sz w:val="20"/>
                <w:szCs w:val="20"/>
              </w:rPr>
              <w:t xml:space="preserve">Provenance-preserving RAG for science</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Core retrieval — 30–40% reuse</w:t>
            </w:r>
          </w:p>
        </w:tc>
      </w:tr>
      <w:tr>
        <w:trPr>
          <w:tblHeader w:val="false"/>
        </w:trPr>
        <w:tc>
          <w:tcPr>
            <w:tcW w:type="dxa" w:w="2160"/>
            <w:shd w:fill="FFFFFF" w:color="auto" w:val="clear"/>
          </w:tcPr>
          <w:p>
            <w:r>
              <w:rPr>
                <w:b w:val="false"/>
                <w:bCs w:val="false"/>
                <w:color w:val="222222"/>
                <w:sz w:val="20"/>
                <w:szCs w:val="20"/>
              </w:rPr>
              <w:t xml:space="preserve">OntoGPT (Monarch Initiative)</w:t>
            </w:r>
          </w:p>
        </w:tc>
        <w:tc>
          <w:tcPr>
            <w:tcW w:type="dxa" w:w="2520"/>
            <w:shd w:fill="FFFFFF" w:color="auto" w:val="clear"/>
          </w:tcPr>
          <w:p>
            <w:r>
              <w:rPr>
                <w:b w:val="false"/>
                <w:bCs w:val="false"/>
                <w:color w:val="222222"/>
                <w:sz w:val="20"/>
                <w:szCs w:val="20"/>
              </w:rPr>
              <w:t xml:space="preserve">Ontology-grounded LLM extraction</w:t>
            </w:r>
          </w:p>
        </w:tc>
        <w:tc>
          <w:tcPr>
            <w:tcW w:type="dxa" w:w="1620"/>
            <w:shd w:fill="FFFFFF" w:color="auto" w:val="clear"/>
          </w:tcPr>
          <w:p>
            <w:r>
              <w:rPr>
                <w:b w:val="false"/>
                <w:bCs w:val="false"/>
                <w:color w:val="222222"/>
                <w:sz w:val="20"/>
                <w:szCs w:val="20"/>
              </w:rPr>
              <w:t xml:space="preserve">BSD-3</w:t>
            </w:r>
          </w:p>
        </w:tc>
        <w:tc>
          <w:tcPr>
            <w:tcW w:type="dxa" w:w="3060"/>
            <w:shd w:fill="FFFFFF" w:color="auto" w:val="clear"/>
          </w:tcPr>
          <w:p>
            <w:r>
              <w:rPr>
                <w:b w:val="false"/>
                <w:bCs w:val="false"/>
                <w:color w:val="222222"/>
                <w:sz w:val="20"/>
                <w:szCs w:val="20"/>
              </w:rPr>
              <w:t xml:space="preserve">Core extraction</w:t>
            </w:r>
          </w:p>
        </w:tc>
      </w:tr>
      <w:tr>
        <w:trPr>
          <w:tblHeader w:val="false"/>
        </w:trPr>
        <w:tc>
          <w:tcPr>
            <w:tcW w:type="dxa" w:w="2160"/>
            <w:shd w:fill="F8F8F8" w:color="auto" w:val="clear"/>
          </w:tcPr>
          <w:p>
            <w:r>
              <w:rPr>
                <w:b w:val="false"/>
                <w:bCs w:val="false"/>
                <w:color w:val="222222"/>
                <w:sz w:val="20"/>
                <w:szCs w:val="20"/>
              </w:rPr>
              <w:t xml:space="preserve">MedScore</w:t>
            </w:r>
          </w:p>
        </w:tc>
        <w:tc>
          <w:tcPr>
            <w:tcW w:type="dxa" w:w="2520"/>
            <w:shd w:fill="F8F8F8" w:color="auto" w:val="clear"/>
          </w:tcPr>
          <w:p>
            <w:r>
              <w:rPr>
                <w:b w:val="false"/>
                <w:bCs w:val="false"/>
                <w:color w:val="222222"/>
                <w:sz w:val="20"/>
                <w:szCs w:val="20"/>
              </w:rPr>
              <w:t xml:space="preserve">Atomic claim decomposition</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Atomic verification step</w:t>
            </w:r>
          </w:p>
        </w:tc>
      </w:tr>
      <w:tr>
        <w:trPr>
          <w:tblHeader w:val="false"/>
        </w:trPr>
        <w:tc>
          <w:tcPr>
            <w:tcW w:type="dxa" w:w="2160"/>
            <w:shd w:fill="FFFFFF" w:color="auto" w:val="clear"/>
          </w:tcPr>
          <w:p>
            <w:r>
              <w:rPr>
                <w:b w:val="false"/>
                <w:bCs w:val="false"/>
                <w:color w:val="222222"/>
                <w:sz w:val="20"/>
                <w:szCs w:val="20"/>
              </w:rPr>
              <w:t xml:space="preserve">scispaCy / spaCy (en_core_sci_lg)</w:t>
            </w:r>
          </w:p>
        </w:tc>
        <w:tc>
          <w:tcPr>
            <w:tcW w:type="dxa" w:w="2520"/>
            <w:shd w:fill="FFFFFF" w:color="auto" w:val="clear"/>
          </w:tcPr>
          <w:p>
            <w:r>
              <w:rPr>
                <w:b w:val="false"/>
                <w:bCs w:val="false"/>
                <w:color w:val="222222"/>
                <w:sz w:val="20"/>
                <w:szCs w:val="20"/>
              </w:rPr>
              <w:t xml:space="preserve">Scientific NER</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Lightweight NER backbone</w:t>
            </w:r>
          </w:p>
        </w:tc>
      </w:tr>
      <w:tr>
        <w:trPr>
          <w:tblHeader w:val="false"/>
        </w:trPr>
        <w:tc>
          <w:tcPr>
            <w:tcW w:type="dxa" w:w="2160"/>
            <w:shd w:fill="F8F8F8" w:color="auto" w:val="clear"/>
          </w:tcPr>
          <w:p>
            <w:r>
              <w:rPr>
                <w:b w:val="false"/>
                <w:bCs w:val="false"/>
                <w:color w:val="222222"/>
                <w:sz w:val="20"/>
                <w:szCs w:val="20"/>
              </w:rPr>
              <w:t xml:space="preserve">BioBERT, PubMedBERT</w:t>
            </w:r>
          </w:p>
        </w:tc>
        <w:tc>
          <w:tcPr>
            <w:tcW w:type="dxa" w:w="2520"/>
            <w:shd w:fill="F8F8F8" w:color="auto" w:val="clear"/>
          </w:tcPr>
          <w:p>
            <w:r>
              <w:rPr>
                <w:b w:val="false"/>
                <w:bCs w:val="false"/>
                <w:color w:val="222222"/>
                <w:sz w:val="20"/>
                <w:szCs w:val="20"/>
              </w:rPr>
              <w:t xml:space="preserve">Biomedical encoder models</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NLI + embedding components</w:t>
            </w:r>
          </w:p>
        </w:tc>
      </w:tr>
      <w:tr>
        <w:trPr>
          <w:tblHeader w:val="false"/>
        </w:trPr>
        <w:tc>
          <w:tcPr>
            <w:tcW w:type="dxa" w:w="2160"/>
            <w:shd w:fill="FFFFFF" w:color="auto" w:val="clear"/>
          </w:tcPr>
          <w:p>
            <w:r>
              <w:rPr>
                <w:b w:val="false"/>
                <w:bCs w:val="false"/>
                <w:color w:val="222222"/>
                <w:sz w:val="20"/>
                <w:szCs w:val="20"/>
              </w:rPr>
              <w:t xml:space="preserve">BERN2</w:t>
            </w:r>
          </w:p>
        </w:tc>
        <w:tc>
          <w:tcPr>
            <w:tcW w:type="dxa" w:w="2520"/>
            <w:shd w:fill="FFFFFF" w:color="auto" w:val="clear"/>
          </w:tcPr>
          <w:p>
            <w:r>
              <w:rPr>
                <w:b w:val="false"/>
                <w:bCs w:val="false"/>
                <w:color w:val="222222"/>
                <w:sz w:val="20"/>
                <w:szCs w:val="20"/>
              </w:rPr>
              <w:t xml:space="preserve">Biomedical NER + normalization</w:t>
            </w:r>
          </w:p>
        </w:tc>
        <w:tc>
          <w:tcPr>
            <w:tcW w:type="dxa" w:w="1620"/>
            <w:shd w:fill="FFFFFF" w:color="auto" w:val="clear"/>
          </w:tcPr>
          <w:p>
            <w:r>
              <w:rPr>
                <w:b w:val="false"/>
                <w:bCs w:val="false"/>
                <w:color w:val="222222"/>
                <w:sz w:val="20"/>
                <w:szCs w:val="20"/>
              </w:rPr>
              <w:t xml:space="preserve">BSD</w:t>
            </w:r>
          </w:p>
        </w:tc>
        <w:tc>
          <w:tcPr>
            <w:tcW w:type="dxa" w:w="3060"/>
            <w:shd w:fill="FFFFFF" w:color="auto" w:val="clear"/>
          </w:tcPr>
          <w:p>
            <w:r>
              <w:rPr>
                <w:b w:val="false"/>
                <w:bCs w:val="false"/>
                <w:color w:val="222222"/>
                <w:sz w:val="20"/>
                <w:szCs w:val="20"/>
              </w:rPr>
              <w:t xml:space="preserve">Entity recognition</w:t>
            </w:r>
          </w:p>
        </w:tc>
      </w:tr>
      <w:tr>
        <w:trPr>
          <w:tblHeader w:val="false"/>
        </w:trPr>
        <w:tc>
          <w:tcPr>
            <w:tcW w:type="dxa" w:w="2160"/>
            <w:shd w:fill="F8F8F8" w:color="auto" w:val="clear"/>
          </w:tcPr>
          <w:p>
            <w:r>
              <w:rPr>
                <w:b w:val="false"/>
                <w:bCs w:val="false"/>
                <w:color w:val="222222"/>
                <w:sz w:val="20"/>
                <w:szCs w:val="20"/>
              </w:rPr>
              <w:t xml:space="preserve">SciREX</w:t>
            </w:r>
          </w:p>
        </w:tc>
        <w:tc>
          <w:tcPr>
            <w:tcW w:type="dxa" w:w="2520"/>
            <w:shd w:fill="F8F8F8" w:color="auto" w:val="clear"/>
          </w:tcPr>
          <w:p>
            <w:r>
              <w:rPr>
                <w:b w:val="false"/>
                <w:bCs w:val="false"/>
                <w:color w:val="222222"/>
                <w:sz w:val="20"/>
                <w:szCs w:val="20"/>
              </w:rPr>
              <w:t xml:space="preserve">Document-level scientific IE</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Tier 2 — cross-document</w:t>
            </w:r>
          </w:p>
        </w:tc>
      </w:tr>
      <w:tr>
        <w:trPr>
          <w:tblHeader w:val="false"/>
        </w:trPr>
        <w:tc>
          <w:tcPr>
            <w:tcW w:type="dxa" w:w="2160"/>
            <w:shd w:fill="FFFFFF" w:color="auto" w:val="clear"/>
          </w:tcPr>
          <w:p>
            <w:r>
              <w:rPr>
                <w:b w:val="false"/>
                <w:bCs w:val="false"/>
                <w:color w:val="222222"/>
                <w:sz w:val="20"/>
                <w:szCs w:val="20"/>
              </w:rPr>
              <w:t xml:space="preserve">HHEM-2.1 (Vectara)</w:t>
            </w:r>
          </w:p>
        </w:tc>
        <w:tc>
          <w:tcPr>
            <w:tcW w:type="dxa" w:w="2520"/>
            <w:shd w:fill="FFFFFF" w:color="auto" w:val="clear"/>
          </w:tcPr>
          <w:p>
            <w:r>
              <w:rPr>
                <w:b w:val="false"/>
                <w:bCs w:val="false"/>
                <w:color w:val="222222"/>
                <w:sz w:val="20"/>
                <w:szCs w:val="20"/>
              </w:rPr>
              <w:t xml:space="preserve">Hallucination evaluation</w:t>
            </w:r>
          </w:p>
        </w:tc>
        <w:tc>
          <w:tcPr>
            <w:tcW w:type="dxa" w:w="1620"/>
            <w:shd w:fill="FFFFFF" w:color="auto" w:val="clear"/>
          </w:tcPr>
          <w:p>
            <w:r>
              <w:rPr>
                <w:b w:val="false"/>
                <w:bCs w:val="false"/>
                <w:color w:val="222222"/>
                <w:sz w:val="20"/>
                <w:szCs w:val="20"/>
              </w:rPr>
              <w:t xml:space="preserve">Apache 2.0</w:t>
            </w:r>
          </w:p>
        </w:tc>
        <w:tc>
          <w:tcPr>
            <w:tcW w:type="dxa" w:w="3060"/>
            <w:shd w:fill="FFFFFF" w:color="auto" w:val="clear"/>
          </w:tcPr>
          <w:p>
            <w:r>
              <w:rPr>
                <w:b w:val="false"/>
                <w:bCs w:val="false"/>
                <w:color w:val="222222"/>
                <w:sz w:val="20"/>
                <w:szCs w:val="20"/>
              </w:rPr>
              <w:t xml:space="preserve">Synthesis guardrail</w:t>
            </w:r>
          </w:p>
        </w:tc>
      </w:tr>
      <w:tr>
        <w:trPr>
          <w:tblHeader w:val="false"/>
        </w:trPr>
        <w:tc>
          <w:tcPr>
            <w:tcW w:type="dxa" w:w="2160"/>
            <w:shd w:fill="F8F8F8" w:color="auto" w:val="clear"/>
          </w:tcPr>
          <w:p>
            <w:r>
              <w:rPr>
                <w:b w:val="false"/>
                <w:bCs w:val="false"/>
                <w:color w:val="222222"/>
                <w:sz w:val="20"/>
                <w:szCs w:val="20"/>
              </w:rPr>
              <w:t xml:space="preserve">MedCPT (NCBI)</w:t>
            </w:r>
          </w:p>
        </w:tc>
        <w:tc>
          <w:tcPr>
            <w:tcW w:type="dxa" w:w="2520"/>
            <w:shd w:fill="F8F8F8" w:color="auto" w:val="clear"/>
          </w:tcPr>
          <w:p>
            <w:r>
              <w:rPr>
                <w:b w:val="false"/>
                <w:bCs w:val="false"/>
                <w:color w:val="222222"/>
                <w:sz w:val="20"/>
                <w:szCs w:val="20"/>
              </w:rPr>
              <w:t xml:space="preserve">Biomedical embeddings</w:t>
            </w:r>
          </w:p>
        </w:tc>
        <w:tc>
          <w:tcPr>
            <w:tcW w:type="dxa" w:w="1620"/>
            <w:shd w:fill="F8F8F8" w:color="auto" w:val="clear"/>
          </w:tcPr>
          <w:p>
            <w:r>
              <w:rPr>
                <w:b w:val="false"/>
                <w:bCs w:val="false"/>
                <w:color w:val="222222"/>
                <w:sz w:val="20"/>
                <w:szCs w:val="20"/>
              </w:rPr>
              <w:t xml:space="preserve">NCBI public domain</w:t>
            </w:r>
          </w:p>
        </w:tc>
        <w:tc>
          <w:tcPr>
            <w:tcW w:type="dxa" w:w="3060"/>
            <w:shd w:fill="F8F8F8" w:color="auto" w:val="clear"/>
          </w:tcPr>
          <w:p>
            <w:r>
              <w:rPr>
                <w:b w:val="false"/>
                <w:bCs w:val="false"/>
                <w:color w:val="222222"/>
                <w:sz w:val="20"/>
                <w:szCs w:val="20"/>
              </w:rPr>
              <w:t xml:space="preserve">Primary embedding model</w:t>
            </w:r>
          </w:p>
        </w:tc>
      </w:tr>
      <w:tr>
        <w:trPr>
          <w:tblHeader w:val="false"/>
        </w:trPr>
        <w:tc>
          <w:tcPr>
            <w:tcW w:type="dxa" w:w="2160"/>
            <w:shd w:fill="FFFFFF" w:color="auto" w:val="clear"/>
          </w:tcPr>
          <w:p>
            <w:r>
              <w:rPr>
                <w:b w:val="false"/>
                <w:bCs w:val="false"/>
                <w:color w:val="222222"/>
                <w:sz w:val="20"/>
                <w:szCs w:val="20"/>
              </w:rPr>
              <w:t xml:space="preserve">BAAI/bge-large</w:t>
            </w:r>
          </w:p>
        </w:tc>
        <w:tc>
          <w:tcPr>
            <w:tcW w:type="dxa" w:w="2520"/>
            <w:shd w:fill="FFFFFF" w:color="auto" w:val="clear"/>
          </w:tcPr>
          <w:p>
            <w:r>
              <w:rPr>
                <w:b w:val="false"/>
                <w:bCs w:val="false"/>
                <w:color w:val="222222"/>
                <w:sz w:val="20"/>
                <w:szCs w:val="20"/>
              </w:rPr>
              <w:t xml:space="preserve">General-purpose embedding</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Fallback embedding</w:t>
            </w:r>
          </w:p>
        </w:tc>
      </w:tr>
      <w:tr>
        <w:trPr>
          <w:tblHeader w:val="false"/>
        </w:trPr>
        <w:tc>
          <w:tcPr>
            <w:tcW w:type="dxa" w:w="2160"/>
            <w:shd w:fill="F8F8F8" w:color="auto" w:val="clear"/>
          </w:tcPr>
          <w:p>
            <w:r>
              <w:rPr>
                <w:b w:val="false"/>
                <w:bCs w:val="false"/>
                <w:color w:val="222222"/>
                <w:sz w:val="20"/>
                <w:szCs w:val="20"/>
              </w:rPr>
              <w:t xml:space="preserve">SapBERT</w:t>
            </w:r>
          </w:p>
        </w:tc>
        <w:tc>
          <w:tcPr>
            <w:tcW w:type="dxa" w:w="2520"/>
            <w:shd w:fill="F8F8F8" w:color="auto" w:val="clear"/>
          </w:tcPr>
          <w:p>
            <w:r>
              <w:rPr>
                <w:b w:val="false"/>
                <w:bCs w:val="false"/>
                <w:color w:val="222222"/>
                <w:sz w:val="20"/>
                <w:szCs w:val="20"/>
              </w:rPr>
              <w:t xml:space="preserve">Entity linking</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Tier 2</w:t>
            </w:r>
          </w:p>
        </w:tc>
      </w:tr>
      <w:tr>
        <w:trPr>
          <w:tblHeader w:val="false"/>
        </w:trPr>
        <w:tc>
          <w:tcPr>
            <w:tcW w:type="dxa" w:w="2160"/>
            <w:shd w:fill="FFFFFF" w:color="auto" w:val="clear"/>
          </w:tcPr>
          <w:p>
            <w:r>
              <w:rPr>
                <w:b w:val="false"/>
                <w:bCs w:val="false"/>
                <w:color w:val="222222"/>
                <w:sz w:val="20"/>
                <w:szCs w:val="20"/>
              </w:rPr>
              <w:t xml:space="preserve">LinkBERT</w:t>
            </w:r>
          </w:p>
        </w:tc>
        <w:tc>
          <w:tcPr>
            <w:tcW w:type="dxa" w:w="2520"/>
            <w:shd w:fill="FFFFFF" w:color="auto" w:val="clear"/>
          </w:tcPr>
          <w:p>
            <w:r>
              <w:rPr>
                <w:b w:val="false"/>
                <w:bCs w:val="false"/>
                <w:color w:val="222222"/>
                <w:sz w:val="20"/>
                <w:szCs w:val="20"/>
              </w:rPr>
              <w:t xml:space="preserve">Document-linked encoder</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Tier 2</w:t>
            </w:r>
          </w:p>
        </w:tc>
      </w:tr>
      <w:tr>
        <w:trPr>
          <w:tblHeader w:val="false"/>
        </w:trPr>
        <w:tc>
          <w:tcPr>
            <w:tcW w:type="dxa" w:w="2160"/>
            <w:shd w:fill="F8F8F8" w:color="auto" w:val="clear"/>
          </w:tcPr>
          <w:p>
            <w:r>
              <w:rPr>
                <w:b w:val="false"/>
                <w:bCs w:val="false"/>
                <w:color w:val="222222"/>
                <w:sz w:val="20"/>
                <w:szCs w:val="20"/>
              </w:rPr>
              <w:t xml:space="preserve">Galactica (Meta)</w:t>
            </w:r>
          </w:p>
        </w:tc>
        <w:tc>
          <w:tcPr>
            <w:tcW w:type="dxa" w:w="2520"/>
            <w:shd w:fill="F8F8F8" w:color="auto" w:val="clear"/>
          </w:tcPr>
          <w:p>
            <w:r>
              <w:rPr>
                <w:b w:val="false"/>
                <w:bCs w:val="false"/>
                <w:color w:val="222222"/>
                <w:sz w:val="20"/>
                <w:szCs w:val="20"/>
              </w:rPr>
              <w:t xml:space="preserve">Scientific LM</w:t>
            </w:r>
          </w:p>
        </w:tc>
        <w:tc>
          <w:tcPr>
            <w:tcW w:type="dxa" w:w="1620"/>
            <w:shd w:fill="F8F8F8" w:color="auto" w:val="clear"/>
          </w:tcPr>
          <w:p>
            <w:r>
              <w:rPr>
                <w:b w:val="false"/>
                <w:bCs w:val="false"/>
                <w:color w:val="222222"/>
                <w:sz w:val="20"/>
                <w:szCs w:val="20"/>
              </w:rPr>
              <w:t xml:space="preserve">CC-BY-NC</w:t>
            </w:r>
          </w:p>
        </w:tc>
        <w:tc>
          <w:tcPr>
            <w:tcW w:type="dxa" w:w="3060"/>
            <w:shd w:fill="F8F8F8" w:color="auto" w:val="clear"/>
          </w:tcPr>
          <w:p>
            <w:r>
              <w:rPr>
                <w:b w:val="false"/>
                <w:bCs w:val="false"/>
                <w:color w:val="222222"/>
                <w:sz w:val="20"/>
                <w:szCs w:val="20"/>
              </w:rPr>
              <w:t xml:space="preserve">Reference only — not deployed</w:t>
            </w:r>
          </w:p>
        </w:tc>
      </w:tr>
    </w:tbl>
    <w:p>
      <w:pPr>
        <w:pStyle w:val="Heading2"/>
      </w:pPr>
      <w:r>
        <w:t xml:space="preserve">8.7 Evaluation benchmarks and harnesses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620"/>
        <w:gridCol w:w="3060"/>
      </w:tblGrid>
      <w:tr>
        <w:trPr>
          <w:tblHeader/>
        </w:trPr>
        <w:tc>
          <w:tcPr>
            <w:tcW w:type="dxa" w:w="2160"/>
            <w:shd w:fill="7A1F3D" w:color="auto" w:val="clear"/>
          </w:tcPr>
          <w:p>
            <w:r>
              <w:rPr>
                <w:b/>
                <w:bCs/>
                <w:color w:val="FFFFFF"/>
                <w:sz w:val="20"/>
                <w:szCs w:val="20"/>
              </w:rPr>
              <w:t xml:space="preserve">Benchmark</w:t>
            </w:r>
          </w:p>
        </w:tc>
        <w:tc>
          <w:tcPr>
            <w:tcW w:type="dxa" w:w="2520"/>
            <w:shd w:fill="7A1F3D" w:color="auto" w:val="clear"/>
          </w:tcPr>
          <w:p>
            <w:r>
              <w:rPr>
                <w:b/>
                <w:bCs/>
                <w:color w:val="FFFFFF"/>
                <w:sz w:val="20"/>
                <w:szCs w:val="20"/>
              </w:rPr>
              <w:t xml:space="preserve">Purpose</w:t>
            </w:r>
          </w:p>
        </w:tc>
        <w:tc>
          <w:tcPr>
            <w:tcW w:type="dxa" w:w="1620"/>
            <w:shd w:fill="7A1F3D" w:color="auto" w:val="clear"/>
          </w:tcPr>
          <w:p>
            <w:r>
              <w:rPr>
                <w:b/>
                <w:bCs/>
                <w:color w:val="FFFFFF"/>
                <w:sz w:val="20"/>
                <w:szCs w:val="20"/>
              </w:rPr>
              <w:t xml:space="preserve">License</w:t>
            </w:r>
          </w:p>
        </w:tc>
        <w:tc>
          <w:tcPr>
            <w:tcW w:type="dxa" w:w="3060"/>
            <w:shd w:fill="7A1F3D" w:color="auto" w:val="clear"/>
          </w:tcPr>
          <w:p>
            <w:r>
              <w:rPr>
                <w:b/>
                <w:bCs/>
                <w:color w:val="FFFFFF"/>
                <w:sz w:val="20"/>
                <w:szCs w:val="20"/>
              </w:rPr>
              <w:t xml:space="preserve">Role in Whel</w:t>
            </w:r>
          </w:p>
        </w:tc>
      </w:tr>
      <w:tr>
        <w:trPr>
          <w:tblHeader w:val="false"/>
        </w:trPr>
        <w:tc>
          <w:tcPr>
            <w:tcW w:type="dxa" w:w="2160"/>
            <w:shd w:fill="F8F8F8" w:color="auto" w:val="clear"/>
          </w:tcPr>
          <w:p>
            <w:r>
              <w:rPr>
                <w:b w:val="false"/>
                <w:bCs w:val="false"/>
                <w:color w:val="222222"/>
                <w:sz w:val="20"/>
                <w:szCs w:val="20"/>
              </w:rPr>
              <w:t xml:space="preserve">MedHELM</w:t>
            </w:r>
          </w:p>
        </w:tc>
        <w:tc>
          <w:tcPr>
            <w:tcW w:type="dxa" w:w="2520"/>
            <w:shd w:fill="F8F8F8" w:color="auto" w:val="clear"/>
          </w:tcPr>
          <w:p>
            <w:r>
              <w:rPr>
                <w:b w:val="false"/>
                <w:bCs w:val="false"/>
                <w:color w:val="222222"/>
                <w:sz w:val="20"/>
                <w:szCs w:val="20"/>
              </w:rPr>
              <w:t xml:space="preserve">Holistic biomedical LLM eval</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Phase 1 W8 baseline</w:t>
            </w:r>
          </w:p>
        </w:tc>
      </w:tr>
      <w:tr>
        <w:trPr>
          <w:tblHeader w:val="false"/>
        </w:trPr>
        <w:tc>
          <w:tcPr>
            <w:tcW w:type="dxa" w:w="2160"/>
            <w:shd w:fill="FFFFFF" w:color="auto" w:val="clear"/>
          </w:tcPr>
          <w:p>
            <w:r>
              <w:rPr>
                <w:b w:val="false"/>
                <w:bCs w:val="false"/>
                <w:color w:val="222222"/>
                <w:sz w:val="20"/>
                <w:szCs w:val="20"/>
              </w:rPr>
              <w:t xml:space="preserve">MedRAGChecker</w:t>
            </w:r>
          </w:p>
        </w:tc>
        <w:tc>
          <w:tcPr>
            <w:tcW w:type="dxa" w:w="2520"/>
            <w:shd w:fill="FFFFFF" w:color="auto" w:val="clear"/>
          </w:tcPr>
          <w:p>
            <w:r>
              <w:rPr>
                <w:b w:val="false"/>
                <w:bCs w:val="false"/>
                <w:color w:val="222222"/>
                <w:sz w:val="20"/>
                <w:szCs w:val="20"/>
              </w:rPr>
              <w:t xml:space="preserve">SOTA biomedical RAG eval</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Continuous eval</w:t>
            </w:r>
          </w:p>
        </w:tc>
      </w:tr>
      <w:tr>
        <w:trPr>
          <w:tblHeader w:val="false"/>
        </w:trPr>
        <w:tc>
          <w:tcPr>
            <w:tcW w:type="dxa" w:w="2160"/>
            <w:shd w:fill="F8F8F8" w:color="auto" w:val="clear"/>
          </w:tcPr>
          <w:p>
            <w:r>
              <w:rPr>
                <w:b w:val="false"/>
                <w:bCs w:val="false"/>
                <w:color w:val="222222"/>
                <w:sz w:val="20"/>
                <w:szCs w:val="20"/>
              </w:rPr>
              <w:t xml:space="preserve">MIRAGE</w:t>
            </w:r>
          </w:p>
        </w:tc>
        <w:tc>
          <w:tcPr>
            <w:tcW w:type="dxa" w:w="2520"/>
            <w:shd w:fill="F8F8F8" w:color="auto" w:val="clear"/>
          </w:tcPr>
          <w:p>
            <w:r>
              <w:rPr>
                <w:b w:val="false"/>
                <w:bCs w:val="false"/>
                <w:color w:val="222222"/>
                <w:sz w:val="20"/>
                <w:szCs w:val="20"/>
              </w:rPr>
              <w:t xml:space="preserve">Medical retrieval-augmented benchmark</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Cross-comparator</w:t>
            </w:r>
          </w:p>
        </w:tc>
      </w:tr>
      <w:tr>
        <w:trPr>
          <w:tblHeader w:val="false"/>
        </w:trPr>
        <w:tc>
          <w:tcPr>
            <w:tcW w:type="dxa" w:w="2160"/>
            <w:shd w:fill="FFFFFF" w:color="auto" w:val="clear"/>
          </w:tcPr>
          <w:p>
            <w:r>
              <w:rPr>
                <w:b w:val="false"/>
                <w:bCs w:val="false"/>
                <w:color w:val="222222"/>
                <w:sz w:val="20"/>
                <w:szCs w:val="20"/>
              </w:rPr>
              <w:t xml:space="preserve">BIOSSES</w:t>
            </w:r>
          </w:p>
        </w:tc>
        <w:tc>
          <w:tcPr>
            <w:tcW w:type="dxa" w:w="2520"/>
            <w:shd w:fill="FFFFFF" w:color="auto" w:val="clear"/>
          </w:tcPr>
          <w:p>
            <w:r>
              <w:rPr>
                <w:b w:val="false"/>
                <w:bCs w:val="false"/>
                <w:color w:val="222222"/>
                <w:sz w:val="20"/>
                <w:szCs w:val="20"/>
              </w:rPr>
              <w:t xml:space="preserve">Biomedical sentence similarity</w:t>
            </w:r>
          </w:p>
        </w:tc>
        <w:tc>
          <w:tcPr>
            <w:tcW w:type="dxa" w:w="1620"/>
            <w:shd w:fill="FFFFFF" w:color="auto" w:val="clear"/>
          </w:tcPr>
          <w:p>
            <w:r>
              <w:rPr>
                <w:b w:val="false"/>
                <w:bCs w:val="false"/>
                <w:color w:val="222222"/>
                <w:sz w:val="20"/>
                <w:szCs w:val="20"/>
              </w:rPr>
              <w:t xml:space="preserve">Open academic</w:t>
            </w:r>
          </w:p>
        </w:tc>
        <w:tc>
          <w:tcPr>
            <w:tcW w:type="dxa" w:w="3060"/>
            <w:shd w:fill="FFFFFF" w:color="auto" w:val="clear"/>
          </w:tcPr>
          <w:p>
            <w:r>
              <w:rPr>
                <w:b w:val="false"/>
                <w:bCs w:val="false"/>
                <w:color w:val="222222"/>
                <w:sz w:val="20"/>
                <w:szCs w:val="20"/>
              </w:rPr>
              <w:t xml:space="preserve">Embedding eval</w:t>
            </w:r>
          </w:p>
        </w:tc>
      </w:tr>
      <w:tr>
        <w:trPr>
          <w:tblHeader w:val="false"/>
        </w:trPr>
        <w:tc>
          <w:tcPr>
            <w:tcW w:type="dxa" w:w="2160"/>
            <w:shd w:fill="F8F8F8" w:color="auto" w:val="clear"/>
          </w:tcPr>
          <w:p>
            <w:r>
              <w:rPr>
                <w:b w:val="false"/>
                <w:bCs w:val="false"/>
                <w:color w:val="222222"/>
                <w:sz w:val="20"/>
                <w:szCs w:val="20"/>
              </w:rPr>
              <w:t xml:space="preserve">BioASQ</w:t>
            </w:r>
          </w:p>
        </w:tc>
        <w:tc>
          <w:tcPr>
            <w:tcW w:type="dxa" w:w="2520"/>
            <w:shd w:fill="F8F8F8" w:color="auto" w:val="clear"/>
          </w:tcPr>
          <w:p>
            <w:r>
              <w:rPr>
                <w:b w:val="false"/>
                <w:bCs w:val="false"/>
                <w:color w:val="222222"/>
                <w:sz w:val="20"/>
                <w:szCs w:val="20"/>
              </w:rPr>
              <w:t xml:space="preserve">Biomedical QA challenge</w:t>
            </w:r>
          </w:p>
        </w:tc>
        <w:tc>
          <w:tcPr>
            <w:tcW w:type="dxa" w:w="1620"/>
            <w:shd w:fill="F8F8F8" w:color="auto" w:val="clear"/>
          </w:tcPr>
          <w:p>
            <w:r>
              <w:rPr>
                <w:b w:val="false"/>
                <w:bCs w:val="false"/>
                <w:color w:val="222222"/>
                <w:sz w:val="20"/>
                <w:szCs w:val="20"/>
              </w:rPr>
              <w:t xml:space="preserve">Open</w:t>
            </w:r>
          </w:p>
        </w:tc>
        <w:tc>
          <w:tcPr>
            <w:tcW w:type="dxa" w:w="3060"/>
            <w:shd w:fill="F8F8F8" w:color="auto" w:val="clear"/>
          </w:tcPr>
          <w:p>
            <w:r>
              <w:rPr>
                <w:b w:val="false"/>
                <w:bCs w:val="false"/>
                <w:color w:val="222222"/>
                <w:sz w:val="20"/>
                <w:szCs w:val="20"/>
              </w:rPr>
              <w:t xml:space="preserve">QA eval</w:t>
            </w:r>
          </w:p>
        </w:tc>
      </w:tr>
      <w:tr>
        <w:trPr>
          <w:tblHeader w:val="false"/>
        </w:trPr>
        <w:tc>
          <w:tcPr>
            <w:tcW w:type="dxa" w:w="2160"/>
            <w:shd w:fill="FFFFFF" w:color="auto" w:val="clear"/>
          </w:tcPr>
          <w:p>
            <w:r>
              <w:rPr>
                <w:b w:val="false"/>
                <w:bCs w:val="false"/>
                <w:color w:val="222222"/>
                <w:sz w:val="20"/>
                <w:szCs w:val="20"/>
              </w:rPr>
              <w:t xml:space="preserve">PubMedQA</w:t>
            </w:r>
          </w:p>
        </w:tc>
        <w:tc>
          <w:tcPr>
            <w:tcW w:type="dxa" w:w="2520"/>
            <w:shd w:fill="FFFFFF" w:color="auto" w:val="clear"/>
          </w:tcPr>
          <w:p>
            <w:r>
              <w:rPr>
                <w:b w:val="false"/>
                <w:bCs w:val="false"/>
                <w:color w:val="222222"/>
                <w:sz w:val="20"/>
                <w:szCs w:val="20"/>
              </w:rPr>
              <w:t xml:space="preserve">PubMed QA benchmark</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Specific QA eval</w:t>
            </w:r>
          </w:p>
        </w:tc>
      </w:tr>
      <w:tr>
        <w:trPr>
          <w:tblHeader w:val="false"/>
        </w:trPr>
        <w:tc>
          <w:tcPr>
            <w:tcW w:type="dxa" w:w="2160"/>
            <w:shd w:fill="F8F8F8" w:color="auto" w:val="clear"/>
          </w:tcPr>
          <w:p>
            <w:r>
              <w:rPr>
                <w:b w:val="false"/>
                <w:bCs w:val="false"/>
                <w:color w:val="222222"/>
                <w:sz w:val="20"/>
                <w:szCs w:val="20"/>
              </w:rPr>
              <w:t xml:space="preserve">MedMCQA</w:t>
            </w:r>
          </w:p>
        </w:tc>
        <w:tc>
          <w:tcPr>
            <w:tcW w:type="dxa" w:w="2520"/>
            <w:shd w:fill="F8F8F8" w:color="auto" w:val="clear"/>
          </w:tcPr>
          <w:p>
            <w:r>
              <w:rPr>
                <w:b w:val="false"/>
                <w:bCs w:val="false"/>
                <w:color w:val="222222"/>
                <w:sz w:val="20"/>
                <w:szCs w:val="20"/>
              </w:rPr>
              <w:t xml:space="preserve">Multi-choice medical</w:t>
            </w:r>
          </w:p>
        </w:tc>
        <w:tc>
          <w:tcPr>
            <w:tcW w:type="dxa" w:w="1620"/>
            <w:shd w:fill="F8F8F8" w:color="auto" w:val="clear"/>
          </w:tcPr>
          <w:p>
            <w:r>
              <w:rPr>
                <w:b w:val="false"/>
                <w:bCs w:val="false"/>
                <w:color w:val="222222"/>
                <w:sz w:val="20"/>
                <w:szCs w:val="20"/>
              </w:rPr>
              <w:t xml:space="preserve">MIT</w:t>
            </w:r>
          </w:p>
        </w:tc>
        <w:tc>
          <w:tcPr>
            <w:tcW w:type="dxa" w:w="3060"/>
            <w:shd w:fill="F8F8F8" w:color="auto" w:val="clear"/>
          </w:tcPr>
          <w:p>
            <w:r>
              <w:rPr>
                <w:b w:val="false"/>
                <w:bCs w:val="false"/>
                <w:color w:val="222222"/>
                <w:sz w:val="20"/>
                <w:szCs w:val="20"/>
              </w:rPr>
              <w:t xml:space="preserve">Knowledge eval</w:t>
            </w:r>
          </w:p>
        </w:tc>
      </w:tr>
      <w:tr>
        <w:trPr>
          <w:tblHeader w:val="false"/>
        </w:trPr>
        <w:tc>
          <w:tcPr>
            <w:tcW w:type="dxa" w:w="2160"/>
            <w:shd w:fill="FFFFFF" w:color="auto" w:val="clear"/>
          </w:tcPr>
          <w:p>
            <w:r>
              <w:rPr>
                <w:b w:val="false"/>
                <w:bCs w:val="false"/>
                <w:color w:val="222222"/>
                <w:sz w:val="20"/>
                <w:szCs w:val="20"/>
              </w:rPr>
              <w:t xml:space="preserve">FActScore</w:t>
            </w:r>
          </w:p>
        </w:tc>
        <w:tc>
          <w:tcPr>
            <w:tcW w:type="dxa" w:w="2520"/>
            <w:shd w:fill="FFFFFF" w:color="auto" w:val="clear"/>
          </w:tcPr>
          <w:p>
            <w:r>
              <w:rPr>
                <w:b w:val="false"/>
                <w:bCs w:val="false"/>
                <w:color w:val="222222"/>
                <w:sz w:val="20"/>
                <w:szCs w:val="20"/>
              </w:rPr>
              <w:t xml:space="preserve">Factuality decomposition</w:t>
            </w:r>
          </w:p>
        </w:tc>
        <w:tc>
          <w:tcPr>
            <w:tcW w:type="dxa" w:w="1620"/>
            <w:shd w:fill="FFFFFF" w:color="auto" w:val="clear"/>
          </w:tcPr>
          <w:p>
            <w:r>
              <w:rPr>
                <w:b w:val="false"/>
                <w:bCs w:val="false"/>
                <w:color w:val="222222"/>
                <w:sz w:val="20"/>
                <w:szCs w:val="20"/>
              </w:rPr>
              <w:t xml:space="preserve">MIT</w:t>
            </w:r>
          </w:p>
        </w:tc>
        <w:tc>
          <w:tcPr>
            <w:tcW w:type="dxa" w:w="3060"/>
            <w:shd w:fill="FFFFFF" w:color="auto" w:val="clear"/>
          </w:tcPr>
          <w:p>
            <w:r>
              <w:rPr>
                <w:b w:val="false"/>
                <w:bCs w:val="false"/>
                <w:color w:val="222222"/>
                <w:sz w:val="20"/>
                <w:szCs w:val="20"/>
              </w:rPr>
              <w:t xml:space="preserve">Comparison to MedScore</w:t>
            </w:r>
          </w:p>
        </w:tc>
      </w:tr>
      <w:tr>
        <w:trPr>
          <w:tblHeader w:val="false"/>
        </w:trPr>
        <w:tc>
          <w:tcPr>
            <w:tcW w:type="dxa" w:w="2160"/>
            <w:shd w:fill="F8F8F8" w:color="auto" w:val="clear"/>
          </w:tcPr>
          <w:p>
            <w:r>
              <w:rPr>
                <w:b w:val="false"/>
                <w:bCs w:val="false"/>
                <w:color w:val="222222"/>
                <w:sz w:val="20"/>
                <w:szCs w:val="20"/>
              </w:rPr>
              <w:t xml:space="preserve">TruthfulQA</w:t>
            </w:r>
          </w:p>
        </w:tc>
        <w:tc>
          <w:tcPr>
            <w:tcW w:type="dxa" w:w="2520"/>
            <w:shd w:fill="F8F8F8" w:color="auto" w:val="clear"/>
          </w:tcPr>
          <w:p>
            <w:r>
              <w:rPr>
                <w:b w:val="false"/>
                <w:bCs w:val="false"/>
                <w:color w:val="222222"/>
                <w:sz w:val="20"/>
                <w:szCs w:val="20"/>
              </w:rPr>
              <w:t xml:space="preserve">Truthfulness</w:t>
            </w:r>
          </w:p>
        </w:tc>
        <w:tc>
          <w:tcPr>
            <w:tcW w:type="dxa" w:w="1620"/>
            <w:shd w:fill="F8F8F8" w:color="auto" w:val="clear"/>
          </w:tcPr>
          <w:p>
            <w:r>
              <w:rPr>
                <w:b w:val="false"/>
                <w:bCs w:val="false"/>
                <w:color w:val="222222"/>
                <w:sz w:val="20"/>
                <w:szCs w:val="20"/>
              </w:rPr>
              <w:t xml:space="preserve">Apache 2.0</w:t>
            </w:r>
          </w:p>
        </w:tc>
        <w:tc>
          <w:tcPr>
            <w:tcW w:type="dxa" w:w="3060"/>
            <w:shd w:fill="F8F8F8" w:color="auto" w:val="clear"/>
          </w:tcPr>
          <w:p>
            <w:r>
              <w:rPr>
                <w:b w:val="false"/>
                <w:bCs w:val="false"/>
                <w:color w:val="222222"/>
                <w:sz w:val="20"/>
                <w:szCs w:val="20"/>
              </w:rPr>
              <w:t xml:space="preserve">Adjacent eval</w:t>
            </w:r>
          </w:p>
        </w:tc>
      </w:tr>
      <w:tr>
        <w:trPr>
          <w:tblHeader w:val="false"/>
        </w:trPr>
        <w:tc>
          <w:tcPr>
            <w:tcW w:type="dxa" w:w="2160"/>
            <w:shd w:fill="FFFFFF" w:color="auto" w:val="clear"/>
          </w:tcPr>
          <w:p>
            <w:r>
              <w:rPr>
                <w:b w:val="false"/>
                <w:bCs w:val="false"/>
                <w:color w:val="222222"/>
                <w:sz w:val="20"/>
                <w:szCs w:val="20"/>
              </w:rPr>
              <w:t xml:space="preserve">ContraCrow</w:t>
            </w:r>
          </w:p>
        </w:tc>
        <w:tc>
          <w:tcPr>
            <w:tcW w:type="dxa" w:w="2520"/>
            <w:shd w:fill="FFFFFF" w:color="auto" w:val="clear"/>
          </w:tcPr>
          <w:p>
            <w:r>
              <w:rPr>
                <w:b w:val="false"/>
                <w:bCs w:val="false"/>
                <w:color w:val="222222"/>
                <w:sz w:val="20"/>
                <w:szCs w:val="20"/>
              </w:rPr>
              <w:t xml:space="preserve">Contradiction detection patterns</w:t>
            </w:r>
          </w:p>
        </w:tc>
        <w:tc>
          <w:tcPr>
            <w:tcW w:type="dxa" w:w="1620"/>
            <w:shd w:fill="FFFFFF" w:color="auto" w:val="clear"/>
          </w:tcPr>
          <w:p>
            <w:r>
              <w:rPr>
                <w:b w:val="false"/>
                <w:bCs w:val="false"/>
                <w:color w:val="222222"/>
                <w:sz w:val="20"/>
                <w:szCs w:val="20"/>
              </w:rPr>
              <w:t xml:space="preserve">Academic</w:t>
            </w:r>
          </w:p>
        </w:tc>
        <w:tc>
          <w:tcPr>
            <w:tcW w:type="dxa" w:w="3060"/>
            <w:shd w:fill="FFFFFF" w:color="auto" w:val="clear"/>
          </w:tcPr>
          <w:p>
            <w:r>
              <w:rPr>
                <w:b w:val="false"/>
                <w:bCs w:val="false"/>
                <w:color w:val="222222"/>
                <w:sz w:val="20"/>
                <w:szCs w:val="20"/>
              </w:rPr>
              <w:t xml:space="preserve">Adapted for Whel</w:t>
            </w:r>
          </w:p>
        </w:tc>
      </w:tr>
    </w:tbl>
    <w:p>
      <w:pPr>
        <w:pStyle w:val="Heading2"/>
      </w:pPr>
      <w:r>
        <w:t xml:space="preserve">8.8 Patient-community and real-world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20"/>
        <w:gridCol w:w="2700"/>
      </w:tblGrid>
      <w:tr>
        <w:trPr>
          <w:tblHeader/>
        </w:trPr>
        <w:tc>
          <w:tcPr>
            <w:tcW w:type="dxa" w:w="2520"/>
            <w:shd w:fill="7A1F3D" w:color="auto" w:val="clear"/>
          </w:tcPr>
          <w:p>
            <w:r>
              <w:rPr>
                <w:b/>
                <w:bCs/>
                <w:color w:val="FFFFFF"/>
                <w:sz w:val="20"/>
                <w:szCs w:val="20"/>
              </w:rPr>
              <w:t xml:space="preserve">Resource</w:t>
            </w:r>
          </w:p>
        </w:tc>
        <w:tc>
          <w:tcPr>
            <w:tcW w:type="dxa" w:w="2520"/>
            <w:shd w:fill="7A1F3D" w:color="auto" w:val="clear"/>
          </w:tcPr>
          <w:p>
            <w:r>
              <w:rPr>
                <w:b/>
                <w:bCs/>
                <w:color w:val="FFFFFF"/>
                <w:sz w:val="20"/>
                <w:szCs w:val="20"/>
              </w:rPr>
              <w:t xml:space="preserve">What it gives us</w:t>
            </w:r>
          </w:p>
        </w:tc>
        <w:tc>
          <w:tcPr>
            <w:tcW w:type="dxa" w:w="1620"/>
            <w:shd w:fill="7A1F3D" w:color="auto" w:val="clear"/>
          </w:tcPr>
          <w:p>
            <w:r>
              <w:rPr>
                <w:b/>
                <w:bCs/>
                <w:color w:val="FFFFFF"/>
                <w:sz w:val="20"/>
                <w:szCs w:val="20"/>
              </w:rPr>
              <w:t xml:space="preserve">Access</w:t>
            </w:r>
          </w:p>
        </w:tc>
        <w:tc>
          <w:tcPr>
            <w:tcW w:type="dxa" w:w="2700"/>
            <w:shd w:fill="7A1F3D" w:color="auto" w:val="clear"/>
          </w:tcPr>
          <w:p>
            <w:r>
              <w:rPr>
                <w:b/>
                <w:bCs/>
                <w:color w:val="FFFFFF"/>
                <w:sz w:val="20"/>
                <w:szCs w:val="20"/>
              </w:rPr>
              <w:t xml:space="preserve">Role in Whel</w:t>
            </w:r>
          </w:p>
        </w:tc>
      </w:tr>
      <w:tr>
        <w:trPr>
          <w:tblHeader w:val="false"/>
        </w:trPr>
        <w:tc>
          <w:tcPr>
            <w:tcW w:type="dxa" w:w="2520"/>
            <w:shd w:fill="F8F8F8" w:color="auto" w:val="clear"/>
          </w:tcPr>
          <w:p>
            <w:r>
              <w:rPr>
                <w:b w:val="false"/>
                <w:bCs w:val="false"/>
                <w:color w:val="222222"/>
                <w:sz w:val="20"/>
                <w:szCs w:val="20"/>
              </w:rPr>
              <w:t xml:space="preserve">Reddit (r/PMDD, r/endo, r/PCOS, etc.)</w:t>
            </w:r>
          </w:p>
        </w:tc>
        <w:tc>
          <w:tcPr>
            <w:tcW w:type="dxa" w:w="2520"/>
            <w:shd w:fill="F8F8F8" w:color="auto" w:val="clear"/>
          </w:tcPr>
          <w:p>
            <w:r>
              <w:rPr>
                <w:b w:val="false"/>
                <w:bCs w:val="false"/>
                <w:color w:val="222222"/>
                <w:sz w:val="20"/>
                <w:szCs w:val="20"/>
              </w:rPr>
              <w:t xml:space="preserve">Patient-reported treatment patterns, side effects, off-label use</w:t>
            </w:r>
          </w:p>
        </w:tc>
        <w:tc>
          <w:tcPr>
            <w:tcW w:type="dxa" w:w="1620"/>
            <w:shd w:fill="F8F8F8" w:color="auto" w:val="clear"/>
          </w:tcPr>
          <w:p>
            <w:r>
              <w:rPr>
                <w:b w:val="false"/>
                <w:bCs w:val="false"/>
                <w:color w:val="222222"/>
                <w:sz w:val="20"/>
                <w:szCs w:val="20"/>
              </w:rPr>
              <w:t xml:space="preserve">PRAW API, free</w:t>
            </w:r>
          </w:p>
        </w:tc>
        <w:tc>
          <w:tcPr>
            <w:tcW w:type="dxa" w:w="2700"/>
            <w:shd w:fill="F8F8F8" w:color="auto" w:val="clear"/>
          </w:tcPr>
          <w:p>
            <w:r>
              <w:rPr>
                <w:b w:val="false"/>
                <w:bCs w:val="false"/>
                <w:color w:val="222222"/>
                <w:sz w:val="20"/>
                <w:szCs w:val="20"/>
              </w:rPr>
              <w:t xml:space="preserve">Tier 1 — hypothesis generation layer</w:t>
            </w:r>
          </w:p>
        </w:tc>
      </w:tr>
      <w:tr>
        <w:trPr>
          <w:tblHeader w:val="false"/>
        </w:trPr>
        <w:tc>
          <w:tcPr>
            <w:tcW w:type="dxa" w:w="2520"/>
            <w:shd w:fill="FFFFFF" w:color="auto" w:val="clear"/>
          </w:tcPr>
          <w:p>
            <w:r>
              <w:rPr>
                <w:b w:val="false"/>
                <w:bCs w:val="false"/>
                <w:color w:val="222222"/>
                <w:sz w:val="20"/>
                <w:szCs w:val="20"/>
              </w:rPr>
              <w:t xml:space="preserve">IAPMD published surveys</w:t>
            </w:r>
          </w:p>
        </w:tc>
        <w:tc>
          <w:tcPr>
            <w:tcW w:type="dxa" w:w="2520"/>
            <w:shd w:fill="FFFFFF" w:color="auto" w:val="clear"/>
          </w:tcPr>
          <w:p>
            <w:r>
              <w:rPr>
                <w:b w:val="false"/>
                <w:bCs w:val="false"/>
                <w:color w:val="222222"/>
                <w:sz w:val="20"/>
                <w:szCs w:val="20"/>
              </w:rPr>
              <w:t xml:space="preserve">PMDD prevalence, treatment satisfaction</w:t>
            </w:r>
          </w:p>
        </w:tc>
        <w:tc>
          <w:tcPr>
            <w:tcW w:type="dxa" w:w="1620"/>
            <w:shd w:fill="FFFFFF" w:color="auto" w:val="clear"/>
          </w:tcPr>
          <w:p>
            <w:r>
              <w:rPr>
                <w:b w:val="false"/>
                <w:bCs w:val="false"/>
                <w:color w:val="222222"/>
                <w:sz w:val="20"/>
                <w:szCs w:val="20"/>
              </w:rPr>
              <w:t xml:space="preserve">Open reports</w:t>
            </w:r>
          </w:p>
        </w:tc>
        <w:tc>
          <w:tcPr>
            <w:tcW w:type="dxa" w:w="2700"/>
            <w:shd w:fill="FFFFFF" w:color="auto" w:val="clear"/>
          </w:tcPr>
          <w:p>
            <w:r>
              <w:rPr>
                <w:b w:val="false"/>
                <w:bCs w:val="false"/>
                <w:color w:val="222222"/>
                <w:sz w:val="20"/>
                <w:szCs w:val="20"/>
              </w:rPr>
              <w:t xml:space="preserve">Tier 1 — community validation</w:t>
            </w:r>
          </w:p>
        </w:tc>
      </w:tr>
      <w:tr>
        <w:trPr>
          <w:tblHeader w:val="false"/>
        </w:trPr>
        <w:tc>
          <w:tcPr>
            <w:tcW w:type="dxa" w:w="2520"/>
            <w:shd w:fill="F8F8F8" w:color="auto" w:val="clear"/>
          </w:tcPr>
          <w:p>
            <w:r>
              <w:rPr>
                <w:b w:val="false"/>
                <w:bCs w:val="false"/>
                <w:color w:val="222222"/>
                <w:sz w:val="20"/>
                <w:szCs w:val="20"/>
              </w:rPr>
              <w:t xml:space="preserve">Endometriosis Foundation of America</w:t>
            </w:r>
          </w:p>
        </w:tc>
        <w:tc>
          <w:tcPr>
            <w:tcW w:type="dxa" w:w="2520"/>
            <w:shd w:fill="F8F8F8" w:color="auto" w:val="clear"/>
          </w:tcPr>
          <w:p>
            <w:r>
              <w:rPr>
                <w:b w:val="false"/>
                <w:bCs w:val="false"/>
                <w:color w:val="222222"/>
                <w:sz w:val="20"/>
                <w:szCs w:val="20"/>
              </w:rPr>
              <w:t xml:space="preserve">Patient registry summaries</w:t>
            </w:r>
          </w:p>
        </w:tc>
        <w:tc>
          <w:tcPr>
            <w:tcW w:type="dxa" w:w="1620"/>
            <w:shd w:fill="F8F8F8" w:color="auto" w:val="clear"/>
          </w:tcPr>
          <w:p>
            <w:r>
              <w:rPr>
                <w:b w:val="false"/>
                <w:bCs w:val="false"/>
                <w:color w:val="222222"/>
                <w:sz w:val="20"/>
                <w:szCs w:val="20"/>
              </w:rPr>
              <w:t xml:space="preserve">Partnership-gated</w:t>
            </w:r>
          </w:p>
        </w:tc>
        <w:tc>
          <w:tcPr>
            <w:tcW w:type="dxa" w:w="2700"/>
            <w:shd w:fill="F8F8F8" w:color="auto" w:val="clear"/>
          </w:tcPr>
          <w:p>
            <w:r>
              <w:rPr>
                <w:b w:val="false"/>
                <w:bCs w:val="false"/>
                <w:color w:val="222222"/>
                <w:sz w:val="20"/>
                <w:szCs w:val="20"/>
              </w:rPr>
              <w:t xml:space="preserve">Tier 2</w:t>
            </w:r>
          </w:p>
        </w:tc>
      </w:tr>
      <w:tr>
        <w:trPr>
          <w:tblHeader w:val="false"/>
        </w:trPr>
        <w:tc>
          <w:tcPr>
            <w:tcW w:type="dxa" w:w="2520"/>
            <w:shd w:fill="FFFFFF" w:color="auto" w:val="clear"/>
          </w:tcPr>
          <w:p>
            <w:r>
              <w:rPr>
                <w:b w:val="false"/>
                <w:bCs w:val="false"/>
                <w:color w:val="222222"/>
                <w:sz w:val="20"/>
                <w:szCs w:val="20"/>
              </w:rPr>
              <w:t xml:space="preserve">PatientsLikeMe (where accessible)</w:t>
            </w:r>
          </w:p>
        </w:tc>
        <w:tc>
          <w:tcPr>
            <w:tcW w:type="dxa" w:w="2520"/>
            <w:shd w:fill="FFFFFF" w:color="auto" w:val="clear"/>
          </w:tcPr>
          <w:p>
            <w:r>
              <w:rPr>
                <w:b w:val="false"/>
                <w:bCs w:val="false"/>
                <w:color w:val="222222"/>
                <w:sz w:val="20"/>
                <w:szCs w:val="20"/>
              </w:rPr>
              <w:t xml:space="preserve">Aggregated patient experience</w:t>
            </w:r>
          </w:p>
        </w:tc>
        <w:tc>
          <w:tcPr>
            <w:tcW w:type="dxa" w:w="1620"/>
            <w:shd w:fill="FFFFFF" w:color="auto" w:val="clear"/>
          </w:tcPr>
          <w:p>
            <w:r>
              <w:rPr>
                <w:b w:val="false"/>
                <w:bCs w:val="false"/>
                <w:color w:val="222222"/>
                <w:sz w:val="20"/>
                <w:szCs w:val="20"/>
              </w:rPr>
              <w:t xml:space="preserve">Restricted</w:t>
            </w:r>
          </w:p>
        </w:tc>
        <w:tc>
          <w:tcPr>
            <w:tcW w:type="dxa" w:w="2700"/>
            <w:shd w:fill="FFFFFF" w:color="auto" w:val="clear"/>
          </w:tcPr>
          <w:p>
            <w:r>
              <w:rPr>
                <w:b w:val="false"/>
                <w:bCs w:val="false"/>
                <w:color w:val="222222"/>
                <w:sz w:val="20"/>
                <w:szCs w:val="20"/>
              </w:rPr>
              <w:t xml:space="preserve">Tier 2</w:t>
            </w:r>
          </w:p>
        </w:tc>
      </w:tr>
      <w:tr>
        <w:trPr>
          <w:tblHeader w:val="false"/>
        </w:trPr>
        <w:tc>
          <w:tcPr>
            <w:tcW w:type="dxa" w:w="2520"/>
            <w:shd w:fill="F8F8F8" w:color="auto" w:val="clear"/>
          </w:tcPr>
          <w:p>
            <w:r>
              <w:rPr>
                <w:b w:val="false"/>
                <w:bCs w:val="false"/>
                <w:color w:val="222222"/>
                <w:sz w:val="20"/>
                <w:szCs w:val="20"/>
              </w:rPr>
              <w:t xml:space="preserve">Clue / Flo aggregated cohort statistics</w:t>
            </w:r>
          </w:p>
        </w:tc>
        <w:tc>
          <w:tcPr>
            <w:tcW w:type="dxa" w:w="2520"/>
            <w:shd w:fill="F8F8F8" w:color="auto" w:val="clear"/>
          </w:tcPr>
          <w:p>
            <w:r>
              <w:rPr>
                <w:b w:val="false"/>
                <w:bCs w:val="false"/>
                <w:color w:val="222222"/>
                <w:sz w:val="20"/>
                <w:szCs w:val="20"/>
              </w:rPr>
              <w:t xml:space="preserve">Cycle-stratified treatment outcomes</w:t>
            </w:r>
          </w:p>
        </w:tc>
        <w:tc>
          <w:tcPr>
            <w:tcW w:type="dxa" w:w="1620"/>
            <w:shd w:fill="F8F8F8" w:color="auto" w:val="clear"/>
          </w:tcPr>
          <w:p>
            <w:r>
              <w:rPr>
                <w:b w:val="false"/>
                <w:bCs w:val="false"/>
                <w:color w:val="222222"/>
                <w:sz w:val="20"/>
                <w:szCs w:val="20"/>
              </w:rPr>
              <w:t xml:space="preserve">Partnership-gated</w:t>
            </w:r>
          </w:p>
        </w:tc>
        <w:tc>
          <w:tcPr>
            <w:tcW w:type="dxa" w:w="2700"/>
            <w:shd w:fill="F8F8F8" w:color="auto" w:val="clear"/>
          </w:tcPr>
          <w:p>
            <w:r>
              <w:rPr>
                <w:b w:val="false"/>
                <w:bCs w:val="false"/>
                <w:color w:val="222222"/>
                <w:sz w:val="20"/>
                <w:szCs w:val="20"/>
              </w:rPr>
              <w:t xml:space="preserve">Tier 2 — flagship partnership</w:t>
            </w:r>
          </w:p>
        </w:tc>
      </w:tr>
      <w:tr>
        <w:trPr>
          <w:tblHeader w:val="false"/>
        </w:trPr>
        <w:tc>
          <w:tcPr>
            <w:tcW w:type="dxa" w:w="2520"/>
            <w:shd w:fill="FFFFFF" w:color="auto" w:val="clear"/>
          </w:tcPr>
          <w:p>
            <w:r>
              <w:rPr>
                <w:b w:val="false"/>
                <w:bCs w:val="false"/>
                <w:color w:val="222222"/>
                <w:sz w:val="20"/>
                <w:szCs w:val="20"/>
              </w:rPr>
              <w:t xml:space="preserve">Inspire health communities</w:t>
            </w:r>
          </w:p>
        </w:tc>
        <w:tc>
          <w:tcPr>
            <w:tcW w:type="dxa" w:w="2520"/>
            <w:shd w:fill="FFFFFF" w:color="auto" w:val="clear"/>
          </w:tcPr>
          <w:p>
            <w:r>
              <w:rPr>
                <w:b w:val="false"/>
                <w:bCs w:val="false"/>
                <w:color w:val="222222"/>
                <w:sz w:val="20"/>
                <w:szCs w:val="20"/>
              </w:rPr>
              <w:t xml:space="preserve">Disease-specific patient discussion</w:t>
            </w:r>
          </w:p>
        </w:tc>
        <w:tc>
          <w:tcPr>
            <w:tcW w:type="dxa" w:w="1620"/>
            <w:shd w:fill="FFFFFF" w:color="auto" w:val="clear"/>
          </w:tcPr>
          <w:p>
            <w:r>
              <w:rPr>
                <w:b w:val="false"/>
                <w:bCs w:val="false"/>
                <w:color w:val="222222"/>
                <w:sz w:val="20"/>
                <w:szCs w:val="20"/>
              </w:rPr>
              <w:t xml:space="preserve">Partnership-gated</w:t>
            </w:r>
          </w:p>
        </w:tc>
        <w:tc>
          <w:tcPr>
            <w:tcW w:type="dxa" w:w="2700"/>
            <w:shd w:fill="FFFFFF" w:color="auto" w:val="clear"/>
          </w:tcPr>
          <w:p>
            <w:r>
              <w:rPr>
                <w:b w:val="false"/>
                <w:bCs w:val="false"/>
                <w:color w:val="222222"/>
                <w:sz w:val="20"/>
                <w:szCs w:val="20"/>
              </w:rPr>
              <w:t xml:space="preserve">Tier 3</w:t>
            </w:r>
          </w:p>
        </w:tc>
      </w:tr>
      <w:tr>
        <w:trPr>
          <w:tblHeader w:val="false"/>
        </w:trPr>
        <w:tc>
          <w:tcPr>
            <w:tcW w:type="dxa" w:w="2520"/>
            <w:shd w:fill="F8F8F8" w:color="auto" w:val="clear"/>
          </w:tcPr>
          <w:p>
            <w:r>
              <w:rPr>
                <w:b w:val="false"/>
                <w:bCs w:val="false"/>
                <w:color w:val="222222"/>
                <w:sz w:val="20"/>
                <w:szCs w:val="20"/>
              </w:rPr>
              <w:t xml:space="preserve">Twitter/X biomedical hashtags</w:t>
            </w:r>
          </w:p>
        </w:tc>
        <w:tc>
          <w:tcPr>
            <w:tcW w:type="dxa" w:w="2520"/>
            <w:shd w:fill="F8F8F8" w:color="auto" w:val="clear"/>
          </w:tcPr>
          <w:p>
            <w:r>
              <w:rPr>
                <w:b w:val="false"/>
                <w:bCs w:val="false"/>
                <w:color w:val="222222"/>
                <w:sz w:val="20"/>
                <w:szCs w:val="20"/>
              </w:rPr>
              <w:t xml:space="preserve">Real-time signal, lower SNR</w:t>
            </w:r>
          </w:p>
        </w:tc>
        <w:tc>
          <w:tcPr>
            <w:tcW w:type="dxa" w:w="1620"/>
            <w:shd w:fill="F8F8F8" w:color="auto" w:val="clear"/>
          </w:tcPr>
          <w:p>
            <w:r>
              <w:rPr>
                <w:b w:val="false"/>
                <w:bCs w:val="false"/>
                <w:color w:val="222222"/>
                <w:sz w:val="20"/>
                <w:szCs w:val="20"/>
              </w:rPr>
              <w:t xml:space="preserve">Limited API</w:t>
            </w:r>
          </w:p>
        </w:tc>
        <w:tc>
          <w:tcPr>
            <w:tcW w:type="dxa" w:w="2700"/>
            <w:shd w:fill="F8F8F8" w:color="auto" w:val="clear"/>
          </w:tcPr>
          <w:p>
            <w:r>
              <w:rPr>
                <w:b w:val="false"/>
                <w:bCs w:val="false"/>
                <w:color w:val="222222"/>
                <w:sz w:val="20"/>
                <w:szCs w:val="20"/>
              </w:rPr>
              <w:t xml:space="preserve">Tier 3 (under review)</w:t>
            </w:r>
          </w:p>
        </w:tc>
      </w:tr>
    </w:tbl>
    <w:p>
      <w:pPr>
        <w:pStyle w:val="Heading2"/>
      </w:pPr>
      <w:r>
        <w:t xml:space="preserve">8.9 Adjacent / specialty resources for women's health</w:t>
      </w:r>
    </w:p>
    <w:p>
      <w:pPr>
        <w:pStyle w:val="ListParagraph"/>
        <w:numPr>
          <w:ilvl w:val="0"/>
          <w:numId w:val="2"/>
        </w:numPr>
      </w:pPr>
      <w:r>
        <w:t xml:space="preserve">NIH Office of Research on Women's Health (ORWH) — strategic reports and funding priorities.</w:t>
      </w:r>
    </w:p>
    <w:p>
      <w:pPr>
        <w:pStyle w:val="ListParagraph"/>
        <w:numPr>
          <w:ilvl w:val="0"/>
          <w:numId w:val="2"/>
        </w:numPr>
      </w:pPr>
      <w:r>
        <w:t xml:space="preserve">Society for Women's Health Research — policy and research summaries.</w:t>
      </w:r>
    </w:p>
    <w:p>
      <w:pPr>
        <w:pStyle w:val="ListParagraph"/>
        <w:numPr>
          <w:ilvl w:val="0"/>
          <w:numId w:val="2"/>
        </w:numPr>
      </w:pPr>
      <w:r>
        <w:t xml:space="preserve">ACOG Practice Bulletins — gynecology and obstetrics clinical guidance.</w:t>
      </w:r>
    </w:p>
    <w:p>
      <w:pPr>
        <w:pStyle w:val="ListParagraph"/>
        <w:numPr>
          <w:ilvl w:val="0"/>
          <w:numId w:val="2"/>
        </w:numPr>
      </w:pPr>
      <w:r>
        <w:t xml:space="preserve">North American Menopause Society — menopause-specific evidence summaries.</w:t>
      </w:r>
    </w:p>
    <w:p>
      <w:pPr>
        <w:pStyle w:val="ListParagraph"/>
        <w:numPr>
          <w:ilvl w:val="0"/>
          <w:numId w:val="2"/>
        </w:numPr>
      </w:pPr>
      <w:r>
        <w:t xml:space="preserve">International Society for the Study of Women's Sexual Health (ISSWSH) — sexual health evidence.</w:t>
      </w:r>
    </w:p>
    <w:p>
      <w:pPr>
        <w:pStyle w:val="ListParagraph"/>
        <w:numPr>
          <w:ilvl w:val="0"/>
          <w:numId w:val="2"/>
        </w:numPr>
      </w:pPr>
      <w:r>
        <w:t xml:space="preserve">Endometriosis Summit / WCE proceedings — annual conference research updates.</w:t>
      </w:r>
    </w:p>
    <w:p>
      <w:pPr>
        <w:pStyle w:val="ListParagraph"/>
        <w:numPr>
          <w:ilvl w:val="0"/>
          <w:numId w:val="2"/>
        </w:numPr>
      </w:pPr>
      <w:r>
        <w:t xml:space="preserve">EMBASE Excerpta Medica + Gynecology subset — heavier on gynecology than PubMed alone.</w:t>
      </w:r>
    </w:p>
    <w:p>
      <w:pPr>
        <w:pStyle w:val="ListParagraph"/>
        <w:numPr>
          <w:ilvl w:val="0"/>
          <w:numId w:val="2"/>
        </w:numPr>
      </w:pPr>
      <w:r>
        <w:t xml:space="preserve">MotherToBaby + ReproTox — pregnancy-relevant drug-safety references.</w:t>
      </w:r>
    </w:p>
    <w:p>
      <w:pPr>
        <w:pStyle w:val="ListParagraph"/>
        <w:numPr>
          <w:ilvl w:val="0"/>
          <w:numId w:val="2"/>
        </w:numPr>
      </w:pPr>
      <w:r>
        <w:t xml:space="preserve">LactMed (NLM) — lactation-relevant drug safety, free.</w:t>
      </w:r>
    </w:p>
    <w:p>
      <w:pPr>
        <w:pStyle w:val="ListParagraph"/>
        <w:numPr>
          <w:ilvl w:val="0"/>
          <w:numId w:val="2"/>
        </w:numPr>
      </w:pPr>
      <w:r>
        <w:t xml:space="preserve">FDA Office of Women's Health resources — regulatory-side reference.</w:t>
      </w:r>
    </w:p>
    <w:p>
      <w:pPr>
        <w:pStyle w:val="ListParagraph"/>
        <w:numPr>
          <w:ilvl w:val="0"/>
          <w:numId w:val="2"/>
        </w:numPr>
      </w:pPr>
      <w:r>
        <w:t xml:space="preserve">MHRA Yellow Card Scheme (UK) — UK pharmacovigilance reports.</w:t>
      </w:r>
    </w:p>
    <w:p>
      <w:pPr>
        <w:pStyle w:val="Heading2"/>
      </w:pPr>
      <w:r>
        <w:t xml:space="preserve">8.10 Companies and platforms surveyed (for substrate inputs and comparison)</w:t>
      </w:r>
    </w:p>
    <w:p>
      <w:r>
        <w:t xml:space="preserve">Not customers, not competitors at this slice — surveyed for what their public outputs could feed into Whel, or what patterns to learn from.</w:t>
      </w:r>
    </w:p>
    <w:p>
      <w:pPr>
        <w:pStyle w:val="ListParagraph"/>
        <w:numPr>
          <w:ilvl w:val="0"/>
          <w:numId w:val="2"/>
        </w:numPr>
      </w:pPr>
      <w:r>
        <w:t xml:space="preserve">Healx — vertical-focused AI repurposing. Pattern reference, not data source.</w:t>
      </w:r>
    </w:p>
    <w:p>
      <w:pPr>
        <w:pStyle w:val="ListParagraph"/>
        <w:numPr>
          <w:ilvl w:val="0"/>
          <w:numId w:val="2"/>
        </w:numPr>
      </w:pPr>
      <w:r>
        <w:t xml:space="preserve">BenevolentAI — pan-disease KG + LLM. Public papers inform our KG patterns.</w:t>
      </w:r>
    </w:p>
    <w:p>
      <w:pPr>
        <w:pStyle w:val="ListParagraph"/>
        <w:numPr>
          <w:ilvl w:val="0"/>
          <w:numId w:val="2"/>
        </w:numPr>
      </w:pPr>
      <w:r>
        <w:t xml:space="preserve">Recursion Pharmaceuticals — phenomics-based discovery. Adjacent.</w:t>
      </w:r>
    </w:p>
    <w:p>
      <w:pPr>
        <w:pStyle w:val="ListParagraph"/>
        <w:numPr>
          <w:ilvl w:val="0"/>
          <w:numId w:val="2"/>
        </w:numPr>
      </w:pPr>
      <w:r>
        <w:t xml:space="preserve">Insilico Medicine — generative chemistry. Adjacent.</w:t>
      </w:r>
    </w:p>
    <w:p>
      <w:pPr>
        <w:pStyle w:val="ListParagraph"/>
        <w:numPr>
          <w:ilvl w:val="0"/>
          <w:numId w:val="2"/>
        </w:numPr>
      </w:pPr>
      <w:r>
        <w:t xml:space="preserve">BioXcel — repurposing for CNS. Pattern reference for RWE strategy.</w:t>
      </w:r>
    </w:p>
    <w:p>
      <w:pPr>
        <w:pStyle w:val="ListParagraph"/>
        <w:numPr>
          <w:ilvl w:val="0"/>
          <w:numId w:val="2"/>
        </w:numPr>
      </w:pPr>
      <w:r>
        <w:t xml:space="preserve">Cyclica (Recursion subsidiary) — polypharmacology platform.</w:t>
      </w:r>
    </w:p>
    <w:p>
      <w:pPr>
        <w:pStyle w:val="ListParagraph"/>
        <w:numPr>
          <w:ilvl w:val="0"/>
          <w:numId w:val="2"/>
        </w:numPr>
      </w:pPr>
      <w:r>
        <w:t xml:space="preserve">Evidation Health — RWE platform with consumer-data integration. Pattern reference for cycle-tracker partnership.</w:t>
      </w:r>
    </w:p>
    <w:p>
      <w:pPr>
        <w:pStyle w:val="ListParagraph"/>
        <w:numPr>
          <w:ilvl w:val="0"/>
          <w:numId w:val="2"/>
        </w:numPr>
      </w:pPr>
      <w:r>
        <w:t xml:space="preserve">Aetion — RWE clinical evidence platform. Reference for evidence packaging.</w:t>
      </w:r>
    </w:p>
    <w:p>
      <w:pPr>
        <w:pStyle w:val="ListParagraph"/>
        <w:numPr>
          <w:ilvl w:val="0"/>
          <w:numId w:val="2"/>
        </w:numPr>
      </w:pPr>
      <w:r>
        <w:t xml:space="preserve">Komodo Health — claims data. Reference for cohort definitions.</w:t>
      </w:r>
    </w:p>
    <w:p>
      <w:pPr>
        <w:pStyle w:val="ListParagraph"/>
        <w:numPr>
          <w:ilvl w:val="0"/>
          <w:numId w:val="2"/>
        </w:numPr>
      </w:pPr>
      <w:r>
        <w:t xml:space="preserve">Truveta / TriNetX — EHR networks. Long-horizon Tier 3 partners.</w:t>
      </w:r>
    </w:p>
    <w:p>
      <w:pPr>
        <w:pStyle w:val="ListParagraph"/>
        <w:numPr>
          <w:ilvl w:val="0"/>
          <w:numId w:val="2"/>
        </w:numPr>
      </w:pPr>
      <w:r>
        <w:t xml:space="preserve">Tempus — clinical + genomic data network. Reference for data partnership structure.</w:t>
      </w:r>
    </w:p>
    <w:p>
      <w:pPr>
        <w:pStyle w:val="Heading1"/>
        <w:pageBreakBefore/>
      </w:pPr>
      <w:r>
        <w:t xml:space="preserve">9. Competitive Landscape</w:t>
      </w:r>
    </w:p>
    <w:p>
      <w:pPr>
        <w:spacing w:after="200"/>
      </w:pPr>
      <w:r>
        <w:rPr>
          <w:i/>
          <w:iCs/>
          <w:color w:val="555555"/>
          <w:sz w:val="22"/>
          <w:szCs w:val="22"/>
        </w:rPr>
        <w:t xml:space="preserve">Twenty-plus companies surveyed, organized by the question they would each force during diligence: "why are you not just them?"</w:t>
      </w:r>
    </w:p>
    <w:p>
      <w:pPr>
        <w:pStyle w:val="Heading2"/>
      </w:pPr>
      <w:r>
        <w:t xml:space="preserve">9.1 Direct-adjacent: AI drug repurposing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080"/>
        <w:gridCol w:w="2160"/>
        <w:gridCol w:w="2520"/>
        <w:gridCol w:w="2160"/>
      </w:tblGrid>
      <w:tr>
        <w:trPr>
          <w:tblHeader/>
        </w:trPr>
        <w:tc>
          <w:tcPr>
            <w:tcW w:type="dxa" w:w="1620"/>
            <w:shd w:fill="7A1F3D" w:color="auto" w:val="clear"/>
          </w:tcPr>
          <w:p>
            <w:r>
              <w:rPr>
                <w:b/>
                <w:bCs/>
                <w:color w:val="FFFFFF"/>
                <w:sz w:val="20"/>
                <w:szCs w:val="20"/>
              </w:rPr>
              <w:t xml:space="preserve">Company</w:t>
            </w:r>
          </w:p>
        </w:tc>
        <w:tc>
          <w:tcPr>
            <w:tcW w:type="dxa" w:w="1080"/>
            <w:shd w:fill="7A1F3D" w:color="auto" w:val="clear"/>
          </w:tcPr>
          <w:p>
            <w:r>
              <w:rPr>
                <w:b/>
                <w:bCs/>
                <w:color w:val="FFFFFF"/>
                <w:sz w:val="20"/>
                <w:szCs w:val="20"/>
              </w:rPr>
              <w:t xml:space="preserve">Founded</w:t>
            </w:r>
          </w:p>
        </w:tc>
        <w:tc>
          <w:tcPr>
            <w:tcW w:type="dxa" w:w="2160"/>
            <w:shd w:fill="7A1F3D" w:color="auto" w:val="clear"/>
          </w:tcPr>
          <w:p>
            <w:r>
              <w:rPr>
                <w:b/>
                <w:bCs/>
                <w:color w:val="FFFFFF"/>
                <w:sz w:val="20"/>
                <w:szCs w:val="20"/>
              </w:rPr>
              <w:t xml:space="preserve">Focus</w:t>
            </w:r>
          </w:p>
        </w:tc>
        <w:tc>
          <w:tcPr>
            <w:tcW w:type="dxa" w:w="2520"/>
            <w:shd w:fill="7A1F3D" w:color="auto" w:val="clear"/>
          </w:tcPr>
          <w:p>
            <w:r>
              <w:rPr>
                <w:b/>
                <w:bCs/>
                <w:color w:val="FFFFFF"/>
                <w:sz w:val="20"/>
                <w:szCs w:val="20"/>
              </w:rPr>
              <w:t xml:space="preserve">Why not them</w:t>
            </w:r>
          </w:p>
        </w:tc>
        <w:tc>
          <w:tcPr>
            <w:tcW w:type="dxa" w:w="2160"/>
            <w:shd w:fill="7A1F3D" w:color="auto" w:val="clear"/>
          </w:tcPr>
          <w:p>
            <w:r>
              <w:rPr>
                <w:b/>
                <w:bCs/>
                <w:color w:val="FFFFFF"/>
                <w:sz w:val="20"/>
                <w:szCs w:val="20"/>
              </w:rPr>
              <w:t xml:space="preserve">What we learn</w:t>
            </w:r>
          </w:p>
        </w:tc>
      </w:tr>
      <w:tr>
        <w:trPr>
          <w:tblHeader w:val="false"/>
        </w:trPr>
        <w:tc>
          <w:tcPr>
            <w:tcW w:type="dxa" w:w="1620"/>
            <w:shd w:fill="F8F8F8" w:color="auto" w:val="clear"/>
          </w:tcPr>
          <w:p>
            <w:r>
              <w:rPr>
                <w:b w:val="false"/>
                <w:bCs w:val="false"/>
                <w:color w:val="222222"/>
                <w:sz w:val="20"/>
                <w:szCs w:val="20"/>
              </w:rPr>
              <w:t xml:space="preserve">Healx</w:t>
            </w:r>
          </w:p>
        </w:tc>
        <w:tc>
          <w:tcPr>
            <w:tcW w:type="dxa" w:w="1080"/>
            <w:shd w:fill="F8F8F8" w:color="auto" w:val="clear"/>
          </w:tcPr>
          <w:p>
            <w:r>
              <w:rPr>
                <w:b w:val="false"/>
                <w:bCs w:val="false"/>
                <w:color w:val="222222"/>
                <w:sz w:val="20"/>
                <w:szCs w:val="20"/>
              </w:rPr>
              <w:t xml:space="preserve">2014, Cambridge UK</w:t>
            </w:r>
          </w:p>
        </w:tc>
        <w:tc>
          <w:tcPr>
            <w:tcW w:type="dxa" w:w="2160"/>
            <w:shd w:fill="F8F8F8" w:color="auto" w:val="clear"/>
          </w:tcPr>
          <w:p>
            <w:r>
              <w:rPr>
                <w:b w:val="false"/>
                <w:bCs w:val="false"/>
                <w:color w:val="222222"/>
                <w:sz w:val="20"/>
                <w:szCs w:val="20"/>
              </w:rPr>
              <w:t xml:space="preserve">AI repurposing for rare diseases (pan-disease)</w:t>
            </w:r>
          </w:p>
        </w:tc>
        <w:tc>
          <w:tcPr>
            <w:tcW w:type="dxa" w:w="2520"/>
            <w:shd w:fill="F8F8F8" w:color="auto" w:val="clear"/>
          </w:tcPr>
          <w:p>
            <w:r>
              <w:rPr>
                <w:b w:val="false"/>
                <w:bCs w:val="false"/>
                <w:color w:val="222222"/>
                <w:sz w:val="20"/>
                <w:szCs w:val="20"/>
              </w:rPr>
              <w:t xml:space="preserve">Pan-disease; female biology is one coverage gap among many; no cyclical PK; no female ontology</w:t>
            </w:r>
          </w:p>
        </w:tc>
        <w:tc>
          <w:tcPr>
            <w:tcW w:type="dxa" w:w="2160"/>
            <w:shd w:fill="F8F8F8" w:color="auto" w:val="clear"/>
          </w:tcPr>
          <w:p>
            <w:r>
              <w:rPr>
                <w:b w:val="false"/>
                <w:bCs w:val="false"/>
                <w:color w:val="222222"/>
                <w:sz w:val="20"/>
                <w:szCs w:val="20"/>
              </w:rPr>
              <w:t xml:space="preserve">Vertical-first works; build the substrate before the predictions</w:t>
            </w:r>
          </w:p>
        </w:tc>
      </w:tr>
      <w:tr>
        <w:trPr>
          <w:tblHeader w:val="false"/>
        </w:trPr>
        <w:tc>
          <w:tcPr>
            <w:tcW w:type="dxa" w:w="1620"/>
            <w:shd w:fill="FFFFFF" w:color="auto" w:val="clear"/>
          </w:tcPr>
          <w:p>
            <w:r>
              <w:rPr>
                <w:b w:val="false"/>
                <w:bCs w:val="false"/>
                <w:color w:val="222222"/>
                <w:sz w:val="20"/>
                <w:szCs w:val="20"/>
              </w:rPr>
              <w:t xml:space="preserve">BenevolentAI</w:t>
            </w:r>
          </w:p>
        </w:tc>
        <w:tc>
          <w:tcPr>
            <w:tcW w:type="dxa" w:w="1080"/>
            <w:shd w:fill="FFFFFF" w:color="auto" w:val="clear"/>
          </w:tcPr>
          <w:p>
            <w:r>
              <w:rPr>
                <w:b w:val="false"/>
                <w:bCs w:val="false"/>
                <w:color w:val="222222"/>
                <w:sz w:val="20"/>
                <w:szCs w:val="20"/>
              </w:rPr>
              <w:t xml:space="preserve">2013, London</w:t>
            </w:r>
          </w:p>
        </w:tc>
        <w:tc>
          <w:tcPr>
            <w:tcW w:type="dxa" w:w="2160"/>
            <w:shd w:fill="FFFFFF" w:color="auto" w:val="clear"/>
          </w:tcPr>
          <w:p>
            <w:r>
              <w:rPr>
                <w:b w:val="false"/>
                <w:bCs w:val="false"/>
                <w:color w:val="222222"/>
                <w:sz w:val="20"/>
                <w:szCs w:val="20"/>
              </w:rPr>
              <w:t xml:space="preserve">KG + LLM for repurposing, broad therapeutic areas</w:t>
            </w:r>
          </w:p>
        </w:tc>
        <w:tc>
          <w:tcPr>
            <w:tcW w:type="dxa" w:w="2520"/>
            <w:shd w:fill="FFFFFF" w:color="auto" w:val="clear"/>
          </w:tcPr>
          <w:p>
            <w:r>
              <w:rPr>
                <w:b w:val="false"/>
                <w:bCs w:val="false"/>
                <w:color w:val="222222"/>
                <w:sz w:val="20"/>
                <w:szCs w:val="20"/>
              </w:rPr>
              <w:t xml:space="preserve">Public-company timeline pressure; pan-disease; substrate not female-specific</w:t>
            </w:r>
          </w:p>
        </w:tc>
        <w:tc>
          <w:tcPr>
            <w:tcW w:type="dxa" w:w="2160"/>
            <w:shd w:fill="FFFFFF" w:color="auto" w:val="clear"/>
          </w:tcPr>
          <w:p>
            <w:r>
              <w:rPr>
                <w:b w:val="false"/>
                <w:bCs w:val="false"/>
                <w:color w:val="222222"/>
                <w:sz w:val="20"/>
                <w:szCs w:val="20"/>
              </w:rPr>
              <w:t xml:space="preserve">Public KG + LLM patterns; their RL of bad predictions is a cautionary tale</w:t>
            </w:r>
          </w:p>
        </w:tc>
      </w:tr>
      <w:tr>
        <w:trPr>
          <w:tblHeader w:val="false"/>
        </w:trPr>
        <w:tc>
          <w:tcPr>
            <w:tcW w:type="dxa" w:w="1620"/>
            <w:shd w:fill="F8F8F8" w:color="auto" w:val="clear"/>
          </w:tcPr>
          <w:p>
            <w:r>
              <w:rPr>
                <w:b w:val="false"/>
                <w:bCs w:val="false"/>
                <w:color w:val="222222"/>
                <w:sz w:val="20"/>
                <w:szCs w:val="20"/>
              </w:rPr>
              <w:t xml:space="preserve">BioXcel Therapeutics</w:t>
            </w:r>
          </w:p>
        </w:tc>
        <w:tc>
          <w:tcPr>
            <w:tcW w:type="dxa" w:w="1080"/>
            <w:shd w:fill="F8F8F8" w:color="auto" w:val="clear"/>
          </w:tcPr>
          <w:p>
            <w:r>
              <w:rPr>
                <w:b w:val="false"/>
                <w:bCs w:val="false"/>
                <w:color w:val="222222"/>
                <w:sz w:val="20"/>
                <w:szCs w:val="20"/>
              </w:rPr>
              <w:t xml:space="preserve">2017, US</w:t>
            </w:r>
          </w:p>
        </w:tc>
        <w:tc>
          <w:tcPr>
            <w:tcW w:type="dxa" w:w="2160"/>
            <w:shd w:fill="F8F8F8" w:color="auto" w:val="clear"/>
          </w:tcPr>
          <w:p>
            <w:r>
              <w:rPr>
                <w:b w:val="false"/>
                <w:bCs w:val="false"/>
                <w:color w:val="222222"/>
                <w:sz w:val="20"/>
                <w:szCs w:val="20"/>
              </w:rPr>
              <w:t xml:space="preserve">CNS repurposing platform-to-pipeline</w:t>
            </w:r>
          </w:p>
        </w:tc>
        <w:tc>
          <w:tcPr>
            <w:tcW w:type="dxa" w:w="2520"/>
            <w:shd w:fill="F8F8F8" w:color="auto" w:val="clear"/>
          </w:tcPr>
          <w:p>
            <w:r>
              <w:rPr>
                <w:b w:val="false"/>
                <w:bCs w:val="false"/>
                <w:color w:val="222222"/>
                <w:sz w:val="20"/>
                <w:szCs w:val="20"/>
              </w:rPr>
              <w:t xml:space="preserve">CNS-only; clinical-stage; not a substrate play</w:t>
            </w:r>
          </w:p>
        </w:tc>
        <w:tc>
          <w:tcPr>
            <w:tcW w:type="dxa" w:w="2160"/>
            <w:shd w:fill="F8F8F8" w:color="auto" w:val="clear"/>
          </w:tcPr>
          <w:p>
            <w:r>
              <w:rPr>
                <w:b w:val="false"/>
                <w:bCs w:val="false"/>
                <w:color w:val="222222"/>
                <w:sz w:val="20"/>
                <w:szCs w:val="20"/>
              </w:rPr>
              <w:t xml:space="preserve">RWE + repurposing can support 505(b)(2); they prove the regulatory pathway</w:t>
            </w:r>
          </w:p>
        </w:tc>
      </w:tr>
      <w:tr>
        <w:trPr>
          <w:tblHeader w:val="false"/>
        </w:trPr>
        <w:tc>
          <w:tcPr>
            <w:tcW w:type="dxa" w:w="1620"/>
            <w:shd w:fill="FFFFFF" w:color="auto" w:val="clear"/>
          </w:tcPr>
          <w:p>
            <w:r>
              <w:rPr>
                <w:b w:val="false"/>
                <w:bCs w:val="false"/>
                <w:color w:val="222222"/>
                <w:sz w:val="20"/>
                <w:szCs w:val="20"/>
              </w:rPr>
              <w:t xml:space="preserve">Insilico Medicine</w:t>
            </w:r>
          </w:p>
        </w:tc>
        <w:tc>
          <w:tcPr>
            <w:tcW w:type="dxa" w:w="1080"/>
            <w:shd w:fill="FFFFFF" w:color="auto" w:val="clear"/>
          </w:tcPr>
          <w:p>
            <w:r>
              <w:rPr>
                <w:b w:val="false"/>
                <w:bCs w:val="false"/>
                <w:color w:val="222222"/>
                <w:sz w:val="20"/>
                <w:szCs w:val="20"/>
              </w:rPr>
              <w:t xml:space="preserve">2014</w:t>
            </w:r>
          </w:p>
        </w:tc>
        <w:tc>
          <w:tcPr>
            <w:tcW w:type="dxa" w:w="2160"/>
            <w:shd w:fill="FFFFFF" w:color="auto" w:val="clear"/>
          </w:tcPr>
          <w:p>
            <w:r>
              <w:rPr>
                <w:b w:val="false"/>
                <w:bCs w:val="false"/>
                <w:color w:val="222222"/>
                <w:sz w:val="20"/>
                <w:szCs w:val="20"/>
              </w:rPr>
              <w:t xml:space="preserve">Generative chemistry, broad</w:t>
            </w:r>
          </w:p>
        </w:tc>
        <w:tc>
          <w:tcPr>
            <w:tcW w:type="dxa" w:w="2520"/>
            <w:shd w:fill="FFFFFF" w:color="auto" w:val="clear"/>
          </w:tcPr>
          <w:p>
            <w:r>
              <w:rPr>
                <w:b w:val="false"/>
                <w:bCs w:val="false"/>
                <w:color w:val="222222"/>
                <w:sz w:val="20"/>
                <w:szCs w:val="20"/>
              </w:rPr>
              <w:t xml:space="preserve">Discovery not repurposing; not female-specific</w:t>
            </w:r>
          </w:p>
        </w:tc>
        <w:tc>
          <w:tcPr>
            <w:tcW w:type="dxa" w:w="2160"/>
            <w:shd w:fill="FFFFFF" w:color="auto" w:val="clear"/>
          </w:tcPr>
          <w:p>
            <w:r>
              <w:rPr>
                <w:b w:val="false"/>
                <w:bCs w:val="false"/>
                <w:color w:val="222222"/>
                <w:sz w:val="20"/>
                <w:szCs w:val="20"/>
              </w:rPr>
              <w:t xml:space="preserve">Their KG papers inform our patterns</w:t>
            </w:r>
          </w:p>
        </w:tc>
      </w:tr>
      <w:tr>
        <w:trPr>
          <w:tblHeader w:val="false"/>
        </w:trPr>
        <w:tc>
          <w:tcPr>
            <w:tcW w:type="dxa" w:w="1620"/>
            <w:shd w:fill="F8F8F8" w:color="auto" w:val="clear"/>
          </w:tcPr>
          <w:p>
            <w:r>
              <w:rPr>
                <w:b w:val="false"/>
                <w:bCs w:val="false"/>
                <w:color w:val="222222"/>
                <w:sz w:val="20"/>
                <w:szCs w:val="20"/>
              </w:rPr>
              <w:t xml:space="preserve">Recursion Pharmaceuticals</w:t>
            </w:r>
          </w:p>
        </w:tc>
        <w:tc>
          <w:tcPr>
            <w:tcW w:type="dxa" w:w="1080"/>
            <w:shd w:fill="F8F8F8" w:color="auto" w:val="clear"/>
          </w:tcPr>
          <w:p>
            <w:r>
              <w:rPr>
                <w:b w:val="false"/>
                <w:bCs w:val="false"/>
                <w:color w:val="222222"/>
                <w:sz w:val="20"/>
                <w:szCs w:val="20"/>
              </w:rPr>
              <w:t xml:space="preserve">2013</w:t>
            </w:r>
          </w:p>
        </w:tc>
        <w:tc>
          <w:tcPr>
            <w:tcW w:type="dxa" w:w="2160"/>
            <w:shd w:fill="F8F8F8" w:color="auto" w:val="clear"/>
          </w:tcPr>
          <w:p>
            <w:r>
              <w:rPr>
                <w:b w:val="false"/>
                <w:bCs w:val="false"/>
                <w:color w:val="222222"/>
                <w:sz w:val="20"/>
                <w:szCs w:val="20"/>
              </w:rPr>
              <w:t xml:space="preserve">Phenomics-based discovery</w:t>
            </w:r>
          </w:p>
        </w:tc>
        <w:tc>
          <w:tcPr>
            <w:tcW w:type="dxa" w:w="2520"/>
            <w:shd w:fill="F8F8F8" w:color="auto" w:val="clear"/>
          </w:tcPr>
          <w:p>
            <w:r>
              <w:rPr>
                <w:b w:val="false"/>
                <w:bCs w:val="false"/>
                <w:color w:val="222222"/>
                <w:sz w:val="20"/>
                <w:szCs w:val="20"/>
              </w:rPr>
              <w:t xml:space="preserve">Discovery not repurposing; pan-disease</w:t>
            </w:r>
          </w:p>
        </w:tc>
        <w:tc>
          <w:tcPr>
            <w:tcW w:type="dxa" w:w="2160"/>
            <w:shd w:fill="F8F8F8" w:color="auto" w:val="clear"/>
          </w:tcPr>
          <w:p>
            <w:r>
              <w:rPr>
                <w:b w:val="false"/>
                <w:bCs w:val="false"/>
                <w:color w:val="222222"/>
                <w:sz w:val="20"/>
                <w:szCs w:val="20"/>
              </w:rPr>
              <w:t xml:space="preserve">Scale of public + proprietary substrate</w:t>
            </w:r>
          </w:p>
        </w:tc>
      </w:tr>
      <w:tr>
        <w:trPr>
          <w:tblHeader w:val="false"/>
        </w:trPr>
        <w:tc>
          <w:tcPr>
            <w:tcW w:type="dxa" w:w="1620"/>
            <w:shd w:fill="FFFFFF" w:color="auto" w:val="clear"/>
          </w:tcPr>
          <w:p>
            <w:r>
              <w:rPr>
                <w:b w:val="false"/>
                <w:bCs w:val="false"/>
                <w:color w:val="222222"/>
                <w:sz w:val="20"/>
                <w:szCs w:val="20"/>
              </w:rPr>
              <w:t xml:space="preserve">Cyclica (Recursion)</w:t>
            </w:r>
          </w:p>
        </w:tc>
        <w:tc>
          <w:tcPr>
            <w:tcW w:type="dxa" w:w="1080"/>
            <w:shd w:fill="FFFFFF" w:color="auto" w:val="clear"/>
          </w:tcPr>
          <w:p>
            <w:r>
              <w:rPr>
                <w:b w:val="false"/>
                <w:bCs w:val="false"/>
                <w:color w:val="222222"/>
                <w:sz w:val="20"/>
                <w:szCs w:val="20"/>
              </w:rPr>
              <w:t xml:space="preserve">~2013</w:t>
            </w:r>
          </w:p>
        </w:tc>
        <w:tc>
          <w:tcPr>
            <w:tcW w:type="dxa" w:w="2160"/>
            <w:shd w:fill="FFFFFF" w:color="auto" w:val="clear"/>
          </w:tcPr>
          <w:p>
            <w:r>
              <w:rPr>
                <w:b w:val="false"/>
                <w:bCs w:val="false"/>
                <w:color w:val="222222"/>
                <w:sz w:val="20"/>
                <w:szCs w:val="20"/>
              </w:rPr>
              <w:t xml:space="preserve">Polypharmacology platform</w:t>
            </w:r>
          </w:p>
        </w:tc>
        <w:tc>
          <w:tcPr>
            <w:tcW w:type="dxa" w:w="2520"/>
            <w:shd w:fill="FFFFFF" w:color="auto" w:val="clear"/>
          </w:tcPr>
          <w:p>
            <w:r>
              <w:rPr>
                <w:b w:val="false"/>
                <w:bCs w:val="false"/>
                <w:color w:val="222222"/>
                <w:sz w:val="20"/>
                <w:szCs w:val="20"/>
              </w:rPr>
              <w:t xml:space="preserve">Polypharm focus; pan-disease</w:t>
            </w:r>
          </w:p>
        </w:tc>
        <w:tc>
          <w:tcPr>
            <w:tcW w:type="dxa" w:w="2160"/>
            <w:shd w:fill="FFFFFF" w:color="auto" w:val="clear"/>
          </w:tcPr>
          <w:p>
            <w:r>
              <w:rPr>
                <w:b w:val="false"/>
                <w:bCs w:val="false"/>
                <w:color w:val="222222"/>
                <w:sz w:val="20"/>
                <w:szCs w:val="20"/>
              </w:rPr>
              <w:t xml:space="preserve">Reference patterns</w:t>
            </w:r>
          </w:p>
        </w:tc>
      </w:tr>
      <w:tr>
        <w:trPr>
          <w:tblHeader w:val="false"/>
        </w:trPr>
        <w:tc>
          <w:tcPr>
            <w:tcW w:type="dxa" w:w="1620"/>
            <w:shd w:fill="F8F8F8" w:color="auto" w:val="clear"/>
          </w:tcPr>
          <w:p>
            <w:r>
              <w:rPr>
                <w:b w:val="false"/>
                <w:bCs w:val="false"/>
                <w:color w:val="222222"/>
                <w:sz w:val="20"/>
                <w:szCs w:val="20"/>
              </w:rPr>
              <w:t xml:space="preserve">Atomwise</w:t>
            </w:r>
          </w:p>
        </w:tc>
        <w:tc>
          <w:tcPr>
            <w:tcW w:type="dxa" w:w="1080"/>
            <w:shd w:fill="F8F8F8" w:color="auto" w:val="clear"/>
          </w:tcPr>
          <w:p>
            <w:r>
              <w:rPr>
                <w:b w:val="false"/>
                <w:bCs w:val="false"/>
                <w:color w:val="222222"/>
                <w:sz w:val="20"/>
                <w:szCs w:val="20"/>
              </w:rPr>
              <w:t xml:space="preserve">2012</w:t>
            </w:r>
          </w:p>
        </w:tc>
        <w:tc>
          <w:tcPr>
            <w:tcW w:type="dxa" w:w="2160"/>
            <w:shd w:fill="F8F8F8" w:color="auto" w:val="clear"/>
          </w:tcPr>
          <w:p>
            <w:r>
              <w:rPr>
                <w:b w:val="false"/>
                <w:bCs w:val="false"/>
                <w:color w:val="222222"/>
                <w:sz w:val="20"/>
                <w:szCs w:val="20"/>
              </w:rPr>
              <w:t xml:space="preserve">Structure-based screening</w:t>
            </w:r>
          </w:p>
        </w:tc>
        <w:tc>
          <w:tcPr>
            <w:tcW w:type="dxa" w:w="2520"/>
            <w:shd w:fill="F8F8F8" w:color="auto" w:val="clear"/>
          </w:tcPr>
          <w:p>
            <w:r>
              <w:rPr>
                <w:b w:val="false"/>
                <w:bCs w:val="false"/>
                <w:color w:val="222222"/>
                <w:sz w:val="20"/>
                <w:szCs w:val="20"/>
              </w:rPr>
              <w:t xml:space="preserve">Discovery-stage; pan-disease</w:t>
            </w:r>
          </w:p>
        </w:tc>
        <w:tc>
          <w:tcPr>
            <w:tcW w:type="dxa" w:w="2160"/>
            <w:shd w:fill="F8F8F8" w:color="auto" w:val="clear"/>
          </w:tcPr>
          <w:p>
            <w:r>
              <w:rPr>
                <w:b w:val="false"/>
                <w:bCs w:val="false"/>
                <w:color w:val="222222"/>
                <w:sz w:val="20"/>
                <w:szCs w:val="20"/>
              </w:rPr>
              <w:t xml:space="preserve">Adjacent space</w:t>
            </w:r>
          </w:p>
        </w:tc>
      </w:tr>
      <w:tr>
        <w:trPr>
          <w:tblHeader w:val="false"/>
        </w:trPr>
        <w:tc>
          <w:tcPr>
            <w:tcW w:type="dxa" w:w="1620"/>
            <w:shd w:fill="FFFFFF" w:color="auto" w:val="clear"/>
          </w:tcPr>
          <w:p>
            <w:r>
              <w:rPr>
                <w:b w:val="false"/>
                <w:bCs w:val="false"/>
                <w:color w:val="222222"/>
                <w:sz w:val="20"/>
                <w:szCs w:val="20"/>
              </w:rPr>
              <w:t xml:space="preserve">Exscientia</w:t>
            </w:r>
          </w:p>
        </w:tc>
        <w:tc>
          <w:tcPr>
            <w:tcW w:type="dxa" w:w="1080"/>
            <w:shd w:fill="FFFFFF" w:color="auto" w:val="clear"/>
          </w:tcPr>
          <w:p>
            <w:r>
              <w:rPr>
                <w:b w:val="false"/>
                <w:bCs w:val="false"/>
                <w:color w:val="222222"/>
                <w:sz w:val="20"/>
                <w:szCs w:val="20"/>
              </w:rPr>
              <w:t xml:space="preserve">2012</w:t>
            </w:r>
          </w:p>
        </w:tc>
        <w:tc>
          <w:tcPr>
            <w:tcW w:type="dxa" w:w="2160"/>
            <w:shd w:fill="FFFFFF" w:color="auto" w:val="clear"/>
          </w:tcPr>
          <w:p>
            <w:r>
              <w:rPr>
                <w:b w:val="false"/>
                <w:bCs w:val="false"/>
                <w:color w:val="222222"/>
                <w:sz w:val="20"/>
                <w:szCs w:val="20"/>
              </w:rPr>
              <w:t xml:space="preserve">AI-designed compounds, broad</w:t>
            </w:r>
          </w:p>
        </w:tc>
        <w:tc>
          <w:tcPr>
            <w:tcW w:type="dxa" w:w="2520"/>
            <w:shd w:fill="FFFFFF" w:color="auto" w:val="clear"/>
          </w:tcPr>
          <w:p>
            <w:r>
              <w:rPr>
                <w:b w:val="false"/>
                <w:bCs w:val="false"/>
                <w:color w:val="222222"/>
                <w:sz w:val="20"/>
                <w:szCs w:val="20"/>
              </w:rPr>
              <w:t xml:space="preserve">Discovery not repurposing</w:t>
            </w:r>
          </w:p>
        </w:tc>
        <w:tc>
          <w:tcPr>
            <w:tcW w:type="dxa" w:w="2160"/>
            <w:shd w:fill="FFFFFF" w:color="auto" w:val="clear"/>
          </w:tcPr>
          <w:p>
            <w:r>
              <w:rPr>
                <w:b w:val="false"/>
                <w:bCs w:val="false"/>
                <w:color w:val="222222"/>
                <w:sz w:val="20"/>
                <w:szCs w:val="20"/>
              </w:rPr>
              <w:t xml:space="preserve">Adjacent space</w:t>
            </w:r>
          </w:p>
        </w:tc>
      </w:tr>
      <w:tr>
        <w:trPr>
          <w:tblHeader w:val="false"/>
        </w:trPr>
        <w:tc>
          <w:tcPr>
            <w:tcW w:type="dxa" w:w="1620"/>
            <w:shd w:fill="F8F8F8" w:color="auto" w:val="clear"/>
          </w:tcPr>
          <w:p>
            <w:r>
              <w:rPr>
                <w:b w:val="false"/>
                <w:bCs w:val="false"/>
                <w:color w:val="222222"/>
                <w:sz w:val="20"/>
                <w:szCs w:val="20"/>
              </w:rPr>
              <w:t xml:space="preserve">Lantern Pharma</w:t>
            </w:r>
          </w:p>
        </w:tc>
        <w:tc>
          <w:tcPr>
            <w:tcW w:type="dxa" w:w="1080"/>
            <w:shd w:fill="F8F8F8" w:color="auto" w:val="clear"/>
          </w:tcPr>
          <w:p>
            <w:r>
              <w:rPr>
                <w:b w:val="false"/>
                <w:bCs w:val="false"/>
                <w:color w:val="222222"/>
                <w:sz w:val="20"/>
                <w:szCs w:val="20"/>
              </w:rPr>
              <w:t xml:space="preserve">2013</w:t>
            </w:r>
          </w:p>
        </w:tc>
        <w:tc>
          <w:tcPr>
            <w:tcW w:type="dxa" w:w="2160"/>
            <w:shd w:fill="F8F8F8" w:color="auto" w:val="clear"/>
          </w:tcPr>
          <w:p>
            <w:r>
              <w:rPr>
                <w:b w:val="false"/>
                <w:bCs w:val="false"/>
                <w:color w:val="222222"/>
                <w:sz w:val="20"/>
                <w:szCs w:val="20"/>
              </w:rPr>
              <w:t xml:space="preserve">AI repurposing for oncology</w:t>
            </w:r>
          </w:p>
        </w:tc>
        <w:tc>
          <w:tcPr>
            <w:tcW w:type="dxa" w:w="2520"/>
            <w:shd w:fill="F8F8F8" w:color="auto" w:val="clear"/>
          </w:tcPr>
          <w:p>
            <w:r>
              <w:rPr>
                <w:b w:val="false"/>
                <w:bCs w:val="false"/>
                <w:color w:val="222222"/>
                <w:sz w:val="20"/>
                <w:szCs w:val="20"/>
              </w:rPr>
              <w:t xml:space="preserve">Oncology-only</w:t>
            </w:r>
          </w:p>
        </w:tc>
        <w:tc>
          <w:tcPr>
            <w:tcW w:type="dxa" w:w="2160"/>
            <w:shd w:fill="F8F8F8" w:color="auto" w:val="clear"/>
          </w:tcPr>
          <w:p>
            <w:r>
              <w:rPr>
                <w:b w:val="false"/>
                <w:bCs w:val="false"/>
                <w:color w:val="222222"/>
                <w:sz w:val="20"/>
                <w:szCs w:val="20"/>
              </w:rPr>
              <w:t xml:space="preserve">Specialty-vertical model</w:t>
            </w:r>
          </w:p>
        </w:tc>
      </w:tr>
      <w:tr>
        <w:trPr>
          <w:tblHeader w:val="false"/>
        </w:trPr>
        <w:tc>
          <w:tcPr>
            <w:tcW w:type="dxa" w:w="1620"/>
            <w:shd w:fill="FFFFFF" w:color="auto" w:val="clear"/>
          </w:tcPr>
          <w:p>
            <w:r>
              <w:rPr>
                <w:b w:val="false"/>
                <w:bCs w:val="false"/>
                <w:color w:val="222222"/>
                <w:sz w:val="20"/>
                <w:szCs w:val="20"/>
              </w:rPr>
              <w:t xml:space="preserve">Standigm</w:t>
            </w:r>
          </w:p>
        </w:tc>
        <w:tc>
          <w:tcPr>
            <w:tcW w:type="dxa" w:w="1080"/>
            <w:shd w:fill="FFFFFF" w:color="auto" w:val="clear"/>
          </w:tcPr>
          <w:p>
            <w:r>
              <w:rPr>
                <w:b w:val="false"/>
                <w:bCs w:val="false"/>
                <w:color w:val="222222"/>
                <w:sz w:val="20"/>
                <w:szCs w:val="20"/>
              </w:rPr>
              <w:t xml:space="preserve">2015, Korea</w:t>
            </w:r>
          </w:p>
        </w:tc>
        <w:tc>
          <w:tcPr>
            <w:tcW w:type="dxa" w:w="2160"/>
            <w:shd w:fill="FFFFFF" w:color="auto" w:val="clear"/>
          </w:tcPr>
          <w:p>
            <w:r>
              <w:rPr>
                <w:b w:val="false"/>
                <w:bCs w:val="false"/>
                <w:color w:val="222222"/>
                <w:sz w:val="20"/>
                <w:szCs w:val="20"/>
              </w:rPr>
              <w:t xml:space="preserve">AI repurposing platform</w:t>
            </w:r>
          </w:p>
        </w:tc>
        <w:tc>
          <w:tcPr>
            <w:tcW w:type="dxa" w:w="2520"/>
            <w:shd w:fill="FFFFFF" w:color="auto" w:val="clear"/>
          </w:tcPr>
          <w:p>
            <w:r>
              <w:rPr>
                <w:b w:val="false"/>
                <w:bCs w:val="false"/>
                <w:color w:val="222222"/>
                <w:sz w:val="20"/>
                <w:szCs w:val="20"/>
              </w:rPr>
              <w:t xml:space="preserve">Pan-disease, less Western visibility</w:t>
            </w:r>
          </w:p>
        </w:tc>
        <w:tc>
          <w:tcPr>
            <w:tcW w:type="dxa" w:w="2160"/>
            <w:shd w:fill="FFFFFF" w:color="auto" w:val="clear"/>
          </w:tcPr>
          <w:p>
            <w:r>
              <w:rPr>
                <w:b w:val="false"/>
                <w:bCs w:val="false"/>
                <w:color w:val="222222"/>
                <w:sz w:val="20"/>
                <w:szCs w:val="20"/>
              </w:rPr>
              <w:t xml:space="preserve">Patterns</w:t>
            </w:r>
          </w:p>
        </w:tc>
      </w:tr>
      <w:tr>
        <w:trPr>
          <w:tblHeader w:val="false"/>
        </w:trPr>
        <w:tc>
          <w:tcPr>
            <w:tcW w:type="dxa" w:w="1620"/>
            <w:shd w:fill="F8F8F8" w:color="auto" w:val="clear"/>
          </w:tcPr>
          <w:p>
            <w:r>
              <w:rPr>
                <w:b w:val="false"/>
                <w:bCs w:val="false"/>
                <w:color w:val="222222"/>
                <w:sz w:val="20"/>
                <w:szCs w:val="20"/>
              </w:rPr>
              <w:t xml:space="preserve">BioSymetrics</w:t>
            </w:r>
          </w:p>
        </w:tc>
        <w:tc>
          <w:tcPr>
            <w:tcW w:type="dxa" w:w="1080"/>
            <w:shd w:fill="F8F8F8" w:color="auto" w:val="clear"/>
          </w:tcPr>
          <w:p>
            <w:r>
              <w:rPr>
                <w:b w:val="false"/>
                <w:bCs w:val="false"/>
                <w:color w:val="222222"/>
                <w:sz w:val="20"/>
                <w:szCs w:val="20"/>
              </w:rPr>
              <w:t xml:space="preserve">2015</w:t>
            </w:r>
          </w:p>
        </w:tc>
        <w:tc>
          <w:tcPr>
            <w:tcW w:type="dxa" w:w="2160"/>
            <w:shd w:fill="F8F8F8" w:color="auto" w:val="clear"/>
          </w:tcPr>
          <w:p>
            <w:r>
              <w:rPr>
                <w:b w:val="false"/>
                <w:bCs w:val="false"/>
                <w:color w:val="222222"/>
                <w:sz w:val="20"/>
                <w:szCs w:val="20"/>
              </w:rPr>
              <w:t xml:space="preserve">AI for clinical-stage repurposing</w:t>
            </w:r>
          </w:p>
        </w:tc>
        <w:tc>
          <w:tcPr>
            <w:tcW w:type="dxa" w:w="2520"/>
            <w:shd w:fill="F8F8F8" w:color="auto" w:val="clear"/>
          </w:tcPr>
          <w:p>
            <w:r>
              <w:rPr>
                <w:b w:val="false"/>
                <w:bCs w:val="false"/>
                <w:color w:val="222222"/>
                <w:sz w:val="20"/>
                <w:szCs w:val="20"/>
              </w:rPr>
              <w:t xml:space="preserve">Clinical-stage focus</w:t>
            </w:r>
          </w:p>
        </w:tc>
        <w:tc>
          <w:tcPr>
            <w:tcW w:type="dxa" w:w="2160"/>
            <w:shd w:fill="F8F8F8" w:color="auto" w:val="clear"/>
          </w:tcPr>
          <w:p>
            <w:r>
              <w:rPr>
                <w:b w:val="false"/>
                <w:bCs w:val="false"/>
                <w:color w:val="222222"/>
                <w:sz w:val="20"/>
                <w:szCs w:val="20"/>
              </w:rPr>
              <w:t xml:space="preserve">RWE patterns</w:t>
            </w:r>
          </w:p>
        </w:tc>
      </w:tr>
      <w:tr>
        <w:trPr>
          <w:tblHeader w:val="false"/>
        </w:trPr>
        <w:tc>
          <w:tcPr>
            <w:tcW w:type="dxa" w:w="1620"/>
            <w:shd w:fill="FFFFFF" w:color="auto" w:val="clear"/>
          </w:tcPr>
          <w:p>
            <w:r>
              <w:rPr>
                <w:b w:val="false"/>
                <w:bCs w:val="false"/>
                <w:color w:val="222222"/>
                <w:sz w:val="20"/>
                <w:szCs w:val="20"/>
              </w:rPr>
              <w:t xml:space="preserve">twoXAR / Aria (Aria Pharmaceuticals)</w:t>
            </w:r>
          </w:p>
        </w:tc>
        <w:tc>
          <w:tcPr>
            <w:tcW w:type="dxa" w:w="1080"/>
            <w:shd w:fill="FFFFFF" w:color="auto" w:val="clear"/>
          </w:tcPr>
          <w:p>
            <w:r>
              <w:rPr>
                <w:b w:val="false"/>
                <w:bCs w:val="false"/>
                <w:color w:val="222222"/>
                <w:sz w:val="20"/>
                <w:szCs w:val="20"/>
              </w:rPr>
              <w:t xml:space="preserve">~2014</w:t>
            </w:r>
          </w:p>
        </w:tc>
        <w:tc>
          <w:tcPr>
            <w:tcW w:type="dxa" w:w="2160"/>
            <w:shd w:fill="FFFFFF" w:color="auto" w:val="clear"/>
          </w:tcPr>
          <w:p>
            <w:r>
              <w:rPr>
                <w:b w:val="false"/>
                <w:bCs w:val="false"/>
                <w:color w:val="222222"/>
                <w:sz w:val="20"/>
                <w:szCs w:val="20"/>
              </w:rPr>
              <w:t xml:space="preserve">Repurposing platform-to-asset</w:t>
            </w:r>
          </w:p>
        </w:tc>
        <w:tc>
          <w:tcPr>
            <w:tcW w:type="dxa" w:w="2520"/>
            <w:shd w:fill="FFFFFF" w:color="auto" w:val="clear"/>
          </w:tcPr>
          <w:p>
            <w:r>
              <w:rPr>
                <w:b w:val="false"/>
                <w:bCs w:val="false"/>
                <w:color w:val="222222"/>
                <w:sz w:val="20"/>
                <w:szCs w:val="20"/>
              </w:rPr>
              <w:t xml:space="preserve">Asset-flip model not platform</w:t>
            </w:r>
          </w:p>
        </w:tc>
        <w:tc>
          <w:tcPr>
            <w:tcW w:type="dxa" w:w="2160"/>
            <w:shd w:fill="FFFFFF" w:color="auto" w:val="clear"/>
          </w:tcPr>
          <w:p>
            <w:r>
              <w:rPr>
                <w:b w:val="false"/>
                <w:bCs w:val="false"/>
                <w:color w:val="222222"/>
                <w:sz w:val="20"/>
                <w:szCs w:val="20"/>
              </w:rPr>
              <w:t xml:space="preserve">Different business model</w:t>
            </w:r>
          </w:p>
        </w:tc>
      </w:tr>
    </w:tbl>
    <w:p>
      <w:pPr>
        <w:pStyle w:val="Heading2"/>
      </w:pPr>
      <w:r>
        <w:t xml:space="preserve">9.2 Women's health digital health (adjacent, partnership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W w:type="dxa" w:w="2160"/>
            <w:shd w:fill="7A1F3D" w:color="auto" w:val="clear"/>
          </w:tcPr>
          <w:p>
            <w:r>
              <w:rPr>
                <w:b/>
                <w:bCs/>
                <w:color w:val="FFFFFF"/>
                <w:sz w:val="20"/>
                <w:szCs w:val="20"/>
              </w:rPr>
              <w:t xml:space="preserve">Company</w:t>
            </w:r>
          </w:p>
        </w:tc>
        <w:tc>
          <w:tcPr>
            <w:tcW w:type="dxa" w:w="2520"/>
            <w:shd w:fill="7A1F3D" w:color="auto" w:val="clear"/>
          </w:tcPr>
          <w:p>
            <w:r>
              <w:rPr>
                <w:b/>
                <w:bCs/>
                <w:color w:val="FFFFFF"/>
                <w:sz w:val="20"/>
                <w:szCs w:val="20"/>
              </w:rPr>
              <w:t xml:space="preserve">Focus</w:t>
            </w:r>
          </w:p>
        </w:tc>
        <w:tc>
          <w:tcPr>
            <w:tcW w:type="dxa" w:w="2160"/>
            <w:shd w:fill="7A1F3D" w:color="auto" w:val="clear"/>
          </w:tcPr>
          <w:p>
            <w:r>
              <w:rPr>
                <w:b/>
                <w:bCs/>
                <w:color w:val="FFFFFF"/>
                <w:sz w:val="20"/>
                <w:szCs w:val="20"/>
              </w:rPr>
              <w:t xml:space="preserve">Why not them</w:t>
            </w:r>
          </w:p>
        </w:tc>
        <w:tc>
          <w:tcPr>
            <w:tcW w:type="dxa" w:w="2520"/>
            <w:shd w:fill="7A1F3D" w:color="auto" w:val="clear"/>
          </w:tcPr>
          <w:p>
            <w:r>
              <w:rPr>
                <w:b/>
                <w:bCs/>
                <w:color w:val="FFFFFF"/>
                <w:sz w:val="20"/>
                <w:szCs w:val="20"/>
              </w:rPr>
              <w:t xml:space="preserve">Partnership angle</w:t>
            </w:r>
          </w:p>
        </w:tc>
      </w:tr>
      <w:tr>
        <w:trPr>
          <w:tblHeader w:val="false"/>
        </w:trPr>
        <w:tc>
          <w:tcPr>
            <w:tcW w:type="dxa" w:w="2160"/>
            <w:shd w:fill="F8F8F8" w:color="auto" w:val="clear"/>
          </w:tcPr>
          <w:p>
            <w:r>
              <w:rPr>
                <w:b w:val="false"/>
                <w:bCs w:val="false"/>
                <w:color w:val="222222"/>
                <w:sz w:val="20"/>
                <w:szCs w:val="20"/>
              </w:rPr>
              <w:t xml:space="preserve">Clue (BioWink GmbH)</w:t>
            </w:r>
          </w:p>
        </w:tc>
        <w:tc>
          <w:tcPr>
            <w:tcW w:type="dxa" w:w="2520"/>
            <w:shd w:fill="F8F8F8" w:color="auto" w:val="clear"/>
          </w:tcPr>
          <w:p>
            <w:r>
              <w:rPr>
                <w:b w:val="false"/>
                <w:bCs w:val="false"/>
                <w:color w:val="222222"/>
                <w:sz w:val="20"/>
                <w:szCs w:val="20"/>
              </w:rPr>
              <w:t xml:space="preserve">Cycle tracking, science-leaning</w:t>
            </w:r>
          </w:p>
        </w:tc>
        <w:tc>
          <w:tcPr>
            <w:tcW w:type="dxa" w:w="2160"/>
            <w:shd w:fill="F8F8F8" w:color="auto" w:val="clear"/>
          </w:tcPr>
          <w:p>
            <w:r>
              <w:rPr>
                <w:b w:val="false"/>
                <w:bCs w:val="false"/>
                <w:color w:val="222222"/>
                <w:sz w:val="20"/>
                <w:szCs w:val="20"/>
              </w:rPr>
              <w:t xml:space="preserve">Consumer app; not an evidence platform</w:t>
            </w:r>
          </w:p>
        </w:tc>
        <w:tc>
          <w:tcPr>
            <w:tcW w:type="dxa" w:w="2520"/>
            <w:shd w:fill="F8F8F8" w:color="auto" w:val="clear"/>
          </w:tcPr>
          <w:p>
            <w:r>
              <w:rPr>
                <w:b w:val="false"/>
                <w:bCs w:val="false"/>
                <w:color w:val="222222"/>
                <w:sz w:val="20"/>
                <w:szCs w:val="20"/>
              </w:rPr>
              <w:t xml:space="preserve">Critical Tier 2 cohort partnership</w:t>
            </w:r>
          </w:p>
        </w:tc>
      </w:tr>
      <w:tr>
        <w:trPr>
          <w:tblHeader w:val="false"/>
        </w:trPr>
        <w:tc>
          <w:tcPr>
            <w:tcW w:type="dxa" w:w="2160"/>
            <w:shd w:fill="FFFFFF" w:color="auto" w:val="clear"/>
          </w:tcPr>
          <w:p>
            <w:r>
              <w:rPr>
                <w:b w:val="false"/>
                <w:bCs w:val="false"/>
                <w:color w:val="222222"/>
                <w:sz w:val="20"/>
                <w:szCs w:val="20"/>
              </w:rPr>
              <w:t xml:space="preserve">Flo Health</w:t>
            </w:r>
          </w:p>
        </w:tc>
        <w:tc>
          <w:tcPr>
            <w:tcW w:type="dxa" w:w="2520"/>
            <w:shd w:fill="FFFFFF" w:color="auto" w:val="clear"/>
          </w:tcPr>
          <w:p>
            <w:r>
              <w:rPr>
                <w:b w:val="false"/>
                <w:bCs w:val="false"/>
                <w:color w:val="222222"/>
                <w:sz w:val="20"/>
                <w:szCs w:val="20"/>
              </w:rPr>
              <w:t xml:space="preserve">Cycle + fertility tracking, scale (300M+ users)</w:t>
            </w:r>
          </w:p>
        </w:tc>
        <w:tc>
          <w:tcPr>
            <w:tcW w:type="dxa" w:w="2160"/>
            <w:shd w:fill="FFFFFF" w:color="auto" w:val="clear"/>
          </w:tcPr>
          <w:p>
            <w:r>
              <w:rPr>
                <w:b w:val="false"/>
                <w:bCs w:val="false"/>
                <w:color w:val="222222"/>
                <w:sz w:val="20"/>
                <w:szCs w:val="20"/>
              </w:rPr>
              <w:t xml:space="preserve">Consumer app; large but more general health than research</w:t>
            </w:r>
          </w:p>
        </w:tc>
        <w:tc>
          <w:tcPr>
            <w:tcW w:type="dxa" w:w="2520"/>
            <w:shd w:fill="FFFFFF" w:color="auto" w:val="clear"/>
          </w:tcPr>
          <w:p>
            <w:r>
              <w:rPr>
                <w:b w:val="false"/>
                <w:bCs w:val="false"/>
                <w:color w:val="222222"/>
                <w:sz w:val="20"/>
                <w:szCs w:val="20"/>
              </w:rPr>
              <w:t xml:space="preserve">Tier 2 cohort partnership (different angle than Clue)</w:t>
            </w:r>
          </w:p>
        </w:tc>
      </w:tr>
      <w:tr>
        <w:trPr>
          <w:tblHeader w:val="false"/>
        </w:trPr>
        <w:tc>
          <w:tcPr>
            <w:tcW w:type="dxa" w:w="2160"/>
            <w:shd w:fill="F8F8F8" w:color="auto" w:val="clear"/>
          </w:tcPr>
          <w:p>
            <w:r>
              <w:rPr>
                <w:b w:val="false"/>
                <w:bCs w:val="false"/>
                <w:color w:val="222222"/>
                <w:sz w:val="20"/>
                <w:szCs w:val="20"/>
              </w:rPr>
              <w:t xml:space="preserve">Natural Cycles</w:t>
            </w:r>
          </w:p>
        </w:tc>
        <w:tc>
          <w:tcPr>
            <w:tcW w:type="dxa" w:w="2520"/>
            <w:shd w:fill="F8F8F8" w:color="auto" w:val="clear"/>
          </w:tcPr>
          <w:p>
            <w:r>
              <w:rPr>
                <w:b w:val="false"/>
                <w:bCs w:val="false"/>
                <w:color w:val="222222"/>
                <w:sz w:val="20"/>
                <w:szCs w:val="20"/>
              </w:rPr>
              <w:t xml:space="preserve">FDA-cleared contraception app</w:t>
            </w:r>
          </w:p>
        </w:tc>
        <w:tc>
          <w:tcPr>
            <w:tcW w:type="dxa" w:w="2160"/>
            <w:shd w:fill="F8F8F8" w:color="auto" w:val="clear"/>
          </w:tcPr>
          <w:p>
            <w:r>
              <w:rPr>
                <w:b w:val="false"/>
                <w:bCs w:val="false"/>
                <w:color w:val="222222"/>
                <w:sz w:val="20"/>
                <w:szCs w:val="20"/>
              </w:rPr>
              <w:t xml:space="preserve">Single use case</w:t>
            </w:r>
          </w:p>
        </w:tc>
        <w:tc>
          <w:tcPr>
            <w:tcW w:type="dxa" w:w="2520"/>
            <w:shd w:fill="F8F8F8" w:color="auto" w:val="clear"/>
          </w:tcPr>
          <w:p>
            <w:r>
              <w:rPr>
                <w:b w:val="false"/>
                <w:bCs w:val="false"/>
                <w:color w:val="222222"/>
                <w:sz w:val="20"/>
                <w:szCs w:val="20"/>
              </w:rPr>
              <w:t xml:space="preserve">Niche partnership</w:t>
            </w:r>
          </w:p>
        </w:tc>
      </w:tr>
      <w:tr>
        <w:trPr>
          <w:tblHeader w:val="false"/>
        </w:trPr>
        <w:tc>
          <w:tcPr>
            <w:tcW w:type="dxa" w:w="2160"/>
            <w:shd w:fill="FFFFFF" w:color="auto" w:val="clear"/>
          </w:tcPr>
          <w:p>
            <w:r>
              <w:rPr>
                <w:b w:val="false"/>
                <w:bCs w:val="false"/>
                <w:color w:val="222222"/>
                <w:sz w:val="20"/>
                <w:szCs w:val="20"/>
              </w:rPr>
              <w:t xml:space="preserve">Bellabeat / Oura (women's lens)</w:t>
            </w:r>
          </w:p>
        </w:tc>
        <w:tc>
          <w:tcPr>
            <w:tcW w:type="dxa" w:w="2520"/>
            <w:shd w:fill="FFFFFF" w:color="auto" w:val="clear"/>
          </w:tcPr>
          <w:p>
            <w:r>
              <w:rPr>
                <w:b w:val="false"/>
                <w:bCs w:val="false"/>
                <w:color w:val="222222"/>
                <w:sz w:val="20"/>
                <w:szCs w:val="20"/>
              </w:rPr>
              <w:t xml:space="preserve">Wearables</w:t>
            </w:r>
          </w:p>
        </w:tc>
        <w:tc>
          <w:tcPr>
            <w:tcW w:type="dxa" w:w="2160"/>
            <w:shd w:fill="FFFFFF" w:color="auto" w:val="clear"/>
          </w:tcPr>
          <w:p>
            <w:r>
              <w:rPr>
                <w:b w:val="false"/>
                <w:bCs w:val="false"/>
                <w:color w:val="222222"/>
                <w:sz w:val="20"/>
                <w:szCs w:val="20"/>
              </w:rPr>
              <w:t xml:space="preserve">Hardware</w:t>
            </w:r>
          </w:p>
        </w:tc>
        <w:tc>
          <w:tcPr>
            <w:tcW w:type="dxa" w:w="2520"/>
            <w:shd w:fill="FFFFFF" w:color="auto" w:val="clear"/>
          </w:tcPr>
          <w:p>
            <w:r>
              <w:rPr>
                <w:b w:val="false"/>
                <w:bCs w:val="false"/>
                <w:color w:val="222222"/>
                <w:sz w:val="20"/>
                <w:szCs w:val="20"/>
              </w:rPr>
              <w:t xml:space="preserve">Tier 3 wearable data partner</w:t>
            </w:r>
          </w:p>
        </w:tc>
      </w:tr>
      <w:tr>
        <w:trPr>
          <w:tblHeader w:val="false"/>
        </w:trPr>
        <w:tc>
          <w:tcPr>
            <w:tcW w:type="dxa" w:w="2160"/>
            <w:shd w:fill="F8F8F8" w:color="auto" w:val="clear"/>
          </w:tcPr>
          <w:p>
            <w:r>
              <w:rPr>
                <w:b w:val="false"/>
                <w:bCs w:val="false"/>
                <w:color w:val="222222"/>
                <w:sz w:val="20"/>
                <w:szCs w:val="20"/>
              </w:rPr>
              <w:t xml:space="preserve">Maven Clinic</w:t>
            </w:r>
          </w:p>
        </w:tc>
        <w:tc>
          <w:tcPr>
            <w:tcW w:type="dxa" w:w="2520"/>
            <w:shd w:fill="F8F8F8" w:color="auto" w:val="clear"/>
          </w:tcPr>
          <w:p>
            <w:r>
              <w:rPr>
                <w:b w:val="false"/>
                <w:bCs w:val="false"/>
                <w:color w:val="222222"/>
                <w:sz w:val="20"/>
                <w:szCs w:val="20"/>
              </w:rPr>
              <w:t xml:space="preserve">Women + family care marketplace</w:t>
            </w:r>
          </w:p>
        </w:tc>
        <w:tc>
          <w:tcPr>
            <w:tcW w:type="dxa" w:w="2160"/>
            <w:shd w:fill="F8F8F8" w:color="auto" w:val="clear"/>
          </w:tcPr>
          <w:p>
            <w:r>
              <w:rPr>
                <w:b w:val="false"/>
                <w:bCs w:val="false"/>
                <w:color w:val="222222"/>
                <w:sz w:val="20"/>
                <w:szCs w:val="20"/>
              </w:rPr>
              <w:t xml:space="preserve">Care delivery; not evidence</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Tia</w:t>
            </w:r>
          </w:p>
        </w:tc>
        <w:tc>
          <w:tcPr>
            <w:tcW w:type="dxa" w:w="2520"/>
            <w:shd w:fill="FFFFFF" w:color="auto" w:val="clear"/>
          </w:tcPr>
          <w:p>
            <w:r>
              <w:rPr>
                <w:b w:val="false"/>
                <w:bCs w:val="false"/>
                <w:color w:val="222222"/>
                <w:sz w:val="20"/>
                <w:szCs w:val="20"/>
              </w:rPr>
              <w:t xml:space="preserve">Hybrid care for women</w:t>
            </w:r>
          </w:p>
        </w:tc>
        <w:tc>
          <w:tcPr>
            <w:tcW w:type="dxa" w:w="2160"/>
            <w:shd w:fill="FFFFFF" w:color="auto" w:val="clear"/>
          </w:tcPr>
          <w:p>
            <w:r>
              <w:rPr>
                <w:b w:val="false"/>
                <w:bCs w:val="false"/>
                <w:color w:val="222222"/>
                <w:sz w:val="20"/>
                <w:szCs w:val="20"/>
              </w:rPr>
              <w:t xml:space="preserve">Care delivery</w:t>
            </w:r>
          </w:p>
        </w:tc>
        <w:tc>
          <w:tcPr>
            <w:tcW w:type="dxa" w:w="2520"/>
            <w:shd w:fill="FFFFFF" w:color="auto" w:val="clear"/>
          </w:tcPr>
          <w:p>
            <w:r>
              <w:rPr>
                <w:b w:val="false"/>
                <w:bCs w:val="false"/>
                <w:color w:val="222222"/>
                <w:sz w:val="20"/>
                <w:szCs w:val="20"/>
              </w:rPr>
              <w:t xml:space="preserve">Not directly competitive</w:t>
            </w:r>
          </w:p>
        </w:tc>
      </w:tr>
      <w:tr>
        <w:trPr>
          <w:tblHeader w:val="false"/>
        </w:trPr>
        <w:tc>
          <w:tcPr>
            <w:tcW w:type="dxa" w:w="2160"/>
            <w:shd w:fill="F8F8F8" w:color="auto" w:val="clear"/>
          </w:tcPr>
          <w:p>
            <w:r>
              <w:rPr>
                <w:b w:val="false"/>
                <w:bCs w:val="false"/>
                <w:color w:val="222222"/>
                <w:sz w:val="20"/>
                <w:szCs w:val="20"/>
              </w:rPr>
              <w:t xml:space="preserve">Kindbody</w:t>
            </w:r>
          </w:p>
        </w:tc>
        <w:tc>
          <w:tcPr>
            <w:tcW w:type="dxa" w:w="2520"/>
            <w:shd w:fill="F8F8F8" w:color="auto" w:val="clear"/>
          </w:tcPr>
          <w:p>
            <w:r>
              <w:rPr>
                <w:b w:val="false"/>
                <w:bCs w:val="false"/>
                <w:color w:val="222222"/>
                <w:sz w:val="20"/>
                <w:szCs w:val="20"/>
              </w:rPr>
              <w:t xml:space="preserve">Fertility care</w:t>
            </w:r>
          </w:p>
        </w:tc>
        <w:tc>
          <w:tcPr>
            <w:tcW w:type="dxa" w:w="2160"/>
            <w:shd w:fill="F8F8F8" w:color="auto" w:val="clear"/>
          </w:tcPr>
          <w:p>
            <w:r>
              <w:rPr>
                <w:b w:val="false"/>
                <w:bCs w:val="false"/>
                <w:color w:val="222222"/>
                <w:sz w:val="20"/>
                <w:szCs w:val="20"/>
              </w:rPr>
              <w:t xml:space="preserve">Care delivery, fertility-specific</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Hers / Hims</w:t>
            </w:r>
          </w:p>
        </w:tc>
        <w:tc>
          <w:tcPr>
            <w:tcW w:type="dxa" w:w="2520"/>
            <w:shd w:fill="FFFFFF" w:color="auto" w:val="clear"/>
          </w:tcPr>
          <w:p>
            <w:r>
              <w:rPr>
                <w:b w:val="false"/>
                <w:bCs w:val="false"/>
                <w:color w:val="222222"/>
                <w:sz w:val="20"/>
                <w:szCs w:val="20"/>
              </w:rPr>
              <w:t xml:space="preserve">Telehealth incl women's health</w:t>
            </w:r>
          </w:p>
        </w:tc>
        <w:tc>
          <w:tcPr>
            <w:tcW w:type="dxa" w:w="2160"/>
            <w:shd w:fill="FFFFFF" w:color="auto" w:val="clear"/>
          </w:tcPr>
          <w:p>
            <w:r>
              <w:rPr>
                <w:b w:val="false"/>
                <w:bCs w:val="false"/>
                <w:color w:val="222222"/>
                <w:sz w:val="20"/>
                <w:szCs w:val="20"/>
              </w:rPr>
              <w:t xml:space="preserve">Direct-to-consumer Rx</w:t>
            </w:r>
          </w:p>
        </w:tc>
        <w:tc>
          <w:tcPr>
            <w:tcW w:type="dxa" w:w="2520"/>
            <w:shd w:fill="FFFFFF" w:color="auto" w:val="clear"/>
          </w:tcPr>
          <w:p>
            <w:r>
              <w:rPr>
                <w:b w:val="false"/>
                <w:bCs w:val="false"/>
                <w:color w:val="222222"/>
                <w:sz w:val="20"/>
                <w:szCs w:val="20"/>
              </w:rPr>
              <w:t xml:space="preserve">Not directly competitive</w:t>
            </w:r>
          </w:p>
        </w:tc>
      </w:tr>
      <w:tr>
        <w:trPr>
          <w:tblHeader w:val="false"/>
        </w:trPr>
        <w:tc>
          <w:tcPr>
            <w:tcW w:type="dxa" w:w="2160"/>
            <w:shd w:fill="F8F8F8" w:color="auto" w:val="clear"/>
          </w:tcPr>
          <w:p>
            <w:r>
              <w:rPr>
                <w:b w:val="false"/>
                <w:bCs w:val="false"/>
                <w:color w:val="222222"/>
                <w:sz w:val="20"/>
                <w:szCs w:val="20"/>
              </w:rPr>
              <w:t xml:space="preserve">Wisp</w:t>
            </w:r>
          </w:p>
        </w:tc>
        <w:tc>
          <w:tcPr>
            <w:tcW w:type="dxa" w:w="2520"/>
            <w:shd w:fill="F8F8F8" w:color="auto" w:val="clear"/>
          </w:tcPr>
          <w:p>
            <w:r>
              <w:rPr>
                <w:b w:val="false"/>
                <w:bCs w:val="false"/>
                <w:color w:val="222222"/>
                <w:sz w:val="20"/>
                <w:szCs w:val="20"/>
              </w:rPr>
              <w:t xml:space="preserve">Women's health telehealth</w:t>
            </w:r>
          </w:p>
        </w:tc>
        <w:tc>
          <w:tcPr>
            <w:tcW w:type="dxa" w:w="2160"/>
            <w:shd w:fill="F8F8F8" w:color="auto" w:val="clear"/>
          </w:tcPr>
          <w:p>
            <w:r>
              <w:rPr>
                <w:b w:val="false"/>
                <w:bCs w:val="false"/>
                <w:color w:val="222222"/>
                <w:sz w:val="20"/>
                <w:szCs w:val="20"/>
              </w:rPr>
              <w:t xml:space="preserve">Telehealth Rx</w:t>
            </w:r>
          </w:p>
        </w:tc>
        <w:tc>
          <w:tcPr>
            <w:tcW w:type="dxa" w:w="2520"/>
            <w:shd w:fill="F8F8F8" w:color="auto" w:val="clear"/>
          </w:tcPr>
          <w:p>
            <w:r>
              <w:rPr>
                <w:b w:val="false"/>
                <w:bCs w:val="false"/>
                <w:color w:val="222222"/>
                <w:sz w:val="20"/>
                <w:szCs w:val="20"/>
              </w:rPr>
              <w:t xml:space="preserve">Not directly competitive</w:t>
            </w:r>
          </w:p>
        </w:tc>
      </w:tr>
      <w:tr>
        <w:trPr>
          <w:tblHeader w:val="false"/>
        </w:trPr>
        <w:tc>
          <w:tcPr>
            <w:tcW w:type="dxa" w:w="2160"/>
            <w:shd w:fill="FFFFFF" w:color="auto" w:val="clear"/>
          </w:tcPr>
          <w:p>
            <w:r>
              <w:rPr>
                <w:b w:val="false"/>
                <w:bCs w:val="false"/>
                <w:color w:val="222222"/>
                <w:sz w:val="20"/>
                <w:szCs w:val="20"/>
              </w:rPr>
              <w:t xml:space="preserve">Allara</w:t>
            </w:r>
          </w:p>
        </w:tc>
        <w:tc>
          <w:tcPr>
            <w:tcW w:type="dxa" w:w="2520"/>
            <w:shd w:fill="FFFFFF" w:color="auto" w:val="clear"/>
          </w:tcPr>
          <w:p>
            <w:r>
              <w:rPr>
                <w:b w:val="false"/>
                <w:bCs w:val="false"/>
                <w:color w:val="222222"/>
                <w:sz w:val="20"/>
                <w:szCs w:val="20"/>
              </w:rPr>
              <w:t xml:space="preserve">PCOS-focused care</w:t>
            </w:r>
          </w:p>
        </w:tc>
        <w:tc>
          <w:tcPr>
            <w:tcW w:type="dxa" w:w="2160"/>
            <w:shd w:fill="FFFFFF" w:color="auto" w:val="clear"/>
          </w:tcPr>
          <w:p>
            <w:r>
              <w:rPr>
                <w:b w:val="false"/>
                <w:bCs w:val="false"/>
                <w:color w:val="222222"/>
                <w:sz w:val="20"/>
                <w:szCs w:val="20"/>
              </w:rPr>
              <w:t xml:space="preserve">Specialty care delivery for PCOS</w:t>
            </w:r>
          </w:p>
        </w:tc>
        <w:tc>
          <w:tcPr>
            <w:tcW w:type="dxa" w:w="2520"/>
            <w:shd w:fill="FFFFFF" w:color="auto" w:val="clear"/>
          </w:tcPr>
          <w:p>
            <w:r>
              <w:rPr>
                <w:b w:val="false"/>
                <w:bCs w:val="false"/>
                <w:color w:val="222222"/>
                <w:sz w:val="20"/>
                <w:szCs w:val="20"/>
              </w:rPr>
              <w:t xml:space="preserve">Potential PCOS reference partner</w:t>
            </w:r>
          </w:p>
        </w:tc>
      </w:tr>
    </w:tbl>
    <w:p>
      <w:pPr>
        <w:pStyle w:val="Heading2"/>
      </w:pPr>
      <w:r>
        <w:t xml:space="preserve">9.3 Biomedical evidence platforms (broader knowledge tools, indirect)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shd w:fill="7A1F3D" w:color="auto" w:val="clear"/>
          </w:tcPr>
          <w:p>
            <w:r>
              <w:rPr>
                <w:b/>
                <w:bCs/>
                <w:color w:val="FFFFFF"/>
                <w:sz w:val="20"/>
                <w:szCs w:val="20"/>
              </w:rPr>
              <w:t xml:space="preserve">Company</w:t>
            </w:r>
          </w:p>
        </w:tc>
        <w:tc>
          <w:tcPr>
            <w:tcW w:type="dxa" w:w="3240"/>
            <w:shd w:fill="7A1F3D" w:color="auto" w:val="clear"/>
          </w:tcPr>
          <w:p>
            <w:r>
              <w:rPr>
                <w:b/>
                <w:bCs/>
                <w:color w:val="FFFFFF"/>
                <w:sz w:val="20"/>
                <w:szCs w:val="20"/>
              </w:rPr>
              <w:t xml:space="preserve">What they do</w:t>
            </w:r>
          </w:p>
        </w:tc>
        <w:tc>
          <w:tcPr>
            <w:tcW w:type="dxa" w:w="3600"/>
            <w:shd w:fill="7A1F3D" w:color="auto" w:val="clear"/>
          </w:tcPr>
          <w:p>
            <w:r>
              <w:rPr>
                <w:b/>
                <w:bCs/>
                <w:color w:val="FFFFFF"/>
                <w:sz w:val="20"/>
                <w:szCs w:val="20"/>
              </w:rPr>
              <w:t xml:space="preserve">Why not them</w:t>
            </w:r>
          </w:p>
        </w:tc>
      </w:tr>
      <w:tr>
        <w:trPr>
          <w:tblHeader w:val="false"/>
        </w:trPr>
        <w:tc>
          <w:tcPr>
            <w:tcW w:type="dxa" w:w="2520"/>
            <w:shd w:fill="F8F8F8" w:color="auto" w:val="clear"/>
          </w:tcPr>
          <w:p>
            <w:r>
              <w:rPr>
                <w:b w:val="false"/>
                <w:bCs w:val="false"/>
                <w:color w:val="222222"/>
                <w:sz w:val="20"/>
                <w:szCs w:val="20"/>
              </w:rPr>
              <w:t xml:space="preserve">OpenEvidence</w:t>
            </w:r>
          </w:p>
        </w:tc>
        <w:tc>
          <w:tcPr>
            <w:tcW w:type="dxa" w:w="3240"/>
            <w:shd w:fill="F8F8F8" w:color="auto" w:val="clear"/>
          </w:tcPr>
          <w:p>
            <w:r>
              <w:rPr>
                <w:b w:val="false"/>
                <w:bCs w:val="false"/>
                <w:color w:val="222222"/>
                <w:sz w:val="20"/>
                <w:szCs w:val="20"/>
              </w:rPr>
              <w:t xml:space="preserve">AI clinical decision support / literature Q&amp;A</w:t>
            </w:r>
          </w:p>
        </w:tc>
        <w:tc>
          <w:tcPr>
            <w:tcW w:type="dxa" w:w="3600"/>
            <w:shd w:fill="F8F8F8" w:color="auto" w:val="clear"/>
          </w:tcPr>
          <w:p>
            <w:r>
              <w:rPr>
                <w:b w:val="false"/>
                <w:bCs w:val="false"/>
                <w:color w:val="222222"/>
                <w:sz w:val="20"/>
                <w:szCs w:val="20"/>
              </w:rPr>
              <w:t xml:space="preserve">Pan-condition; physician-facing point-of-care; not a substrate; not female-specific</w:t>
            </w:r>
          </w:p>
        </w:tc>
      </w:tr>
      <w:tr>
        <w:trPr>
          <w:tblHeader w:val="false"/>
        </w:trPr>
        <w:tc>
          <w:tcPr>
            <w:tcW w:type="dxa" w:w="2520"/>
            <w:shd w:fill="FFFFFF" w:color="auto" w:val="clear"/>
          </w:tcPr>
          <w:p>
            <w:r>
              <w:rPr>
                <w:b w:val="false"/>
                <w:bCs w:val="false"/>
                <w:color w:val="222222"/>
                <w:sz w:val="20"/>
                <w:szCs w:val="20"/>
              </w:rPr>
              <w:t xml:space="preserve">UpToDate (Wolters Kluwer)</w:t>
            </w:r>
          </w:p>
        </w:tc>
        <w:tc>
          <w:tcPr>
            <w:tcW w:type="dxa" w:w="3240"/>
            <w:shd w:fill="FFFFFF" w:color="auto" w:val="clear"/>
          </w:tcPr>
          <w:p>
            <w:r>
              <w:rPr>
                <w:b w:val="false"/>
                <w:bCs w:val="false"/>
                <w:color w:val="222222"/>
                <w:sz w:val="20"/>
                <w:szCs w:val="20"/>
              </w:rPr>
              <w:t xml:space="preserve">Clinical reference standard</w:t>
            </w:r>
          </w:p>
        </w:tc>
        <w:tc>
          <w:tcPr>
            <w:tcW w:type="dxa" w:w="3600"/>
            <w:shd w:fill="FFFFFF" w:color="auto" w:val="clear"/>
          </w:tcPr>
          <w:p>
            <w:r>
              <w:rPr>
                <w:b w:val="false"/>
                <w:bCs w:val="false"/>
                <w:color w:val="222222"/>
                <w:sz w:val="20"/>
                <w:szCs w:val="20"/>
              </w:rPr>
              <w:t xml:space="preserve">Editorial-process bottlenecked; not real-time; pan-condition</w:t>
            </w:r>
          </w:p>
        </w:tc>
      </w:tr>
      <w:tr>
        <w:trPr>
          <w:tblHeader w:val="false"/>
        </w:trPr>
        <w:tc>
          <w:tcPr>
            <w:tcW w:type="dxa" w:w="2520"/>
            <w:shd w:fill="F8F8F8" w:color="auto" w:val="clear"/>
          </w:tcPr>
          <w:p>
            <w:r>
              <w:rPr>
                <w:b w:val="false"/>
                <w:bCs w:val="false"/>
                <w:color w:val="222222"/>
                <w:sz w:val="20"/>
                <w:szCs w:val="20"/>
              </w:rPr>
              <w:t xml:space="preserve">DynaMed (EBSCO)</w:t>
            </w:r>
          </w:p>
        </w:tc>
        <w:tc>
          <w:tcPr>
            <w:tcW w:type="dxa" w:w="3240"/>
            <w:shd w:fill="F8F8F8" w:color="auto" w:val="clear"/>
          </w:tcPr>
          <w:p>
            <w:r>
              <w:rPr>
                <w:b w:val="false"/>
                <w:bCs w:val="false"/>
                <w:color w:val="222222"/>
                <w:sz w:val="20"/>
                <w:szCs w:val="20"/>
              </w:rPr>
              <w:t xml:space="preserve">Clinical reference</w:t>
            </w:r>
          </w:p>
        </w:tc>
        <w:tc>
          <w:tcPr>
            <w:tcW w:type="dxa" w:w="3600"/>
            <w:shd w:fill="F8F8F8" w:color="auto" w:val="clear"/>
          </w:tcPr>
          <w:p>
            <w:r>
              <w:rPr>
                <w:b w:val="false"/>
                <w:bCs w:val="false"/>
                <w:color w:val="222222"/>
                <w:sz w:val="20"/>
                <w:szCs w:val="20"/>
              </w:rPr>
              <w:t xml:space="preserve">Pan-condition editorial</w:t>
            </w:r>
          </w:p>
        </w:tc>
      </w:tr>
      <w:tr>
        <w:trPr>
          <w:tblHeader w:val="false"/>
        </w:trPr>
        <w:tc>
          <w:tcPr>
            <w:tcW w:type="dxa" w:w="2520"/>
            <w:shd w:fill="FFFFFF" w:color="auto" w:val="clear"/>
          </w:tcPr>
          <w:p>
            <w:r>
              <w:rPr>
                <w:b w:val="false"/>
                <w:bCs w:val="false"/>
                <w:color w:val="222222"/>
                <w:sz w:val="20"/>
                <w:szCs w:val="20"/>
              </w:rPr>
              <w:t xml:space="preserve">ClinicalKey (Elsevier)</w:t>
            </w:r>
          </w:p>
        </w:tc>
        <w:tc>
          <w:tcPr>
            <w:tcW w:type="dxa" w:w="3240"/>
            <w:shd w:fill="FFFFFF" w:color="auto" w:val="clear"/>
          </w:tcPr>
          <w:p>
            <w:r>
              <w:rPr>
                <w:b w:val="false"/>
                <w:bCs w:val="false"/>
                <w:color w:val="222222"/>
                <w:sz w:val="20"/>
                <w:szCs w:val="20"/>
              </w:rPr>
              <w:t xml:space="preserve">Reference platform</w:t>
            </w:r>
          </w:p>
        </w:tc>
        <w:tc>
          <w:tcPr>
            <w:tcW w:type="dxa" w:w="3600"/>
            <w:shd w:fill="FFFFFF" w:color="auto" w:val="clear"/>
          </w:tcPr>
          <w:p>
            <w:r>
              <w:rPr>
                <w:b w:val="false"/>
                <w:bCs w:val="false"/>
                <w:color w:val="222222"/>
                <w:sz w:val="20"/>
                <w:szCs w:val="20"/>
              </w:rPr>
              <w:t xml:space="preserve">Pan-condition editorial</w:t>
            </w:r>
          </w:p>
        </w:tc>
      </w:tr>
      <w:tr>
        <w:trPr>
          <w:tblHeader w:val="false"/>
        </w:trPr>
        <w:tc>
          <w:tcPr>
            <w:tcW w:type="dxa" w:w="2520"/>
            <w:shd w:fill="F8F8F8" w:color="auto" w:val="clear"/>
          </w:tcPr>
          <w:p>
            <w:r>
              <w:rPr>
                <w:b w:val="false"/>
                <w:bCs w:val="false"/>
                <w:color w:val="222222"/>
                <w:sz w:val="20"/>
                <w:szCs w:val="20"/>
              </w:rPr>
              <w:t xml:space="preserve">Consensus.app</w:t>
            </w:r>
          </w:p>
        </w:tc>
        <w:tc>
          <w:tcPr>
            <w:tcW w:type="dxa" w:w="3240"/>
            <w:shd w:fill="F8F8F8" w:color="auto" w:val="clear"/>
          </w:tcPr>
          <w:p>
            <w:r>
              <w:rPr>
                <w:b w:val="false"/>
                <w:bCs w:val="false"/>
                <w:color w:val="222222"/>
                <w:sz w:val="20"/>
                <w:szCs w:val="20"/>
              </w:rPr>
              <w:t xml:space="preserve">AI literature search</w:t>
            </w:r>
          </w:p>
        </w:tc>
        <w:tc>
          <w:tcPr>
            <w:tcW w:type="dxa" w:w="3600"/>
            <w:shd w:fill="F8F8F8" w:color="auto" w:val="clear"/>
          </w:tcPr>
          <w:p>
            <w:r>
              <w:rPr>
                <w:b w:val="false"/>
                <w:bCs w:val="false"/>
                <w:color w:val="222222"/>
                <w:sz w:val="20"/>
                <w:szCs w:val="20"/>
              </w:rPr>
              <w:t xml:space="preserve">Pan-domain; not substrate; not provenance-discipline-defined</w:t>
            </w:r>
          </w:p>
        </w:tc>
      </w:tr>
      <w:tr>
        <w:trPr>
          <w:tblHeader w:val="false"/>
        </w:trPr>
        <w:tc>
          <w:tcPr>
            <w:tcW w:type="dxa" w:w="2520"/>
            <w:shd w:fill="FFFFFF" w:color="auto" w:val="clear"/>
          </w:tcPr>
          <w:p>
            <w:r>
              <w:rPr>
                <w:b w:val="false"/>
                <w:bCs w:val="false"/>
                <w:color w:val="222222"/>
                <w:sz w:val="20"/>
                <w:szCs w:val="20"/>
              </w:rPr>
              <w:t xml:space="preserve">Elicit (Ought)</w:t>
            </w:r>
          </w:p>
        </w:tc>
        <w:tc>
          <w:tcPr>
            <w:tcW w:type="dxa" w:w="3240"/>
            <w:shd w:fill="FFFFFF" w:color="auto" w:val="clear"/>
          </w:tcPr>
          <w:p>
            <w:r>
              <w:rPr>
                <w:b w:val="false"/>
                <w:bCs w:val="false"/>
                <w:color w:val="222222"/>
                <w:sz w:val="20"/>
                <w:szCs w:val="20"/>
              </w:rPr>
              <w:t xml:space="preserve">AI research assistant</w:t>
            </w:r>
          </w:p>
        </w:tc>
        <w:tc>
          <w:tcPr>
            <w:tcW w:type="dxa" w:w="3600"/>
            <w:shd w:fill="FFFFFF" w:color="auto" w:val="clear"/>
          </w:tcPr>
          <w:p>
            <w:r>
              <w:rPr>
                <w:b w:val="false"/>
                <w:bCs w:val="false"/>
                <w:color w:val="222222"/>
                <w:sz w:val="20"/>
                <w:szCs w:val="20"/>
              </w:rPr>
              <w:t xml:space="preserve">General research; not biomedical-substrate; not provenance-domain-tuned</w:t>
            </w:r>
          </w:p>
        </w:tc>
      </w:tr>
      <w:tr>
        <w:trPr>
          <w:tblHeader w:val="false"/>
        </w:trPr>
        <w:tc>
          <w:tcPr>
            <w:tcW w:type="dxa" w:w="2520"/>
            <w:shd w:fill="F8F8F8" w:color="auto" w:val="clear"/>
          </w:tcPr>
          <w:p>
            <w:r>
              <w:rPr>
                <w:b w:val="false"/>
                <w:bCs w:val="false"/>
                <w:color w:val="222222"/>
                <w:sz w:val="20"/>
                <w:szCs w:val="20"/>
              </w:rPr>
              <w:t xml:space="preserve">Scite.ai</w:t>
            </w:r>
          </w:p>
        </w:tc>
        <w:tc>
          <w:tcPr>
            <w:tcW w:type="dxa" w:w="3240"/>
            <w:shd w:fill="F8F8F8" w:color="auto" w:val="clear"/>
          </w:tcPr>
          <w:p>
            <w:r>
              <w:rPr>
                <w:b w:val="false"/>
                <w:bCs w:val="false"/>
                <w:color w:val="222222"/>
                <w:sz w:val="20"/>
                <w:szCs w:val="20"/>
              </w:rPr>
              <w:t xml:space="preserve">Citation context analysis</w:t>
            </w:r>
          </w:p>
        </w:tc>
        <w:tc>
          <w:tcPr>
            <w:tcW w:type="dxa" w:w="3600"/>
            <w:shd w:fill="F8F8F8" w:color="auto" w:val="clear"/>
          </w:tcPr>
          <w:p>
            <w:r>
              <w:rPr>
                <w:b w:val="false"/>
                <w:bCs w:val="false"/>
                <w:color w:val="222222"/>
                <w:sz w:val="20"/>
                <w:szCs w:val="20"/>
              </w:rPr>
              <w:t xml:space="preserve">Citation-focused; useful complement</w:t>
            </w:r>
          </w:p>
        </w:tc>
      </w:tr>
      <w:tr>
        <w:trPr>
          <w:tblHeader w:val="false"/>
        </w:trPr>
        <w:tc>
          <w:tcPr>
            <w:tcW w:type="dxa" w:w="2520"/>
            <w:shd w:fill="FFFFFF" w:color="auto" w:val="clear"/>
          </w:tcPr>
          <w:p>
            <w:r>
              <w:rPr>
                <w:b w:val="false"/>
                <w:bCs w:val="false"/>
                <w:color w:val="222222"/>
                <w:sz w:val="20"/>
                <w:szCs w:val="20"/>
              </w:rPr>
              <w:t xml:space="preserve">PaperQA2 (FutureHouse)</w:t>
            </w:r>
          </w:p>
        </w:tc>
        <w:tc>
          <w:tcPr>
            <w:tcW w:type="dxa" w:w="3240"/>
            <w:shd w:fill="FFFFFF" w:color="auto" w:val="clear"/>
          </w:tcPr>
          <w:p>
            <w:r>
              <w:rPr>
                <w:b w:val="false"/>
                <w:bCs w:val="false"/>
                <w:color w:val="222222"/>
                <w:sz w:val="20"/>
                <w:szCs w:val="20"/>
              </w:rPr>
              <w:t xml:space="preserve">Open-source provenance-RAG</w:t>
            </w:r>
          </w:p>
        </w:tc>
        <w:tc>
          <w:tcPr>
            <w:tcW w:type="dxa" w:w="3600"/>
            <w:shd w:fill="FFFFFF" w:color="auto" w:val="clear"/>
          </w:tcPr>
          <w:p>
            <w:r>
              <w:rPr>
                <w:b w:val="false"/>
                <w:bCs w:val="false"/>
                <w:color w:val="222222"/>
                <w:sz w:val="20"/>
                <w:szCs w:val="20"/>
              </w:rPr>
              <w:t xml:space="preserve">Open-source tool, not a company — we adopt it</w:t>
            </w:r>
          </w:p>
        </w:tc>
      </w:tr>
      <w:tr>
        <w:trPr>
          <w:tblHeader w:val="false"/>
        </w:trPr>
        <w:tc>
          <w:tcPr>
            <w:tcW w:type="dxa" w:w="2520"/>
            <w:shd w:fill="F8F8F8" w:color="auto" w:val="clear"/>
          </w:tcPr>
          <w:p>
            <w:r>
              <w:rPr>
                <w:b w:val="false"/>
                <w:bCs w:val="false"/>
                <w:color w:val="222222"/>
                <w:sz w:val="20"/>
                <w:szCs w:val="20"/>
              </w:rPr>
              <w:t xml:space="preserve">Ontosight (Innoplexus)</w:t>
            </w:r>
          </w:p>
        </w:tc>
        <w:tc>
          <w:tcPr>
            <w:tcW w:type="dxa" w:w="3240"/>
            <w:shd w:fill="F8F8F8" w:color="auto" w:val="clear"/>
          </w:tcPr>
          <w:p>
            <w:r>
              <w:rPr>
                <w:b w:val="false"/>
                <w:bCs w:val="false"/>
                <w:color w:val="222222"/>
                <w:sz w:val="20"/>
                <w:szCs w:val="20"/>
              </w:rPr>
              <w:t xml:space="preserve">Pharma intelligence platform</w:t>
            </w:r>
          </w:p>
        </w:tc>
        <w:tc>
          <w:tcPr>
            <w:tcW w:type="dxa" w:w="3600"/>
            <w:shd w:fill="F8F8F8" w:color="auto" w:val="clear"/>
          </w:tcPr>
          <w:p>
            <w:r>
              <w:rPr>
                <w:b w:val="false"/>
                <w:bCs w:val="false"/>
                <w:color w:val="222222"/>
                <w:sz w:val="20"/>
                <w:szCs w:val="20"/>
              </w:rPr>
              <w:t xml:space="preserve">Enterprise-pharma sales; pan-condition</w:t>
            </w:r>
          </w:p>
        </w:tc>
      </w:tr>
      <w:tr>
        <w:trPr>
          <w:tblHeader w:val="false"/>
        </w:trPr>
        <w:tc>
          <w:tcPr>
            <w:tcW w:type="dxa" w:w="2520"/>
            <w:shd w:fill="FFFFFF" w:color="auto" w:val="clear"/>
          </w:tcPr>
          <w:p>
            <w:r>
              <w:rPr>
                <w:b w:val="false"/>
                <w:bCs w:val="false"/>
                <w:color w:val="222222"/>
                <w:sz w:val="20"/>
                <w:szCs w:val="20"/>
              </w:rPr>
              <w:t xml:space="preserve">Evidation Health</w:t>
            </w:r>
          </w:p>
        </w:tc>
        <w:tc>
          <w:tcPr>
            <w:tcW w:type="dxa" w:w="3240"/>
            <w:shd w:fill="FFFFFF" w:color="auto" w:val="clear"/>
          </w:tcPr>
          <w:p>
            <w:r>
              <w:rPr>
                <w:b w:val="false"/>
                <w:bCs w:val="false"/>
                <w:color w:val="222222"/>
                <w:sz w:val="20"/>
                <w:szCs w:val="20"/>
              </w:rPr>
              <w:t xml:space="preserve">Real-world evidence platform</w:t>
            </w:r>
          </w:p>
        </w:tc>
        <w:tc>
          <w:tcPr>
            <w:tcW w:type="dxa" w:w="3600"/>
            <w:shd w:fill="FFFFFF" w:color="auto" w:val="clear"/>
          </w:tcPr>
          <w:p>
            <w:r>
              <w:rPr>
                <w:b w:val="false"/>
                <w:bCs w:val="false"/>
                <w:color w:val="222222"/>
                <w:sz w:val="20"/>
                <w:szCs w:val="20"/>
              </w:rPr>
              <w:t xml:space="preserve">RWE not substrate; consumer-data-integration</w:t>
            </w:r>
          </w:p>
        </w:tc>
      </w:tr>
      <w:tr>
        <w:trPr>
          <w:tblHeader w:val="false"/>
        </w:trPr>
        <w:tc>
          <w:tcPr>
            <w:tcW w:type="dxa" w:w="2520"/>
            <w:shd w:fill="F8F8F8" w:color="auto" w:val="clear"/>
          </w:tcPr>
          <w:p>
            <w:r>
              <w:rPr>
                <w:b w:val="false"/>
                <w:bCs w:val="false"/>
                <w:color w:val="222222"/>
                <w:sz w:val="20"/>
                <w:szCs w:val="20"/>
              </w:rPr>
              <w:t xml:space="preserve">Aetion</w:t>
            </w:r>
          </w:p>
        </w:tc>
        <w:tc>
          <w:tcPr>
            <w:tcW w:type="dxa" w:w="3240"/>
            <w:shd w:fill="F8F8F8" w:color="auto" w:val="clear"/>
          </w:tcPr>
          <w:p>
            <w:r>
              <w:rPr>
                <w:b w:val="false"/>
                <w:bCs w:val="false"/>
                <w:color w:val="222222"/>
                <w:sz w:val="20"/>
                <w:szCs w:val="20"/>
              </w:rPr>
              <w:t xml:space="preserve">RWE clinical evidence</w:t>
            </w:r>
          </w:p>
        </w:tc>
        <w:tc>
          <w:tcPr>
            <w:tcW w:type="dxa" w:w="3600"/>
            <w:shd w:fill="F8F8F8" w:color="auto" w:val="clear"/>
          </w:tcPr>
          <w:p>
            <w:r>
              <w:rPr>
                <w:b w:val="false"/>
                <w:bCs w:val="false"/>
                <w:color w:val="222222"/>
                <w:sz w:val="20"/>
                <w:szCs w:val="20"/>
              </w:rPr>
              <w:t xml:space="preserve">Claims-data focused</w:t>
            </w:r>
          </w:p>
        </w:tc>
      </w:tr>
    </w:tbl>
    <w:p>
      <w:pPr>
        <w:pStyle w:val="Heading2"/>
      </w:pPr>
      <w:r>
        <w:t xml:space="preserve">9.4 Where Whel sits (positioning map)</w:t>
      </w:r>
    </w:p>
    <w:p>
      <w:r>
        <w:t xml:space="preserve">Two axes: vertical specificity (general/biomedical-wide → women's-health-specific) and product type (clinical decision tool → evidence substrate / research-support platform). Almost every named competitor sits in the upper-left quadrant (general + clinical tool) or lower-left (general + substrate). The upper-right (women's health + clinical tool) is occupied by care-delivery telehealth, which is not our segment. The lower-right (women's health + substrate) is the position Whel occupies. There is no incumbent.</w:t>
      </w:r>
    </w:p>
    <w:p>
      <w:pPr>
        <w:shd w:fill="F4E4EC" w:color="auto" w:val="clear"/>
        <w:spacing w:after="200" w:before="200"/>
        <w:ind w:left="360" w:right="360"/>
      </w:pPr>
      <w:r>
        <w:rPr>
          <w:b/>
          <w:bCs/>
          <w:color w:val="7A1F3D"/>
        </w:rPr>
        <w:t xml:space="preserve">POSITIONING  </w:t>
      </w:r>
      <w:r>
        <w:t xml:space="preserve">Whel is the women's-health evidence substrate. Healx and BenevolentAI are pan-disease repurposing platforms. UpToDate and DynaMed are pan-condition clinical references. Clue and Flo are consumer cycle apps. None of them are the same category we are entering.</w:t>
      </w:r>
    </w:p>
    <w:p>
      <w:pPr>
        <w:pStyle w:val="Heading2"/>
      </w:pPr>
      <w:r>
        <w:t xml:space="preserve">9.5 The "why now" the landscape implies</w:t>
      </w:r>
    </w:p>
    <w:p>
      <w:r>
        <w:t xml:space="preserve">Three landscape signals tell us the window is open. First, the pan-disease repurposing platforms (Healx, BenevolentAI) are public or near-public and under timeline pressure that makes deep verticalization a strategic mismatch for them — they will not pivot to women's health-specific in the next two years. Second, the women's health digital health companies (Clue, Flo, Maven, Tia) are care or tracking businesses; building a research substrate is outside their wheelhouse and outside their fundraising narrative. Third, the biomedical evidence platforms (UpToDate, Consensus, Elicit) are pan-domain or general clinical reference; female biology is a coverage gap each treats as one of many gaps, not as a category to own.</w:t>
      </w:r>
    </w:p>
    <w:p>
      <w:pPr>
        <w:pStyle w:val="Heading2"/>
      </w:pPr>
      <w:r>
        <w:t xml:space="preserve">9.6 The "Healx for women's health" framing — when to use and when to retire</w:t>
      </w:r>
    </w:p>
    <w:p>
      <w:r>
        <w:t xml:space="preserve">In Phase 0 and Phase 1, the framing 'Healx for women's health' is useful because it gives investors and advisors a fast reference for what we are building. It positions Whel within a known category. The framing has two costs: it implies we are derivative, and it implies the product is the AI prediction layer rather than the substrate. Retire the framing publicly by the end of Phase 2 in favor of the substrate framing — 'the female-biology evidence substrate' — which is more accurate and harder to copy.</w:t>
      </w:r>
    </w:p>
    <w:p>
      <w:pPr>
        <w:pStyle w:val="Heading2"/>
      </w:pPr>
      <w:r>
        <w:t xml:space="preserve">9.7 What a competitor would have to build to catch up</w:t>
      </w:r>
    </w:p>
    <w:p>
      <w:r>
        <w:t xml:space="preserve">A 90-day exercise: list everything a credible competitor (existing pan-disease platform pivoting in, or new entrant) would have to build to credibly compete on the substrate layer. The list informs our defensibility narrative and our roadmap priority.</w:t>
      </w:r>
    </w:p>
    <w:p>
      <w:pPr>
        <w:pStyle w:val="ListParagraph"/>
        <w:numPr>
          <w:ilvl w:val="0"/>
          <w:numId w:val="3"/>
        </w:numPr>
      </w:pPr>
      <w:r>
        <w:t xml:space="preserve">A female-specific ontology extension covering cyclical hormonal state, sub-phenotypes, hormonal contraception interaction class, sex-comparative effect modifiers. Approximately 6–9 months of expert-curator time.</w:t>
      </w:r>
    </w:p>
    <w:p>
      <w:pPr>
        <w:pStyle w:val="ListParagraph"/>
        <w:numPr>
          <w:ilvl w:val="0"/>
          <w:numId w:val="3"/>
        </w:numPr>
      </w:pPr>
      <w:r>
        <w:t xml:space="preserve">A literature-extraction pipeline tuned for sex-specificity and female-only/female-primary classification. 3–4 months of engineering + eval.</w:t>
      </w:r>
    </w:p>
    <w:p>
      <w:pPr>
        <w:pStyle w:val="ListParagraph"/>
        <w:numPr>
          <w:ilvl w:val="0"/>
          <w:numId w:val="3"/>
        </w:numPr>
      </w:pPr>
      <w:r>
        <w:t xml:space="preserve">A patient-community signal integration that does not collapse into raw scraping. 2–3 months including ethics + privacy review.</w:t>
      </w:r>
    </w:p>
    <w:p>
      <w:pPr>
        <w:pStyle w:val="ListParagraph"/>
        <w:numPr>
          <w:ilvl w:val="0"/>
          <w:numId w:val="3"/>
        </w:numPr>
      </w:pPr>
      <w:r>
        <w:t xml:space="preserve">Domain advisor relationships across reproductive endocrinology, gynecology, and women's health pharmacology. 6+ months of relationship-building.</w:t>
      </w:r>
    </w:p>
    <w:p>
      <w:pPr>
        <w:pStyle w:val="ListParagraph"/>
        <w:numPr>
          <w:ilvl w:val="0"/>
          <w:numId w:val="3"/>
        </w:numPr>
      </w:pPr>
      <w:r>
        <w:t xml:space="preserve">A substrate corpus large enough to demonstrate non-trivial contradiction surfacing. 4–6 months from a standing start.</w:t>
      </w:r>
    </w:p>
    <w:p>
      <w:pPr>
        <w:pStyle w:val="ListParagraph"/>
        <w:numPr>
          <w:ilvl w:val="0"/>
          <w:numId w:val="3"/>
        </w:numPr>
      </w:pPr>
      <w:r>
        <w:t xml:space="preserve">Trust signal from patient-advocacy organizations (IAPMD, EFA). 12+ months of relationship work.</w:t>
      </w:r>
    </w:p>
    <w:p>
      <w:r>
        <w:t xml:space="preserve">Cumulative head start required: 15–24 months from a credible competitor's first day of focused work. The compounding factor is that as Whel adds conditions and the ontology extension grows, the catch-up clock resets — every additional condition we cover is two-to-three months of work a competitor has to repeat.</w:t>
      </w:r>
    </w:p>
    <w:p>
      <w:pPr>
        <w:pStyle w:val="Heading1"/>
        <w:pageBreakBefore/>
      </w:pPr>
      <w:r>
        <w:t xml:space="preserve">10. Phased Roadmap</w:t>
      </w:r>
    </w:p>
    <w:p>
      <w:pPr>
        <w:spacing w:after="200"/>
      </w:pPr>
      <w:r>
        <w:rPr>
          <w:i/>
          <w:iCs/>
          <w:color w:val="555555"/>
          <w:sz w:val="22"/>
          <w:szCs w:val="22"/>
        </w:rPr>
        <w:t xml:space="preserve">Phase 0 through Phase 5. Each phase has an explicit exit criterion that gates the next.</w:t>
      </w:r>
    </w:p>
    <w:p>
      <w:pPr>
        <w:pStyle w:val="Heading2"/>
      </w:pPr>
      <w: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080"/>
        <w:gridCol w:w="3600"/>
        <w:gridCol w:w="3420"/>
      </w:tblGrid>
      <w:tr>
        <w:trPr>
          <w:tblHeader/>
        </w:trPr>
        <w:tc>
          <w:tcPr>
            <w:tcW w:type="dxa" w:w="1260"/>
            <w:shd w:fill="7A1F3D" w:color="auto" w:val="clear"/>
          </w:tcPr>
          <w:p>
            <w:r>
              <w:rPr>
                <w:b/>
                <w:bCs/>
                <w:color w:val="FFFFFF"/>
                <w:sz w:val="20"/>
                <w:szCs w:val="20"/>
              </w:rPr>
              <w:t xml:space="preserve">Phase</w:t>
            </w:r>
          </w:p>
        </w:tc>
        <w:tc>
          <w:tcPr>
            <w:tcW w:type="dxa" w:w="1080"/>
            <w:shd w:fill="7A1F3D" w:color="auto" w:val="clear"/>
          </w:tcPr>
          <w:p>
            <w:r>
              <w:rPr>
                <w:b/>
                <w:bCs/>
                <w:color w:val="FFFFFF"/>
                <w:sz w:val="20"/>
                <w:szCs w:val="20"/>
              </w:rPr>
              <w:t xml:space="preserve">Duration</w:t>
            </w:r>
          </w:p>
        </w:tc>
        <w:tc>
          <w:tcPr>
            <w:tcW w:type="dxa" w:w="3600"/>
            <w:shd w:fill="7A1F3D" w:color="auto" w:val="clear"/>
          </w:tcPr>
          <w:p>
            <w:r>
              <w:rPr>
                <w:b/>
                <w:bCs/>
                <w:color w:val="FFFFFF"/>
                <w:sz w:val="20"/>
                <w:szCs w:val="20"/>
              </w:rPr>
              <w:t xml:space="preserve">Outcome</w:t>
            </w:r>
          </w:p>
        </w:tc>
        <w:tc>
          <w:tcPr>
            <w:tcW w:type="dxa" w:w="3420"/>
            <w:shd w:fill="7A1F3D" w:color="auto" w:val="clear"/>
          </w:tcPr>
          <w:p>
            <w:r>
              <w:rPr>
                <w:b/>
                <w:bCs/>
                <w:color w:val="FFFFFF"/>
                <w:sz w:val="20"/>
                <w:szCs w:val="20"/>
              </w:rPr>
              <w:t xml:space="preserve">Gate to next</w:t>
            </w:r>
          </w:p>
        </w:tc>
      </w:tr>
      <w:tr>
        <w:trPr>
          <w:tblHeader w:val="false"/>
        </w:trPr>
        <w:tc>
          <w:tcPr>
            <w:tcW w:type="dxa" w:w="1260"/>
            <w:shd w:fill="F8F8F8" w:color="auto" w:val="clear"/>
          </w:tcPr>
          <w:p>
            <w:r>
              <w:rPr>
                <w:b w:val="false"/>
                <w:bCs w:val="false"/>
                <w:color w:val="222222"/>
                <w:sz w:val="20"/>
                <w:szCs w:val="20"/>
              </w:rPr>
              <w:t xml:space="preserve">0 — Reframe &amp; Setup</w:t>
            </w:r>
          </w:p>
        </w:tc>
        <w:tc>
          <w:tcPr>
            <w:tcW w:type="dxa" w:w="1080"/>
            <w:shd w:fill="F8F8F8" w:color="auto" w:val="clear"/>
          </w:tcPr>
          <w:p>
            <w:r>
              <w:rPr>
                <w:b w:val="false"/>
                <w:bCs w:val="false"/>
                <w:color w:val="222222"/>
                <w:sz w:val="20"/>
                <w:szCs w:val="20"/>
              </w:rPr>
              <w:t xml:space="preserve">Weeks 1–4</w:t>
            </w:r>
          </w:p>
        </w:tc>
        <w:tc>
          <w:tcPr>
            <w:tcW w:type="dxa" w:w="3600"/>
            <w:shd w:fill="F8F8F8" w:color="auto" w:val="clear"/>
          </w:tcPr>
          <w:p>
            <w:r>
              <w:rPr>
                <w:b w:val="false"/>
                <w:bCs w:val="false"/>
                <w:color w:val="222222"/>
                <w:sz w:val="20"/>
                <w:szCs w:val="20"/>
              </w:rPr>
              <w:t xml:space="preserve">Corporate vehicle, locked pitch, legacy archived, fresh repo scaffolded</w:t>
            </w:r>
          </w:p>
        </w:tc>
        <w:tc>
          <w:tcPr>
            <w:tcW w:type="dxa" w:w="3420"/>
            <w:shd w:fill="F8F8F8" w:color="auto" w:val="clear"/>
          </w:tcPr>
          <w:p>
            <w:r>
              <w:rPr>
                <w:b w:val="false"/>
                <w:bCs w:val="false"/>
                <w:color w:val="222222"/>
                <w:sz w:val="20"/>
                <w:szCs w:val="20"/>
              </w:rPr>
              <w:t xml:space="preserve">83(b) filed; CIIAA signed; repo CI green</w:t>
            </w:r>
          </w:p>
        </w:tc>
      </w:tr>
      <w:tr>
        <w:trPr>
          <w:tblHeader w:val="false"/>
        </w:trPr>
        <w:tc>
          <w:tcPr>
            <w:tcW w:type="dxa" w:w="1260"/>
            <w:shd w:fill="FFFFFF" w:color="auto" w:val="clear"/>
          </w:tcPr>
          <w:p>
            <w:r>
              <w:rPr>
                <w:b w:val="false"/>
                <w:bCs w:val="false"/>
                <w:color w:val="222222"/>
                <w:sz w:val="20"/>
                <w:szCs w:val="20"/>
              </w:rPr>
              <w:t xml:space="preserve">1 — Substrate v1</w:t>
            </w:r>
          </w:p>
        </w:tc>
        <w:tc>
          <w:tcPr>
            <w:tcW w:type="dxa" w:w="1080"/>
            <w:shd w:fill="FFFFFF" w:color="auto" w:val="clear"/>
          </w:tcPr>
          <w:p>
            <w:r>
              <w:rPr>
                <w:b w:val="false"/>
                <w:bCs w:val="false"/>
                <w:color w:val="222222"/>
                <w:sz w:val="20"/>
                <w:szCs w:val="20"/>
              </w:rPr>
              <w:t xml:space="preserve">Weeks 5–14</w:t>
            </w:r>
          </w:p>
        </w:tc>
        <w:tc>
          <w:tcPr>
            <w:tcW w:type="dxa" w:w="3600"/>
            <w:shd w:fill="FFFFFF" w:color="auto" w:val="clear"/>
          </w:tcPr>
          <w:p>
            <w:r>
              <w:rPr>
                <w:b w:val="false"/>
                <w:bCs w:val="false"/>
                <w:color w:val="222222"/>
                <w:sz w:val="20"/>
                <w:szCs w:val="20"/>
              </w:rPr>
              <w:t xml:space="preserve">PMDD substrate live; condition page rendering; eval baseline</w:t>
            </w:r>
          </w:p>
        </w:tc>
        <w:tc>
          <w:tcPr>
            <w:tcW w:type="dxa" w:w="3420"/>
            <w:shd w:fill="FFFFFF" w:color="auto" w:val="clear"/>
          </w:tcPr>
          <w:p>
            <w:r>
              <w:rPr>
                <w:b w:val="false"/>
                <w:bCs w:val="false"/>
                <w:color w:val="222222"/>
                <w:sz w:val="20"/>
                <w:szCs w:val="20"/>
              </w:rPr>
              <w:t xml:space="preserve">≥10 audited PMDD claims through full pipeline with provenance</w:t>
            </w:r>
          </w:p>
        </w:tc>
      </w:tr>
      <w:tr>
        <w:trPr>
          <w:tblHeader w:val="false"/>
        </w:trPr>
        <w:tc>
          <w:tcPr>
            <w:tcW w:type="dxa" w:w="1260"/>
            <w:shd w:fill="F8F8F8" w:color="auto" w:val="clear"/>
          </w:tcPr>
          <w:p>
            <w:r>
              <w:rPr>
                <w:b w:val="false"/>
                <w:bCs w:val="false"/>
                <w:color w:val="222222"/>
                <w:sz w:val="20"/>
                <w:szCs w:val="20"/>
              </w:rPr>
              <w:t xml:space="preserve">2 — Flagship &amp; Partnerships</w:t>
            </w:r>
          </w:p>
        </w:tc>
        <w:tc>
          <w:tcPr>
            <w:tcW w:type="dxa" w:w="1080"/>
            <w:shd w:fill="F8F8F8" w:color="auto" w:val="clear"/>
          </w:tcPr>
          <w:p>
            <w:r>
              <w:rPr>
                <w:b w:val="false"/>
                <w:bCs w:val="false"/>
                <w:color w:val="222222"/>
                <w:sz w:val="20"/>
                <w:szCs w:val="20"/>
              </w:rPr>
              <w:t xml:space="preserve">Weeks 15–26</w:t>
            </w:r>
          </w:p>
        </w:tc>
        <w:tc>
          <w:tcPr>
            <w:tcW w:type="dxa" w:w="3600"/>
            <w:shd w:fill="F8F8F8" w:color="auto" w:val="clear"/>
          </w:tcPr>
          <w:p>
            <w:r>
              <w:rPr>
                <w:b w:val="false"/>
                <w:bCs w:val="false"/>
                <w:color w:val="222222"/>
                <w:sz w:val="20"/>
                <w:szCs w:val="20"/>
              </w:rPr>
              <w:t xml:space="preserve">PMDD live publicly; first clinician-research pilot; Clue conversation initiated</w:t>
            </w:r>
          </w:p>
        </w:tc>
        <w:tc>
          <w:tcPr>
            <w:tcW w:type="dxa" w:w="3420"/>
            <w:shd w:fill="F8F8F8" w:color="auto" w:val="clear"/>
          </w:tcPr>
          <w:p>
            <w:r>
              <w:rPr>
                <w:b w:val="false"/>
                <w:bCs w:val="false"/>
                <w:color w:val="222222"/>
                <w:sz w:val="20"/>
                <w:szCs w:val="20"/>
              </w:rPr>
              <w:t xml:space="preserve">≥3 paying / institutional pilot users; first grant submitted</w:t>
            </w:r>
          </w:p>
        </w:tc>
      </w:tr>
      <w:tr>
        <w:trPr>
          <w:tblHeader w:val="false"/>
        </w:trPr>
        <w:tc>
          <w:tcPr>
            <w:tcW w:type="dxa" w:w="1260"/>
            <w:shd w:fill="FFFFFF" w:color="auto" w:val="clear"/>
          </w:tcPr>
          <w:p>
            <w:r>
              <w:rPr>
                <w:b w:val="false"/>
                <w:bCs w:val="false"/>
                <w:color w:val="222222"/>
                <w:sz w:val="20"/>
                <w:szCs w:val="20"/>
              </w:rPr>
              <w:t xml:space="preserve">3 — Vertical Expansion</w:t>
            </w:r>
          </w:p>
        </w:tc>
        <w:tc>
          <w:tcPr>
            <w:tcW w:type="dxa" w:w="1080"/>
            <w:shd w:fill="FFFFFF" w:color="auto" w:val="clear"/>
          </w:tcPr>
          <w:p>
            <w:r>
              <w:rPr>
                <w:b w:val="false"/>
                <w:bCs w:val="false"/>
                <w:color w:val="222222"/>
                <w:sz w:val="20"/>
                <w:szCs w:val="20"/>
              </w:rPr>
              <w:t xml:space="preserve">Months 7–12</w:t>
            </w:r>
          </w:p>
        </w:tc>
        <w:tc>
          <w:tcPr>
            <w:tcW w:type="dxa" w:w="3600"/>
            <w:shd w:fill="FFFFFF" w:color="auto" w:val="clear"/>
          </w:tcPr>
          <w:p>
            <w:r>
              <w:rPr>
                <w:b w:val="false"/>
                <w:bCs w:val="false"/>
                <w:color w:val="222222"/>
                <w:sz w:val="20"/>
                <w:szCs w:val="20"/>
              </w:rPr>
              <w:t xml:space="preserve">Endometriosis + adenomyosis live; advisory board formed</w:t>
            </w:r>
          </w:p>
        </w:tc>
        <w:tc>
          <w:tcPr>
            <w:tcW w:type="dxa" w:w="3420"/>
            <w:shd w:fill="FFFFFF" w:color="auto" w:val="clear"/>
          </w:tcPr>
          <w:p>
            <w:r>
              <w:rPr>
                <w:b w:val="false"/>
                <w:bCs w:val="false"/>
                <w:color w:val="222222"/>
                <w:sz w:val="20"/>
                <w:szCs w:val="20"/>
              </w:rPr>
              <w:t xml:space="preserve">≥2 formal advisors; grant funded or near-funded; SBIR R41 submitted</w:t>
            </w:r>
          </w:p>
        </w:tc>
      </w:tr>
      <w:tr>
        <w:trPr>
          <w:tblHeader w:val="false"/>
        </w:trPr>
        <w:tc>
          <w:tcPr>
            <w:tcW w:type="dxa" w:w="1260"/>
            <w:shd w:fill="F8F8F8" w:color="auto" w:val="clear"/>
          </w:tcPr>
          <w:p>
            <w:r>
              <w:rPr>
                <w:b w:val="false"/>
                <w:bCs w:val="false"/>
                <w:color w:val="222222"/>
                <w:sz w:val="20"/>
                <w:szCs w:val="20"/>
              </w:rPr>
              <w:t xml:space="preserve">4 — Platform Maturity</w:t>
            </w:r>
          </w:p>
        </w:tc>
        <w:tc>
          <w:tcPr>
            <w:tcW w:type="dxa" w:w="1080"/>
            <w:shd w:fill="F8F8F8" w:color="auto" w:val="clear"/>
          </w:tcPr>
          <w:p>
            <w:r>
              <w:rPr>
                <w:b w:val="false"/>
                <w:bCs w:val="false"/>
                <w:color w:val="222222"/>
                <w:sz w:val="20"/>
                <w:szCs w:val="20"/>
              </w:rPr>
              <w:t xml:space="preserve">Year 2</w:t>
            </w:r>
          </w:p>
        </w:tc>
        <w:tc>
          <w:tcPr>
            <w:tcW w:type="dxa" w:w="3600"/>
            <w:shd w:fill="F8F8F8" w:color="auto" w:val="clear"/>
          </w:tcPr>
          <w:p>
            <w:r>
              <w:rPr>
                <w:b w:val="false"/>
                <w:bCs w:val="false"/>
                <w:color w:val="222222"/>
                <w:sz w:val="20"/>
                <w:szCs w:val="20"/>
              </w:rPr>
              <w:t xml:space="preserve">Six conditions live; substrate ≥50K claims; API access; SOC2 readiness</w:t>
            </w:r>
          </w:p>
        </w:tc>
        <w:tc>
          <w:tcPr>
            <w:tcW w:type="dxa" w:w="3420"/>
            <w:shd w:fill="F8F8F8" w:color="auto" w:val="clear"/>
          </w:tcPr>
          <w:p>
            <w:r>
              <w:rPr>
                <w:b w:val="false"/>
                <w:bCs w:val="false"/>
                <w:color w:val="222222"/>
                <w:sz w:val="20"/>
                <w:szCs w:val="20"/>
              </w:rPr>
              <w:t xml:space="preserve">Seed round closed or grant-funded runway ≥18 months</w:t>
            </w:r>
          </w:p>
        </w:tc>
      </w:tr>
      <w:tr>
        <w:trPr>
          <w:tblHeader w:val="false"/>
        </w:trPr>
        <w:tc>
          <w:tcPr>
            <w:tcW w:type="dxa" w:w="1260"/>
            <w:shd w:fill="FFFFFF" w:color="auto" w:val="clear"/>
          </w:tcPr>
          <w:p>
            <w:r>
              <w:rPr>
                <w:b w:val="false"/>
                <w:bCs w:val="false"/>
                <w:color w:val="222222"/>
                <w:sz w:val="20"/>
                <w:szCs w:val="20"/>
              </w:rPr>
              <w:t xml:space="preserve">5 — Category Leadership</w:t>
            </w:r>
          </w:p>
        </w:tc>
        <w:tc>
          <w:tcPr>
            <w:tcW w:type="dxa" w:w="1080"/>
            <w:shd w:fill="FFFFFF" w:color="auto" w:val="clear"/>
          </w:tcPr>
          <w:p>
            <w:r>
              <w:rPr>
                <w:b w:val="false"/>
                <w:bCs w:val="false"/>
                <w:color w:val="222222"/>
                <w:sz w:val="20"/>
                <w:szCs w:val="20"/>
              </w:rPr>
              <w:t xml:space="preserve">Year 3+</w:t>
            </w:r>
          </w:p>
        </w:tc>
        <w:tc>
          <w:tcPr>
            <w:tcW w:type="dxa" w:w="3600"/>
            <w:shd w:fill="FFFFFF" w:color="auto" w:val="clear"/>
          </w:tcPr>
          <w:p>
            <w:r>
              <w:rPr>
                <w:b w:val="false"/>
                <w:bCs w:val="false"/>
                <w:color w:val="222222"/>
                <w:sz w:val="20"/>
                <w:szCs w:val="20"/>
              </w:rPr>
              <w:t xml:space="preserve">Pharma partnerships; international expansion; 505(b)(2) co-development</w:t>
            </w:r>
          </w:p>
        </w:tc>
        <w:tc>
          <w:tcPr>
            <w:tcW w:type="dxa" w:w="3420"/>
            <w:shd w:fill="FFFFFF" w:color="auto" w:val="clear"/>
          </w:tcPr>
          <w:p>
            <w:r>
              <w:rPr>
                <w:b w:val="false"/>
                <w:bCs w:val="false"/>
                <w:color w:val="222222"/>
                <w:sz w:val="20"/>
                <w:szCs w:val="20"/>
              </w:rPr>
              <w:t xml:space="preserve">Series A; named in Nature Medicine or similar</w:t>
            </w:r>
          </w:p>
        </w:tc>
      </w:tr>
    </w:tbl>
    <w:p>
      <w:pPr>
        <w:pStyle w:val="Heading2"/>
      </w:pPr>
      <w:r>
        <w:t xml:space="preserve">10.2 Phase 0 — Reframe &amp; Setup (Weeks 1–4)</w:t>
      </w:r>
    </w:p>
    <w:p>
      <w:pPr>
        <w:pStyle w:val="Heading3"/>
      </w:pPr>
      <w:r>
        <w:t xml:space="preserve">Goal</w:t>
      </w:r>
    </w:p>
    <w:p>
      <w:r>
        <w:t xml:space="preserve">Convert the personal project into a company vehicle with locked positioning, ready for the technical rebuild to begin in Week 5.</w:t>
      </w:r>
    </w:p>
    <w:p>
      <w:pPr>
        <w:pStyle w:val="Heading3"/>
      </w:pPr>
      <w:r>
        <w:t xml:space="preserve">Week 1 deliverables</w:t>
      </w:r>
    </w:p>
    <w:p>
      <w:pPr>
        <w:pStyle w:val="ListParagraph"/>
        <w:numPr>
          <w:ilvl w:val="0"/>
          <w:numId w:val="2"/>
        </w:numPr>
      </w:pPr>
      <w:r>
        <w:t xml:space="preserve">Stripe Atlas application submitted; Delaware C-Corp formed.</w:t>
      </w:r>
    </w:p>
    <w:p>
      <w:pPr>
        <w:pStyle w:val="ListParagraph"/>
        <w:numPr>
          <w:ilvl w:val="0"/>
          <w:numId w:val="2"/>
        </w:numPr>
      </w:pPr>
      <w:r>
        <w:t xml:space="preserve">CIIAA founder IP assignment signed.</w:t>
      </w:r>
    </w:p>
    <w:p>
      <w:pPr>
        <w:pStyle w:val="ListParagraph"/>
        <w:numPr>
          <w:ilvl w:val="0"/>
          <w:numId w:val="2"/>
        </w:numPr>
      </w:pPr>
      <w:r>
        <w:t xml:space="preserve">Stock issued; 83(b) election prepared (mail-by Day 30 absolute).</w:t>
      </w:r>
    </w:p>
    <w:p>
      <w:pPr>
        <w:pStyle w:val="ListParagraph"/>
        <w:numPr>
          <w:ilvl w:val="0"/>
          <w:numId w:val="2"/>
        </w:numPr>
      </w:pPr>
      <w:r>
        <w:t xml:space="preserve">Locked pitch (§2 of this document) copied into a one-page company README.</w:t>
      </w:r>
    </w:p>
    <w:p>
      <w:pPr>
        <w:pStyle w:val="ListParagraph"/>
        <w:numPr>
          <w:ilvl w:val="0"/>
          <w:numId w:val="2"/>
        </w:numPr>
      </w:pPr>
      <w:r>
        <w:t xml:space="preserve">Legacy repo renamed to "whel-legacy"; database writes locked.</w:t>
      </w:r>
    </w:p>
    <w:p>
      <w:pPr>
        <w:pStyle w:val="ListParagraph"/>
        <w:numPr>
          <w:ilvl w:val="0"/>
          <w:numId w:val="2"/>
        </w:numPr>
      </w:pPr>
      <w:r>
        <w:t xml:space="preserve">Fresh "whel" repo created with monorepo skeleton.</w:t>
      </w:r>
    </w:p>
    <w:p>
      <w:pPr>
        <w:pStyle w:val="Heading3"/>
      </w:pPr>
      <w:r>
        <w:t xml:space="preserve">Week 2 deliverables</w:t>
      </w:r>
    </w:p>
    <w:p>
      <w:pPr>
        <w:pStyle w:val="ListParagraph"/>
        <w:numPr>
          <w:ilvl w:val="0"/>
          <w:numId w:val="2"/>
        </w:numPr>
      </w:pPr>
      <w:r>
        <w:t xml:space="preserve">EIN received from IRS (auto via Atlas).</w:t>
      </w:r>
    </w:p>
    <w:p>
      <w:pPr>
        <w:pStyle w:val="ListParagraph"/>
        <w:numPr>
          <w:ilvl w:val="0"/>
          <w:numId w:val="2"/>
        </w:numPr>
      </w:pPr>
      <w:r>
        <w:t xml:space="preserve">Mercury or Brex business banking account opened.</w:t>
      </w:r>
    </w:p>
    <w:p>
      <w:pPr>
        <w:pStyle w:val="ListParagraph"/>
        <w:numPr>
          <w:ilvl w:val="0"/>
          <w:numId w:val="2"/>
        </w:numPr>
      </w:pPr>
      <w:r>
        <w:t xml:space="preserve">Domain ownership transferred to Whel, Inc.</w:t>
      </w:r>
    </w:p>
    <w:p>
      <w:pPr>
        <w:pStyle w:val="ListParagraph"/>
        <w:numPr>
          <w:ilvl w:val="0"/>
          <w:numId w:val="2"/>
        </w:numPr>
      </w:pPr>
      <w:r>
        <w:t xml:space="preserve">CI/CD pipeline green on the new repo (lint + typecheck + test on every PR).</w:t>
      </w:r>
    </w:p>
    <w:p>
      <w:pPr>
        <w:pStyle w:val="ListParagraph"/>
        <w:numPr>
          <w:ilvl w:val="0"/>
          <w:numId w:val="2"/>
        </w:numPr>
      </w:pPr>
      <w:r>
        <w:t xml:space="preserve">Supabase whel_v2 schema migrations: entities, source_spans, claims tables.</w:t>
      </w:r>
    </w:p>
    <w:p>
      <w:pPr>
        <w:pStyle w:val="ListParagraph"/>
        <w:numPr>
          <w:ilvl w:val="0"/>
          <w:numId w:val="2"/>
        </w:numPr>
      </w:pPr>
      <w:r>
        <w:t xml:space="preserve">Relational substrate schema (entities, source_spans, claims, relations, syntheses, contradictions) live in plain Postgres; representative traversals validated as recursive CTEs. (No Apache AGE — see §5.6.)</w:t>
      </w:r>
    </w:p>
    <w:p>
      <w:pPr>
        <w:pStyle w:val="ListParagraph"/>
        <w:numPr>
          <w:ilvl w:val="0"/>
          <w:numId w:val="2"/>
        </w:numPr>
      </w:pPr>
      <w:r>
        <w:t xml:space="preserve">pgvector enabled in the same Supabase instance for embedding storage and similarity search.</w:t>
      </w:r>
    </w:p>
    <w:p>
      <w:pPr>
        <w:pStyle w:val="Heading3"/>
      </w:pPr>
      <w:r>
        <w:t xml:space="preserve">Week 3 deliverables</w:t>
      </w:r>
    </w:p>
    <w:p>
      <w:pPr>
        <w:pStyle w:val="ListParagraph"/>
        <w:numPr>
          <w:ilvl w:val="0"/>
          <w:numId w:val="2"/>
        </w:numPr>
      </w:pPr>
      <w:r>
        <w:t xml:space="preserve">Legacy 271 signals + 2,166 sources ported into v2 claims table as seed.</w:t>
      </w:r>
    </w:p>
    <w:p>
      <w:pPr>
        <w:pStyle w:val="ListParagraph"/>
        <w:numPr>
          <w:ilvl w:val="0"/>
          <w:numId w:val="2"/>
        </w:numPr>
      </w:pPr>
      <w:r>
        <w:t xml:space="preserve">First PaperQA2 extraction wrapper written; pulls one PubMed abstract and returns chunked text with offsets.</w:t>
      </w:r>
    </w:p>
    <w:p>
      <w:pPr>
        <w:pStyle w:val="ListParagraph"/>
        <w:numPr>
          <w:ilvl w:val="0"/>
          <w:numId w:val="2"/>
        </w:numPr>
      </w:pPr>
      <w:r>
        <w:t xml:space="preserve">Brand guidelines documented (Section 3 of this blueprint copied into a brand.md).</w:t>
      </w:r>
    </w:p>
    <w:p>
      <w:pPr>
        <w:pStyle w:val="ListParagraph"/>
        <w:numPr>
          <w:ilvl w:val="0"/>
          <w:numId w:val="2"/>
        </w:numPr>
      </w:pPr>
      <w:r>
        <w:t xml:space="preserve">Public-facing site placed in "company under construction" maintenance state.</w:t>
      </w:r>
    </w:p>
    <w:p>
      <w:pPr>
        <w:pStyle w:val="Heading3"/>
      </w:pPr>
      <w:r>
        <w:t xml:space="preserve">Week 4 deliverables</w:t>
      </w:r>
    </w:p>
    <w:p>
      <w:pPr>
        <w:pStyle w:val="ListParagraph"/>
        <w:numPr>
          <w:ilvl w:val="0"/>
          <w:numId w:val="2"/>
        </w:numPr>
      </w:pPr>
      <w:r>
        <w:t xml:space="preserve">OntoGPT ontology grounding running on one extracted abstract; produces MONDO/HPO mappings.</w:t>
      </w:r>
    </w:p>
    <w:p>
      <w:pPr>
        <w:pStyle w:val="ListParagraph"/>
        <w:numPr>
          <w:ilvl w:val="0"/>
          <w:numId w:val="2"/>
        </w:numPr>
      </w:pPr>
      <w:r>
        <w:t xml:space="preserve">MedCPT embeddings computing on chunks; basic /search endpoint returns ranked spans.</w:t>
      </w:r>
    </w:p>
    <w:p>
      <w:pPr>
        <w:pStyle w:val="ListParagraph"/>
        <w:numPr>
          <w:ilvl w:val="0"/>
          <w:numId w:val="2"/>
        </w:numPr>
      </w:pPr>
      <w:r>
        <w:t xml:space="preserve">First informal expert-review conversation scheduled (target: a women's health clinician or repro endo researcher you already know or are one warm intro away from).</w:t>
      </w:r>
    </w:p>
    <w:p>
      <w:pPr>
        <w:pStyle w:val="ListParagraph"/>
        <w:numPr>
          <w:ilvl w:val="0"/>
          <w:numId w:val="2"/>
        </w:numPr>
      </w:pPr>
      <w:r>
        <w:t xml:space="preserve">83(b) election verified received by IRS (return receipt in hand).</w:t>
      </w:r>
    </w:p>
    <w:p>
      <w:pPr>
        <w:pStyle w:val="Heading3"/>
      </w:pPr>
      <w:r>
        <w:t xml:space="preserve">Exit criterion to Phase 1</w:t>
      </w:r>
    </w:p>
    <w:p>
      <w:r>
        <w:t xml:space="preserve">Corporate vehicle complete, repo scaffolded with CI green, legacy archived, one end-to-end extraction (PubMed → chunk → MedCPT embed → OntoGPT grounding → MedScore decomposition → claim row in substrate) demonstrated. 83(b) election filed and confirmed received.</w:t>
      </w:r>
    </w:p>
    <w:p>
      <w:pPr>
        <w:pStyle w:val="Heading2"/>
      </w:pPr>
      <w:r>
        <w:t xml:space="preserve">10.3 Phase 1 — Substrate v1 (Weeks 5–14)</w:t>
      </w:r>
    </w:p>
    <w:p>
      <w:pPr>
        <w:pStyle w:val="Heading3"/>
      </w:pPr>
      <w:r>
        <w:t xml:space="preserve">Goal</w:t>
      </w:r>
    </w:p>
    <w:p>
      <w:r>
        <w:t xml:space="preserve">A working PMDD substrate. End-to-end pipeline from PubMed ingestion to rendered condition page with per-claim provenance, ontology grounding, contradiction surfacing, and synthesis-with-marking.</w:t>
      </w:r>
    </w:p>
    <w:p>
      <w:r>
        <w:t xml:space="preserve">SCOPE RE-CUT (June 2026): The original 10-week plan is a 2–3 engineer plan, not a solo non-technical-founder plan, and the risk register already rates “solo founder hits capacity wall” High/High. Phase 1 is therefore re-cut to protect one modest exit criterion (≥10 audited PMDD claims through the full pipeline with provenance) and plan 16–20 weeks, not 10. Cuts, in order: (1) drop the admin curation app entirely — the founder is the admin and SQL is the curation interface for the first year; (2) drop mechanism pages and the public ontology browser from Phase 1; (3) move the HHEM-2.1 guardrail out of Phase 1 and into Phase 2 — it is a second-stage filter on a synthesis layer that barely exists at Week 8, so keep PubMedBERT-NLI verification in Phase 1 and add HHEM later; (4) scope OntoGPT grounding to PMDD vocabulary only, not four full ontologies. Everything not on the critical path to the exit criterion is deleted, not deferred-in-place.</w:t>
      </w:r>
    </w:p>
    <w:p>
      <w:pPr>
        <w:pStyle w:val="Heading3"/>
      </w:pPr>
      <w:r>
        <w:t xml:space="preserve">Workstream A — Extraction pipeline</w:t>
      </w:r>
    </w:p>
    <w:p>
      <w:pPr>
        <w:pStyle w:val="ListParagraph"/>
        <w:numPr>
          <w:ilvl w:val="0"/>
          <w:numId w:val="2"/>
        </w:numPr>
      </w:pPr>
      <w:r>
        <w:t xml:space="preserve">Week 5: PaperQA2 wrapper handles full-text PMC papers; MedScore atomic decomposition integrated.</w:t>
      </w:r>
    </w:p>
    <w:p>
      <w:pPr>
        <w:pStyle w:val="ListParagraph"/>
        <w:numPr>
          <w:ilvl w:val="0"/>
          <w:numId w:val="2"/>
        </w:numPr>
      </w:pPr>
      <w:r>
        <w:t xml:space="preserve">Week 6: OntoGPT grounding against MONDO + HPO + ChEMBL + RxNorm; PubMedBERT-NLI claim-source entailment scoring.</w:t>
      </w:r>
    </w:p>
    <w:p>
      <w:pPr>
        <w:pStyle w:val="ListParagraph"/>
        <w:numPr>
          <w:ilvl w:val="0"/>
          <w:numId w:val="2"/>
        </w:numPr>
      </w:pPr>
      <w:r>
        <w:t xml:space="preserve">Week 7: Female-specificity Stage 1 (rule-based) and Stage 3 (LLM triage) filters working end-to-end.</w:t>
      </w:r>
    </w:p>
    <w:p>
      <w:pPr>
        <w:pStyle w:val="ListParagraph"/>
        <w:numPr>
          <w:ilvl w:val="0"/>
          <w:numId w:val="2"/>
        </w:numPr>
      </w:pPr>
      <w:r>
        <w:t xml:space="preserve">Week 8: Stage 2 embedding-based filter tuned against canonical PMDD reference papers; eval suite (MedHELM baseline + MedRAGChecker) running.</w:t>
      </w:r>
    </w:p>
    <w:p>
      <w:pPr>
        <w:pStyle w:val="Heading3"/>
      </w:pPr>
      <w:r>
        <w:t xml:space="preserve">Workstream B — Substrate graph</w:t>
      </w:r>
    </w:p>
    <w:p>
      <w:pPr>
        <w:pStyle w:val="ListParagraph"/>
        <w:numPr>
          <w:ilvl w:val="0"/>
          <w:numId w:val="2"/>
        </w:numPr>
      </w:pPr>
      <w:r>
        <w:t xml:space="preserve">Week 5: PrimeKG + CTKG seed import; entity disambiguation against ontology IDs.</w:t>
      </w:r>
    </w:p>
    <w:p>
      <w:pPr>
        <w:pStyle w:val="ListParagraph"/>
        <w:numPr>
          <w:ilvl w:val="0"/>
          <w:numId w:val="2"/>
        </w:numPr>
      </w:pPr>
      <w:r>
        <w:t xml:space="preserve">Week 6: First female-specific ontology extension entities added (luteal/follicular phase, PMDD sub-phenotypes).</w:t>
      </w:r>
    </w:p>
    <w:p>
      <w:pPr>
        <w:pStyle w:val="ListParagraph"/>
        <w:numPr>
          <w:ilvl w:val="0"/>
          <w:numId w:val="2"/>
        </w:numPr>
      </w:pPr>
      <w:r>
        <w:t xml:space="preserve">Week 7: Contradiction detection via PubMedBERT-NLI + ContraCrow patterns; contradictions table populated.</w:t>
      </w:r>
    </w:p>
    <w:p>
      <w:pPr>
        <w:pStyle w:val="ListParagraph"/>
        <w:numPr>
          <w:ilvl w:val="0"/>
          <w:numId w:val="2"/>
        </w:numPr>
      </w:pPr>
      <w:r>
        <w:t xml:space="preserve">Week 8: Syntheses table populated with explicit aggregation rules; HHEM-2.1 second-stage filter wired.</w:t>
      </w:r>
    </w:p>
    <w:p>
      <w:pPr>
        <w:pStyle w:val="Heading3"/>
      </w:pPr>
      <w:r>
        <w:t xml:space="preserve">Workstream C — Application</w:t>
      </w:r>
    </w:p>
    <w:p>
      <w:pPr>
        <w:pStyle w:val="ListParagraph"/>
        <w:numPr>
          <w:ilvl w:val="0"/>
          <w:numId w:val="2"/>
        </w:numPr>
      </w:pPr>
      <w:r>
        <w:t xml:space="preserve">Week 9: Next.js app shell; condition page template; PMDD page renders with seeded data.</w:t>
      </w:r>
    </w:p>
    <w:p>
      <w:pPr>
        <w:pStyle w:val="ListParagraph"/>
        <w:numPr>
          <w:ilvl w:val="0"/>
          <w:numId w:val="2"/>
        </w:numPr>
      </w:pPr>
      <w:r>
        <w:t xml:space="preserve">Week 10: Anthropic Citations API integrated; every claim on PMDD page links to source span.</w:t>
      </w:r>
    </w:p>
    <w:p>
      <w:pPr>
        <w:pStyle w:val="ListParagraph"/>
        <w:numPr>
          <w:ilvl w:val="0"/>
          <w:numId w:val="2"/>
        </w:numPr>
      </w:pPr>
      <w:r>
        <w:t xml:space="preserve">Week 11: Contradiction surfacing UI; drug pages for top 20 PMDD-relevant drugs.</w:t>
      </w:r>
    </w:p>
    <w:p>
      <w:pPr>
        <w:pStyle w:val="ListParagraph"/>
        <w:numPr>
          <w:ilvl w:val="0"/>
          <w:numId w:val="2"/>
        </w:numPr>
      </w:pPr>
      <w:r>
        <w:t xml:space="preserve">Week 12: Mechanism pages; ontology browse; admin curation interface skeleton.</w:t>
      </w:r>
    </w:p>
    <w:p>
      <w:pPr>
        <w:pStyle w:val="ListParagraph"/>
        <w:numPr>
          <w:ilvl w:val="0"/>
          <w:numId w:val="2"/>
        </w:numPr>
      </w:pPr>
      <w:r>
        <w:t xml:space="preserve">Week 13: Observability (OpenTelemetry + Logfire); cost dashboards; eval gate on CI.</w:t>
      </w:r>
    </w:p>
    <w:p>
      <w:pPr>
        <w:pStyle w:val="ListParagraph"/>
        <w:numPr>
          <w:ilvl w:val="0"/>
          <w:numId w:val="2"/>
        </w:numPr>
      </w:pPr>
      <w:r>
        <w:t xml:space="preserve">Week 14: End-to-end polish; production deploy behind invite-only auth.</w:t>
      </w:r>
    </w:p>
    <w:p>
      <w:pPr>
        <w:pStyle w:val="Heading3"/>
      </w:pPr>
      <w:r>
        <w:t xml:space="preserve">Exit criterion to Phase 2</w:t>
      </w:r>
    </w:p>
    <w:p>
      <w:r>
        <w:t xml:space="preserve">≥10 audited PMDD claims have passed through the full pipeline (PubMed → extraction → grounding → NLI verification → graph insertion → synthesis with citation → rendered page with contradictions surfaced). Eval suite shows non-regression vs Week 8 baseline. First informal expert-review conversation completed with written notes captured.</w:t>
      </w:r>
    </w:p>
    <w:p>
      <w:pPr>
        <w:pStyle w:val="Heading2"/>
      </w:pPr>
      <w:r>
        <w:t xml:space="preserve">10.4 Phase 2 — Flagship &amp; Partnerships (Weeks 15–26)</w:t>
      </w:r>
    </w:p>
    <w:p>
      <w:pPr>
        <w:pStyle w:val="Heading3"/>
      </w:pPr>
      <w:r>
        <w:t xml:space="preserve">Goal</w:t>
      </w:r>
    </w:p>
    <w:p>
      <w:r>
        <w:t xml:space="preserve">PMDD live publicly. First paying or institutional pilot users. Clue partnership conversation initiated. First non-dilutive funding application submitted.</w:t>
      </w:r>
    </w:p>
    <w:p>
      <w:pPr>
        <w:pStyle w:val="Heading3"/>
      </w:pPr>
      <w:r>
        <w:t xml:space="preserve">Public launch sequence</w:t>
      </w:r>
    </w:p>
    <w:p>
      <w:pPr>
        <w:pStyle w:val="ListParagraph"/>
        <w:numPr>
          <w:ilvl w:val="0"/>
          <w:numId w:val="2"/>
        </w:numPr>
      </w:pPr>
      <w:r>
        <w:t xml:space="preserve">Week 15–16: Soft launch to invite-only clinician-researcher list (target 30 invites, 10 active).</w:t>
      </w:r>
    </w:p>
    <w:p>
      <w:pPr>
        <w:pStyle w:val="ListParagraph"/>
        <w:numPr>
          <w:ilvl w:val="0"/>
          <w:numId w:val="2"/>
        </w:numPr>
      </w:pPr>
      <w:r>
        <w:t xml:space="preserve">Week 17: Public homepage launch with locked pitch language; "request access" gate.</w:t>
      </w:r>
    </w:p>
    <w:p>
      <w:pPr>
        <w:pStyle w:val="ListParagraph"/>
        <w:numPr>
          <w:ilvl w:val="0"/>
          <w:numId w:val="2"/>
        </w:numPr>
      </w:pPr>
      <w:r>
        <w:t xml:space="preserve">Week 18: First inbound press / community attention; IAPMD outreach for endorsement or coverage.</w:t>
      </w:r>
    </w:p>
    <w:p>
      <w:pPr>
        <w:pStyle w:val="ListParagraph"/>
        <w:numPr>
          <w:ilvl w:val="0"/>
          <w:numId w:val="2"/>
        </w:numPr>
      </w:pPr>
      <w:r>
        <w:t xml:space="preserve">Week 20: Public PMDD condition page open without login; gating moved to advanced features.</w:t>
      </w:r>
    </w:p>
    <w:p>
      <w:pPr>
        <w:pStyle w:val="Heading3"/>
      </w:pPr>
      <w:r>
        <w:t xml:space="preserve">Partnership and grant track</w:t>
      </w:r>
    </w:p>
    <w:p>
      <w:pPr>
        <w:pStyle w:val="ListParagraph"/>
        <w:numPr>
          <w:ilvl w:val="0"/>
          <w:numId w:val="2"/>
        </w:numPr>
      </w:pPr>
      <w:r>
        <w:t xml:space="preserve">Week 15: Initial outreach to Clue (BioWink GmbH) science team — cohort-statistics partnership pitch.</w:t>
      </w:r>
    </w:p>
    <w:p>
      <w:pPr>
        <w:pStyle w:val="ListParagraph"/>
        <w:numPr>
          <w:ilvl w:val="0"/>
          <w:numId w:val="2"/>
        </w:numPr>
      </w:pPr>
      <w:r>
        <w:t xml:space="preserve">Week 17: NIH SBIR R41 pre-proposal outline complete.</w:t>
      </w:r>
    </w:p>
    <w:p>
      <w:pPr>
        <w:pStyle w:val="ListParagraph"/>
        <w:numPr>
          <w:ilvl w:val="0"/>
          <w:numId w:val="2"/>
        </w:numPr>
      </w:pPr>
      <w:r>
        <w:t xml:space="preserve">Week 19: ARPA-H Sprint for Women's Health inquiry submitted.</w:t>
      </w:r>
    </w:p>
    <w:p>
      <w:pPr>
        <w:pStyle w:val="ListParagraph"/>
        <w:numPr>
          <w:ilvl w:val="0"/>
          <w:numId w:val="2"/>
        </w:numPr>
      </w:pPr>
      <w:r>
        <w:t xml:space="preserve">Week 21: First informal advisor relationships (target: 2 informal, 1 trending toward formal).</w:t>
      </w:r>
    </w:p>
    <w:p>
      <w:pPr>
        <w:pStyle w:val="ListParagraph"/>
        <w:numPr>
          <w:ilvl w:val="0"/>
          <w:numId w:val="2"/>
        </w:numPr>
      </w:pPr>
      <w:r>
        <w:t xml:space="preserve">Week 23: SBIR R41 full submission for the September window.</w:t>
      </w:r>
    </w:p>
    <w:p>
      <w:pPr>
        <w:pStyle w:val="ListParagraph"/>
        <w:numPr>
          <w:ilvl w:val="0"/>
          <w:numId w:val="2"/>
        </w:numPr>
      </w:pPr>
      <w:r>
        <w:t xml:space="preserve">Week 25: Foundation grant first submission (Helmsley, Komen, or EFA depending on PMDD overlap).</w:t>
      </w:r>
    </w:p>
    <w:p>
      <w:pPr>
        <w:pStyle w:val="Heading3"/>
      </w:pPr>
      <w:r>
        <w:t xml:space="preserve">Product depth</w:t>
      </w:r>
    </w:p>
    <w:p>
      <w:pPr>
        <w:pStyle w:val="ListParagraph"/>
        <w:numPr>
          <w:ilvl w:val="0"/>
          <w:numId w:val="2"/>
        </w:numPr>
      </w:pPr>
      <w:r>
        <w:t xml:space="preserve">Week 16: Drug pages for the full top-50 PMDD-relevant drugs.</w:t>
      </w:r>
    </w:p>
    <w:p>
      <w:pPr>
        <w:pStyle w:val="ListParagraph"/>
        <w:numPr>
          <w:ilvl w:val="0"/>
          <w:numId w:val="2"/>
        </w:numPr>
      </w:pPr>
      <w:r>
        <w:t xml:space="preserve">Week 18: Mechanism pages for the top 10 PMDD-relevant mechanisms.</w:t>
      </w:r>
    </w:p>
    <w:p>
      <w:pPr>
        <w:pStyle w:val="ListParagraph"/>
        <w:numPr>
          <w:ilvl w:val="0"/>
          <w:numId w:val="2"/>
        </w:numPr>
      </w:pPr>
      <w:r>
        <w:t xml:space="preserve">Week 20: Ontology browser exposed publicly.</w:t>
      </w:r>
    </w:p>
    <w:p>
      <w:pPr>
        <w:pStyle w:val="ListParagraph"/>
        <w:numPr>
          <w:ilvl w:val="0"/>
          <w:numId w:val="2"/>
        </w:numPr>
      </w:pPr>
      <w:r>
        <w:t xml:space="preserve">Week 22: Saved-search and alerting for clinician-researcher accounts.</w:t>
      </w:r>
    </w:p>
    <w:p>
      <w:pPr>
        <w:pStyle w:val="ListParagraph"/>
        <w:numPr>
          <w:ilvl w:val="0"/>
          <w:numId w:val="2"/>
        </w:numPr>
      </w:pPr>
      <w:r>
        <w:t xml:space="preserve">Week 24: First-pass API access for institutional partners.</w:t>
      </w:r>
    </w:p>
    <w:p>
      <w:pPr>
        <w:pStyle w:val="Heading3"/>
      </w:pPr>
      <w:r>
        <w:t xml:space="preserve">Exit criterion to Phase 3</w:t>
      </w:r>
    </w:p>
    <w:p>
      <w:r>
        <w:t xml:space="preserve">REVISED gate (June 2026): ≥3 institutional pilots with signed letters of support usable in the SBIR / ARPA-H applications (a clinician-research group, an advocacy organization, or a small pharma research team). The original gate (“≥3 paying or institutional pilot users”) contradicted §10.7’s “no revenue paths in Phases 1–2” and assumed grant-cycle clinician-researchers carry discretionary tooling budget, which they do not. Letters of support are achievable in 26 weeks, are something the founder controls, and are worth more to the actual funding path than $500/month of pilot revenue. First grant submission complete. Two informal advisors with notes captured and explicit ask to move toward FAST advisor agreements.</w:t>
      </w:r>
    </w:p>
    <w:p>
      <w:pPr>
        <w:pStyle w:val="Heading2"/>
      </w:pPr>
      <w:r>
        <w:t xml:space="preserve">10.5 Phase 3 — Vertical Expansion (Months 7–12)</w:t>
      </w:r>
    </w:p>
    <w:p>
      <w:pPr>
        <w:pStyle w:val="Heading3"/>
      </w:pPr>
      <w:r>
        <w:t xml:space="preserve">Goal</w:t>
      </w:r>
    </w:p>
    <w:p>
      <w:r>
        <w:t xml:space="preserve">Endometriosis and adenomyosis live. Advisory board formed. Substrate compounding visible.</w:t>
      </w:r>
    </w:p>
    <w:p>
      <w:pPr>
        <w:pStyle w:val="Heading3"/>
      </w:pPr>
      <w:r>
        <w:t xml:space="preserve">Condition expansion</w:t>
      </w:r>
    </w:p>
    <w:p>
      <w:pPr>
        <w:pStyle w:val="ListParagraph"/>
        <w:numPr>
          <w:ilvl w:val="0"/>
          <w:numId w:val="2"/>
        </w:numPr>
      </w:pPr>
      <w:r>
        <w:t xml:space="preserve">Month 7: Endometriosis Stage 1–3 filters tuned; corpus ingestion begins.</w:t>
      </w:r>
    </w:p>
    <w:p>
      <w:pPr>
        <w:pStyle w:val="ListParagraph"/>
        <w:numPr>
          <w:ilvl w:val="0"/>
          <w:numId w:val="2"/>
        </w:numPr>
      </w:pPr>
      <w:r>
        <w:t xml:space="preserve">Month 8: Endometriosis condition page live with full provenance.</w:t>
      </w:r>
    </w:p>
    <w:p>
      <w:pPr>
        <w:pStyle w:val="ListParagraph"/>
        <w:numPr>
          <w:ilvl w:val="0"/>
          <w:numId w:val="2"/>
        </w:numPr>
      </w:pPr>
      <w:r>
        <w:t xml:space="preserve">Month 9: Adenomyosis condition page live (deliberately tackled together with endo for ontology overlap).</w:t>
      </w:r>
    </w:p>
    <w:p>
      <w:pPr>
        <w:pStyle w:val="ListParagraph"/>
        <w:numPr>
          <w:ilvl w:val="0"/>
          <w:numId w:val="2"/>
        </w:numPr>
      </w:pPr>
      <w:r>
        <w:t xml:space="preserve">Month 10: Cross-condition view — drug pages now show female-only/female-primary signal across PMDD + endo + adeno where relevant.</w:t>
      </w:r>
    </w:p>
    <w:p>
      <w:pPr>
        <w:pStyle w:val="ListParagraph"/>
        <w:numPr>
          <w:ilvl w:val="0"/>
          <w:numId w:val="2"/>
        </w:numPr>
      </w:pPr>
      <w:r>
        <w:t xml:space="preserve">Month 11: Begin perimenopausal depression substrate build.</w:t>
      </w:r>
    </w:p>
    <w:p>
      <w:pPr>
        <w:pStyle w:val="ListParagraph"/>
        <w:numPr>
          <w:ilvl w:val="0"/>
          <w:numId w:val="2"/>
        </w:numPr>
      </w:pPr>
      <w:r>
        <w:t xml:space="preserve">Month 12: Begin PCOS substrate build.</w:t>
      </w:r>
    </w:p>
    <w:p>
      <w:pPr>
        <w:pStyle w:val="Heading3"/>
      </w:pPr>
      <w:r>
        <w:t xml:space="preserve">Advisory and credibility</w:t>
      </w:r>
    </w:p>
    <w:p>
      <w:pPr>
        <w:pStyle w:val="ListParagraph"/>
        <w:numPr>
          <w:ilvl w:val="0"/>
          <w:numId w:val="2"/>
        </w:numPr>
      </w:pPr>
      <w:r>
        <w:t xml:space="preserve">Month 7: First FAST advisor agreement signed (target: a reproductive endocrinology or women's health pharmacology PhD/MD).</w:t>
      </w:r>
    </w:p>
    <w:p>
      <w:pPr>
        <w:pStyle w:val="ListParagraph"/>
        <w:numPr>
          <w:ilvl w:val="0"/>
          <w:numId w:val="2"/>
        </w:numPr>
      </w:pPr>
      <w:r>
        <w:t xml:space="preserve">Month 9: Second FAST advisor (target: an industry advisor familiar with 505(b)(2) pathway in women's health).</w:t>
      </w:r>
    </w:p>
    <w:p>
      <w:pPr>
        <w:pStyle w:val="ListParagraph"/>
        <w:numPr>
          <w:ilvl w:val="0"/>
          <w:numId w:val="2"/>
        </w:numPr>
      </w:pPr>
      <w:r>
        <w:t xml:space="preserve">Month 11: Formal advisory board convened (3–4 advisors); first quarterly board meeting.</w:t>
      </w:r>
    </w:p>
    <w:p>
      <w:pPr>
        <w:pStyle w:val="ListParagraph"/>
        <w:numPr>
          <w:ilvl w:val="0"/>
          <w:numId w:val="2"/>
        </w:numPr>
      </w:pPr>
      <w:r>
        <w:t xml:space="preserve">Month 12: First peer-reviewed publication or conference abstract describing the substrate (target: AMIA, MedInfo, or Nature Medicine-adjacent venue).</w:t>
      </w:r>
    </w:p>
    <w:p>
      <w:pPr>
        <w:pStyle w:val="Heading3"/>
      </w:pPr>
      <w:r>
        <w:t xml:space="preserve">Funding track</w:t>
      </w:r>
    </w:p>
    <w:p>
      <w:pPr>
        <w:pStyle w:val="ListParagraph"/>
        <w:numPr>
          <w:ilvl w:val="0"/>
          <w:numId w:val="2"/>
        </w:numPr>
      </w:pPr>
      <w:r>
        <w:t xml:space="preserve">Month 7: SBIR R41 decision expected; if funded, R42 planning begins.</w:t>
      </w:r>
    </w:p>
    <w:p>
      <w:pPr>
        <w:pStyle w:val="ListParagraph"/>
        <w:numPr>
          <w:ilvl w:val="0"/>
          <w:numId w:val="2"/>
        </w:numPr>
      </w:pPr>
      <w:r>
        <w:t xml:space="preserve">Month 9: ARPA-H Sprint full proposal if invited.</w:t>
      </w:r>
    </w:p>
    <w:p>
      <w:pPr>
        <w:pStyle w:val="ListParagraph"/>
        <w:numPr>
          <w:ilvl w:val="0"/>
          <w:numId w:val="2"/>
        </w:numPr>
      </w:pPr>
      <w:r>
        <w:t xml:space="preserve">Month 11: First seed-round conversations with women-health-aligned funds (Avestria, Maverick Ventures, RH Capital, Female Founders Fund, .406 Ventures).</w:t>
      </w:r>
    </w:p>
    <w:p>
      <w:pPr>
        <w:pStyle w:val="ListParagraph"/>
        <w:numPr>
          <w:ilvl w:val="0"/>
          <w:numId w:val="2"/>
        </w:numPr>
      </w:pPr>
      <w:r>
        <w:t xml:space="preserve">Month 12: Seed-round materials complete (pitch deck v2, financial model, technical due-diligence packet).</w:t>
      </w:r>
    </w:p>
    <w:p>
      <w:pPr>
        <w:pStyle w:val="Heading3"/>
      </w:pPr>
      <w:r>
        <w:t xml:space="preserve">Exit criterion to Phase 4</w:t>
      </w:r>
    </w:p>
    <w:p>
      <w:r>
        <w:t xml:space="preserve">≥2 formal advisors. Grant funded or near-funded with runway extension visible. SBIR R41 submitted (likely decisioned). At least three conditions live. Substrate ≥10,000 claims.</w:t>
      </w:r>
    </w:p>
    <w:p>
      <w:pPr>
        <w:pStyle w:val="Heading2"/>
      </w:pPr>
      <w:r>
        <w:t xml:space="preserve">10.6 Phase 4 — Platform Maturity (Year 2)</w:t>
      </w:r>
    </w:p>
    <w:p>
      <w:pPr>
        <w:pStyle w:val="Heading3"/>
      </w:pPr>
      <w:r>
        <w:t xml:space="preserve">Goal</w:t>
      </w:r>
    </w:p>
    <w:p>
      <w:r>
        <w:t xml:space="preserve">All six v0 conditions live. Substrate at scale (≥50K claims). API access tier launched. SOC 2 readiness in motion. Seed round closed or grant-funded through Phase 5.</w:t>
      </w:r>
    </w:p>
    <w:p>
      <w:pPr>
        <w:pStyle w:val="Heading3"/>
      </w:pPr>
      <w:r>
        <w:t xml:space="preserve">Major deliverables</w:t>
      </w:r>
    </w:p>
    <w:p>
      <w:pPr>
        <w:pStyle w:val="ListParagraph"/>
        <w:numPr>
          <w:ilvl w:val="0"/>
          <w:numId w:val="2"/>
        </w:numPr>
      </w:pPr>
      <w:r>
        <w:t xml:space="preserve">Q3 Y2: Perimenopausal depression + PCOS + vulvodynia conditions live.</w:t>
      </w:r>
    </w:p>
    <w:p>
      <w:pPr>
        <w:pStyle w:val="ListParagraph"/>
        <w:numPr>
          <w:ilvl w:val="0"/>
          <w:numId w:val="2"/>
        </w:numPr>
      </w:pPr>
      <w:r>
        <w:t xml:space="preserve">Q3 Y2: Public API with tiered access (free academic, paid commercial).</w:t>
      </w:r>
    </w:p>
    <w:p>
      <w:pPr>
        <w:pStyle w:val="ListParagraph"/>
        <w:numPr>
          <w:ilvl w:val="0"/>
          <w:numId w:val="2"/>
        </w:numPr>
      </w:pPr>
      <w:r>
        <w:t xml:space="preserve">Q4 Y2: SOC 2 Type I attestation (Vanta or Drata, ~6 months).</w:t>
      </w:r>
    </w:p>
    <w:p>
      <w:pPr>
        <w:pStyle w:val="ListParagraph"/>
        <w:numPr>
          <w:ilvl w:val="0"/>
          <w:numId w:val="2"/>
        </w:numPr>
      </w:pPr>
      <w:r>
        <w:t xml:space="preserve">Q4 Y2: First pharma research-services pilot (substrate-as-a-service for an internal pharma women's health team).</w:t>
      </w:r>
    </w:p>
    <w:p>
      <w:pPr>
        <w:pStyle w:val="ListParagraph"/>
        <w:numPr>
          <w:ilvl w:val="0"/>
          <w:numId w:val="2"/>
        </w:numPr>
      </w:pPr>
      <w:r>
        <w:t xml:space="preserve">Throughout: Quarterly substrate snapshots published as a research-community resource (FAIR-compliant data release).</w:t>
      </w:r>
    </w:p>
    <w:p>
      <w:pPr>
        <w:pStyle w:val="Heading3"/>
      </w:pPr>
      <w:r>
        <w:t xml:space="preserve">Team</w:t>
      </w:r>
    </w:p>
    <w:p>
      <w:pPr>
        <w:pStyle w:val="ListParagraph"/>
        <w:numPr>
          <w:ilvl w:val="0"/>
          <w:numId w:val="2"/>
        </w:numPr>
      </w:pPr>
      <w:r>
        <w:t xml:space="preserve">First engineering hire (target: senior backend / data engineer with biomedical experience). Month 14.</w:t>
      </w:r>
    </w:p>
    <w:p>
      <w:pPr>
        <w:pStyle w:val="ListParagraph"/>
        <w:numPr>
          <w:ilvl w:val="0"/>
          <w:numId w:val="2"/>
        </w:numPr>
      </w:pPr>
      <w:r>
        <w:t xml:space="preserve">First domain hire (target: PhD biomedical curator or scientific writer). Month 16.</w:t>
      </w:r>
    </w:p>
    <w:p>
      <w:pPr>
        <w:pStyle w:val="ListParagraph"/>
        <w:numPr>
          <w:ilvl w:val="0"/>
          <w:numId w:val="2"/>
        </w:numPr>
      </w:pPr>
      <w:r>
        <w:t xml:space="preserve">Operations + grants management (fractional / part-time first). Month 18.</w:t>
      </w:r>
    </w:p>
    <w:p>
      <w:pPr>
        <w:pStyle w:val="ListParagraph"/>
        <w:numPr>
          <w:ilvl w:val="0"/>
          <w:numId w:val="2"/>
        </w:numPr>
      </w:pPr>
      <w:r>
        <w:t xml:space="preserve">Second engineering hire (target: ML/NLP engineer). Month 22.</w:t>
      </w:r>
    </w:p>
    <w:p>
      <w:pPr>
        <w:pStyle w:val="Heading3"/>
      </w:pPr>
      <w:r>
        <w:t xml:space="preserve">Exit criterion to Phase 5</w:t>
      </w:r>
    </w:p>
    <w:p>
      <w:r>
        <w:t xml:space="preserve">Substrate ≥50K claims across six conditions. Active enterprise pilot. Seed round closed or non-dilutive runway ≥18 months. SOC 2 Type I in hand.</w:t>
      </w:r>
    </w:p>
    <w:p>
      <w:pPr>
        <w:pStyle w:val="Heading2"/>
      </w:pPr>
      <w:r>
        <w:t xml:space="preserve">10.7 Phase 5 — Category Leadership (Year 3+)</w:t>
      </w:r>
    </w:p>
    <w:p>
      <w:pPr>
        <w:pStyle w:val="Heading3"/>
      </w:pPr>
      <w:r>
        <w:t xml:space="preserve">Goal</w:t>
      </w:r>
    </w:p>
    <w:p>
      <w:r>
        <w:t xml:space="preserve">Whel is the trusted female-biology evidence substrate referenced by researchers, clinicians, advocacy organizations, regulatory submissions, and pharma R&amp;D groups working in women's health. First 505(b)(2) co-development conversation visible. Series A on the horizon.</w:t>
      </w:r>
    </w:p>
    <w:p>
      <w:pPr>
        <w:pStyle w:val="Heading3"/>
      </w:pPr>
      <w:r>
        <w:t xml:space="preserve">Strategic moves</w:t>
      </w:r>
    </w:p>
    <w:p>
      <w:pPr>
        <w:pStyle w:val="ListParagraph"/>
        <w:numPr>
          <w:ilvl w:val="0"/>
          <w:numId w:val="2"/>
        </w:numPr>
      </w:pPr>
      <w:r>
        <w:t xml:space="preserve">Q1 Y3: International expansion (UK MHRA + EU EMA-aligned evidence augmentation).</w:t>
      </w:r>
    </w:p>
    <w:p>
      <w:pPr>
        <w:pStyle w:val="ListParagraph"/>
        <w:numPr>
          <w:ilvl w:val="0"/>
          <w:numId w:val="2"/>
        </w:numPr>
      </w:pPr>
      <w:r>
        <w:t xml:space="preserve">Q2 Y3: First 505(b)(2) co-development partnership where Whel provides the evidence substrate, partner provides the trial sponsor.</w:t>
      </w:r>
    </w:p>
    <w:p>
      <w:pPr>
        <w:pStyle w:val="ListParagraph"/>
        <w:numPr>
          <w:ilvl w:val="0"/>
          <w:numId w:val="2"/>
        </w:numPr>
      </w:pPr>
      <w:r>
        <w:t xml:space="preserve">Q3 Y3: SOC 2 Type II; HIPAA-compatible enterprise tier if needed.</w:t>
      </w:r>
    </w:p>
    <w:p>
      <w:pPr>
        <w:pStyle w:val="ListParagraph"/>
        <w:numPr>
          <w:ilvl w:val="0"/>
          <w:numId w:val="2"/>
        </w:numPr>
      </w:pPr>
      <w:r>
        <w:t xml:space="preserve">Q4 Y3: Series A close or strategic partnership equivalent.</w:t>
      </w:r>
    </w:p>
    <w:p>
      <w:pPr>
        <w:pStyle w:val="ListParagraph"/>
        <w:numPr>
          <w:ilvl w:val="0"/>
          <w:numId w:val="2"/>
        </w:numPr>
      </w:pPr>
      <w:r>
        <w:t xml:space="preserve">Year 4+: International data partnerships; substrate covers 15+ conditions; substrate is cited in regulatory filings.</w:t>
      </w:r>
    </w:p>
    <w:p>
      <w:pPr>
        <w:pStyle w:val="Heading3"/>
      </w:pPr>
      <w:r>
        <w:t xml:space="preserve">Long-term thesis (so we can pressure-test it)</w:t>
      </w:r>
    </w:p>
    <w:p>
      <w:r>
        <w:t xml:space="preserve">If Whel works, the substrate becomes the default reference for any company, researcher, or regulator asking 'what do we know about this drug in female patients with this condition?' The business model can be any combination of: paid API access for pharma R&amp;D, paid institutional access for academic medical centers, paid enterprise tier for pharma women's health teams, and selective co-development partnerships where Whel takes equity or royalty in repurposing programs that originate from the substrate. None of these are pursued in Phase 1 or 2; all become available once the substrate is the trusted reference.</w:t>
      </w:r>
    </w:p>
    <w:p>
      <w:pPr>
        <w:pStyle w:val="Heading1"/>
        <w:pageBreakBefore/>
      </w:pPr>
      <w:r>
        <w:t xml:space="preserve">11. Risk Register</w:t>
      </w:r>
    </w:p>
    <w:p>
      <w:pPr>
        <w:spacing w:after="200"/>
      </w:pPr>
      <w:r>
        <w:rPr>
          <w:i/>
          <w:iCs/>
          <w:color w:val="555555"/>
          <w:sz w:val="22"/>
          <w:szCs w:val="22"/>
        </w:rPr>
        <w:t xml:space="preserve">Honest catalog of what can kill Whel and how each risk is de-risked. Reviewed quarterly. Updated when the underlying assumption changes.</w:t>
      </w:r>
    </w:p>
    <w:p>
      <w:pPr>
        <w:pStyle w:val="Heading2"/>
      </w:pPr>
      <w:r>
        <w:t xml:space="preserve">11.1 Strategic and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Pan-disease platform pivots to women's health and out-resources us</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Build substrate fast; deepen ontology; lock in partnerships (Clue, IAPMD); the cumulative head-start is the defense.</w:t>
            </w:r>
          </w:p>
        </w:tc>
      </w:tr>
      <w:tr>
        <w:trPr>
          <w:tblHeader w:val="false"/>
        </w:trPr>
        <w:tc>
          <w:tcPr>
            <w:tcW w:type="dxa" w:w="3000"/>
            <w:shd w:fill="FFFFFF" w:color="auto" w:val="clear"/>
          </w:tcPr>
          <w:p>
            <w:r>
              <w:rPr>
                <w:b w:val="false"/>
                <w:bCs w:val="false"/>
                <w:color w:val="222222"/>
                <w:sz w:val="20"/>
                <w:szCs w:val="20"/>
              </w:rPr>
              <w:t xml:space="preserve">Women's health digital health company (Flo, Clue, Maven) builds substrate in-house</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Approach Clue early in Phase 2 as partner, not target; their core competence is consumer, not substrate.</w:t>
            </w:r>
          </w:p>
        </w:tc>
      </w:tr>
      <w:tr>
        <w:trPr>
          <w:tblHeader w:val="false"/>
        </w:trPr>
        <w:tc>
          <w:tcPr>
            <w:tcW w:type="dxa" w:w="3000"/>
            <w:shd w:fill="F8F8F8" w:color="auto" w:val="clear"/>
          </w:tcPr>
          <w:p>
            <w:r>
              <w:rPr>
                <w:b w:val="false"/>
                <w:bCs w:val="false"/>
                <w:color w:val="222222"/>
                <w:sz w:val="20"/>
                <w:szCs w:val="20"/>
              </w:rPr>
              <w:t xml:space="preserve">PMDD's nosological status changes and DSM/ICD redefines the condition</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Substrate handles this naturally — the ontology extension absorbs definitional change without invalidating prior claims.</w:t>
            </w:r>
          </w:p>
        </w:tc>
      </w:tr>
      <w:tr>
        <w:trPr>
          <w:tblHeader w:val="false"/>
        </w:trPr>
        <w:tc>
          <w:tcPr>
            <w:tcW w:type="dxa" w:w="3000"/>
            <w:shd w:fill="FFFFFF" w:color="auto" w:val="clear"/>
          </w:tcPr>
          <w:p>
            <w:r>
              <w:rPr>
                <w:b w:val="false"/>
                <w:bCs w:val="false"/>
                <w:color w:val="222222"/>
                <w:sz w:val="20"/>
                <w:szCs w:val="20"/>
              </w:rPr>
              <w:t xml:space="preserve">Patient-community signal source (Reddit) loses API access or changes terms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Low–Medium</w:t>
            </w:r>
          </w:p>
        </w:tc>
        <w:tc>
          <w:tcPr>
            <w:tcW w:type="dxa" w:w="3480"/>
            <w:shd w:fill="FFFFFF" w:color="auto" w:val="clear"/>
          </w:tcPr>
          <w:p>
            <w:r>
              <w:rPr>
                <w:b w:val="false"/>
                <w:bCs w:val="false"/>
                <w:color w:val="222222"/>
                <w:sz w:val="20"/>
                <w:szCs w:val="20"/>
              </w:rPr>
              <w:t xml:space="preserve">Hypothesis-generation layer is one input among many; substrate quality does not depend on community signal as primary evidence.</w:t>
            </w:r>
          </w:p>
        </w:tc>
      </w:tr>
      <w:tr>
        <w:trPr>
          <w:tblHeader w:val="false"/>
        </w:trPr>
        <w:tc>
          <w:tcPr>
            <w:tcW w:type="dxa" w:w="3000"/>
            <w:shd w:fill="F8F8F8" w:color="auto" w:val="clear"/>
          </w:tcPr>
          <w:p>
            <w:r>
              <w:rPr>
                <w:b w:val="false"/>
                <w:bCs w:val="false"/>
                <w:color w:val="222222"/>
                <w:sz w:val="20"/>
                <w:szCs w:val="20"/>
              </w:rPr>
              <w:t xml:space="preserve">Cycle-tracking app partnership fails to materialize</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Two viable partners (Clue, Flo) plus academic cohort alternatives; not a single point of failure.</w:t>
            </w:r>
          </w:p>
        </w:tc>
      </w:tr>
      <w:tr>
        <w:trPr>
          <w:tblHeader w:val="false"/>
        </w:trPr>
        <w:tc>
          <w:tcPr>
            <w:tcW w:type="dxa" w:w="3000"/>
            <w:shd w:fill="FFFFFF" w:color="auto" w:val="clear"/>
          </w:tcPr>
          <w:p>
            <w:r>
              <w:rPr>
                <w:b w:val="false"/>
                <w:bCs w:val="false"/>
                <w:color w:val="222222"/>
                <w:sz w:val="20"/>
                <w:szCs w:val="20"/>
              </w:rPr>
              <w:t xml:space="preserve">Women's health funding window closes (politically driven)</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Diversify funding: SBIR, foundation, ARPA-H, and selective VC. Substrate value is independent of funding source.</w:t>
            </w:r>
          </w:p>
        </w:tc>
      </w:tr>
      <w:tr>
        <w:trPr>
          <w:tblHeader w:val="false"/>
        </w:trPr>
        <w:tc>
          <w:tcPr>
            <w:tcW w:type="dxa" w:w="3000"/>
            <w:shd w:fill="F8F8F8" w:color="auto" w:val="clear"/>
          </w:tcPr>
          <w:p>
            <w:r>
              <w:rPr>
                <w:b w:val="false"/>
                <w:bCs w:val="false"/>
                <w:color w:val="222222"/>
                <w:sz w:val="20"/>
                <w:szCs w:val="20"/>
              </w:rPr>
              <w:t xml:space="preserve">Pharma timeline (3–5 years to a deal that exits) misaligned with VC expectations</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Structure as a tools-and-evidence company with multiple revenue paths, not as a co-development bet. Be honest about timeline with VCs from Day 1.</w:t>
            </w:r>
          </w:p>
        </w:tc>
      </w:tr>
    </w:tbl>
    <w:p>
      <w:pPr>
        <w:pStyle w:val="Heading2"/>
      </w:pPr>
      <w:r>
        <w:t xml:space="preserve">11.2 Technical and execution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Extraction pipeline fails to scale beyond one curator's review capacity</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NLI verification + HHEM guardrail + per-claim audit log = scalable trust without manual review of every claim.</w:t>
            </w:r>
          </w:p>
        </w:tc>
      </w:tr>
      <w:tr>
        <w:trPr>
          <w:tblHeader w:val="false"/>
        </w:trPr>
        <w:tc>
          <w:tcPr>
            <w:tcW w:type="dxa" w:w="3000"/>
            <w:shd w:fill="FFFFFF" w:color="auto" w:val="clear"/>
          </w:tcPr>
          <w:p>
            <w:r>
              <w:rPr>
                <w:b w:val="false"/>
                <w:bCs w:val="false"/>
                <w:color w:val="222222"/>
                <w:sz w:val="20"/>
                <w:szCs w:val="20"/>
              </w:rPr>
              <w:t xml:space="preserve">Substrate quality regresses with model version updates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Versioned model outputs + eval suite gate on CI + ability to re-run extraction against pinned model versions.</w:t>
            </w:r>
          </w:p>
        </w:tc>
      </w:tr>
      <w:tr>
        <w:trPr>
          <w:tblHeader w:val="false"/>
        </w:trPr>
        <w:tc>
          <w:tcPr>
            <w:tcW w:type="dxa" w:w="3000"/>
            <w:shd w:fill="F8F8F8" w:color="auto" w:val="clear"/>
          </w:tcPr>
          <w:p>
            <w:r>
              <w:rPr>
                <w:b w:val="false"/>
                <w:bCs w:val="false"/>
                <w:color w:val="222222"/>
                <w:sz w:val="20"/>
                <w:szCs w:val="20"/>
              </w:rPr>
              <w:t xml:space="preserve">Contradiction-surfacing produces too many false positives (alarm fatigue)</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Two-stage filter (PubMedBERT-NLI + HHEM); confidence thresholds tuned per condition; admin curation triage queue.</w:t>
            </w:r>
          </w:p>
        </w:tc>
      </w:tr>
      <w:tr>
        <w:trPr>
          <w:tblHeader w:val="false"/>
        </w:trPr>
        <w:tc>
          <w:tcPr>
            <w:tcW w:type="dxa" w:w="3000"/>
            <w:shd w:fill="FFFFFF" w:color="auto" w:val="clear"/>
          </w:tcPr>
          <w:p>
            <w:r>
              <w:rPr>
                <w:b w:val="false"/>
                <w:bCs w:val="false"/>
                <w:color w:val="222222"/>
                <w:sz w:val="20"/>
                <w:szCs w:val="20"/>
              </w:rPr>
              <w:t xml:space="preserve">Anthropic Citations API pricing or rate changes make synthesis layer expensive</w:t>
            </w:r>
          </w:p>
        </w:tc>
        <w:tc>
          <w:tcPr>
            <w:tcW w:type="dxa" w:w="1440"/>
            <w:shd w:fill="FFFFFF" w:color="auto" w:val="clear"/>
          </w:tcPr>
          <w:p>
            <w:r>
              <w:rPr>
                <w:b w:val="false"/>
                <w:bCs w:val="false"/>
                <w:color w:val="222222"/>
                <w:sz w:val="20"/>
                <w:szCs w:val="20"/>
              </w:rPr>
              <w:t xml:space="preserve">Low</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Synthesis layer is Citations-API-agnostic; in-house fallback can ship in 4–6 weeks if needed.</w:t>
            </w:r>
          </w:p>
        </w:tc>
      </w:tr>
      <w:tr>
        <w:trPr>
          <w:tblHeader w:val="false"/>
        </w:trPr>
        <w:tc>
          <w:tcPr>
            <w:tcW w:type="dxa" w:w="3000"/>
            <w:shd w:fill="F8F8F8" w:color="auto" w:val="clear"/>
          </w:tcPr>
          <w:p>
            <w:r>
              <w:rPr>
                <w:b w:val="false"/>
                <w:bCs w:val="false"/>
                <w:color w:val="222222"/>
                <w:sz w:val="20"/>
                <w:szCs w:val="20"/>
              </w:rPr>
              <w:t xml:space="preserve">Apache AGE proves immature / unhostable (RESOLVED — AGE dropped, §5.6)</w:t>
            </w:r>
          </w:p>
        </w:tc>
        <w:tc>
          <w:tcPr>
            <w:tcW w:type="dxa" w:w="1440"/>
            <w:shd w:fill="F8F8F8" w:color="auto" w:val="clear"/>
          </w:tcPr>
          <w:p>
            <w:r>
              <w:rPr>
                <w:b w:val="false"/>
                <w:bCs w:val="false"/>
                <w:color w:val="222222"/>
                <w:sz w:val="20"/>
                <w:szCs w:val="20"/>
              </w:rPr>
              <w:t xml:space="preserve">Low–Medium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Validate in Week 2 of Phase 1 before lock-in; Neptune or TigerGraph as fallback.</w:t>
            </w:r>
          </w:p>
        </w:tc>
      </w:tr>
      <w:tr>
        <w:trPr>
          <w:tblHeader w:val="false"/>
        </w:trPr>
        <w:tc>
          <w:tcPr>
            <w:tcW w:type="dxa" w:w="3000"/>
            <w:shd w:fill="FFFFFF" w:color="auto" w:val="clear"/>
          </w:tcPr>
          <w:p>
            <w:r>
              <w:rPr>
                <w:b w:val="false"/>
                <w:bCs w:val="false"/>
                <w:color w:val="222222"/>
                <w:sz w:val="20"/>
                <w:szCs w:val="20"/>
              </w:rPr>
              <w:t xml:space="preserve">Python/Node monorepo developer-experience friction slows velocity</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w:t>
            </w:r>
          </w:p>
        </w:tc>
        <w:tc>
          <w:tcPr>
            <w:tcW w:type="dxa" w:w="3480"/>
            <w:shd w:fill="FFFFFF" w:color="auto" w:val="clear"/>
          </w:tcPr>
          <w:p>
            <w:r>
              <w:rPr>
                <w:b w:val="false"/>
                <w:bCs w:val="false"/>
                <w:color w:val="222222"/>
                <w:sz w:val="20"/>
                <w:szCs w:val="20"/>
              </w:rPr>
              <w:t xml:space="preserve">Strict via-Postgres or via-HTTP contracts; ship FastAPI in one weekend if Postgres-as-bus underperforms.</w:t>
            </w:r>
          </w:p>
        </w:tc>
      </w:tr>
      <w:tr>
        <w:trPr>
          <w:tblHeader w:val="false"/>
        </w:trPr>
        <w:tc>
          <w:tcPr>
            <w:tcW w:type="dxa" w:w="3000"/>
            <w:shd w:fill="F8F8F8" w:color="auto" w:val="clear"/>
          </w:tcPr>
          <w:p>
            <w:r>
              <w:rPr>
                <w:b w:val="false"/>
                <w:bCs w:val="false"/>
                <w:color w:val="222222"/>
                <w:sz w:val="20"/>
                <w:szCs w:val="20"/>
              </w:rPr>
              <w:t xml:space="preserve">Solo founder hits capacity wall before first hire</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Phased roadmap explicitly stages hiring; informal advisors load-share key decisions; defer scope rather than burn out.</w:t>
            </w:r>
          </w:p>
        </w:tc>
      </w:tr>
    </w:tbl>
    <w:p>
      <w:pPr>
        <w:pStyle w:val="Heading2"/>
      </w:pPr>
      <w:r>
        <w:t xml:space="preserve">11.3 Regulatory and legal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FDA reclassifies platforms like Whel under device regulation</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Architect to §3060 condition 4 from Day 1 (per-claim provenance + clinician-reviewable basis). If §3060 changes, we are still closer to compliance than any competitor.</w:t>
            </w:r>
          </w:p>
        </w:tc>
      </w:tr>
      <w:tr>
        <w:trPr>
          <w:tblHeader w:val="false"/>
        </w:trPr>
        <w:tc>
          <w:tcPr>
            <w:tcW w:type="dxa" w:w="3000"/>
            <w:shd w:fill="FFFFFF" w:color="auto" w:val="clear"/>
          </w:tcPr>
          <w:p>
            <w:r>
              <w:rPr>
                <w:b w:val="false"/>
                <w:bCs w:val="false"/>
                <w:color w:val="222222"/>
                <w:sz w:val="20"/>
                <w:szCs w:val="20"/>
              </w:rPr>
              <w:t xml:space="preserve">HIPAA / state health-privacy regimes (WA MHMD, CA CMIA) extend to our data type</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No PHI processing in v1; partnership data always aggregated and de-identified; document position publicly.</w:t>
            </w:r>
          </w:p>
        </w:tc>
      </w:tr>
      <w:tr>
        <w:trPr>
          <w:tblHeader w:val="false"/>
        </w:trPr>
        <w:tc>
          <w:tcPr>
            <w:tcW w:type="dxa" w:w="3000"/>
            <w:shd w:fill="F8F8F8" w:color="auto" w:val="clear"/>
          </w:tcPr>
          <w:p>
            <w:r>
              <w:rPr>
                <w:b w:val="false"/>
                <w:bCs w:val="false"/>
                <w:color w:val="222222"/>
                <w:sz w:val="20"/>
                <w:szCs w:val="20"/>
              </w:rPr>
              <w:t xml:space="preserve">83(b) election missed or late</w:t>
            </w:r>
          </w:p>
        </w:tc>
        <w:tc>
          <w:tcPr>
            <w:tcW w:type="dxa" w:w="1440"/>
            <w:shd w:fill="F8F8F8" w:color="auto" w:val="clear"/>
          </w:tcPr>
          <w:p>
            <w:r>
              <w:rPr>
                <w:b w:val="false"/>
                <w:bCs w:val="false"/>
                <w:color w:val="222222"/>
                <w:sz w:val="20"/>
                <w:szCs w:val="20"/>
              </w:rPr>
              <w:t xml:space="preserve">Low (mitigated)</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Day 30 absolute deadline; calendar block; certified mail with return receipt; verified by Week 4.</w:t>
            </w:r>
          </w:p>
        </w:tc>
      </w:tr>
      <w:tr>
        <w:trPr>
          <w:tblHeader w:val="false"/>
        </w:trPr>
        <w:tc>
          <w:tcPr>
            <w:tcW w:type="dxa" w:w="3000"/>
            <w:shd w:fill="FFFFFF" w:color="auto" w:val="clear"/>
          </w:tcPr>
          <w:p>
            <w:r>
              <w:rPr>
                <w:b w:val="false"/>
                <w:bCs w:val="false"/>
                <w:color w:val="222222"/>
                <w:sz w:val="20"/>
                <w:szCs w:val="20"/>
              </w:rPr>
              <w:t xml:space="preserve">QSBS five-year clock missed by waiting too long to incorporate</w:t>
            </w:r>
          </w:p>
        </w:tc>
        <w:tc>
          <w:tcPr>
            <w:tcW w:type="dxa" w:w="1440"/>
            <w:shd w:fill="FFFFFF" w:color="auto" w:val="clear"/>
          </w:tcPr>
          <w:p>
            <w:r>
              <w:rPr>
                <w:b w:val="false"/>
                <w:bCs w:val="false"/>
                <w:color w:val="222222"/>
                <w:sz w:val="20"/>
                <w:szCs w:val="20"/>
              </w:rPr>
              <w:t xml:space="preserve">Low (mitigated)</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Incorporate in Week 1 of Phase 0.</w:t>
            </w:r>
          </w:p>
        </w:tc>
      </w:tr>
      <w:tr>
        <w:trPr>
          <w:tblHeader w:val="false"/>
        </w:trPr>
        <w:tc>
          <w:tcPr>
            <w:tcW w:type="dxa" w:w="3000"/>
            <w:shd w:fill="F8F8F8" w:color="auto" w:val="clear"/>
          </w:tcPr>
          <w:p>
            <w:r>
              <w:rPr>
                <w:b w:val="false"/>
                <w:bCs w:val="false"/>
                <w:color w:val="222222"/>
                <w:sz w:val="20"/>
                <w:szCs w:val="20"/>
              </w:rPr>
              <w:t xml:space="preserve">Inadvertent GPLv3 dependency forces substrate open-source</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License check in CI; explicit dependency review on every add; SBOM maintained.</w:t>
            </w:r>
          </w:p>
        </w:tc>
      </w:tr>
      <w:tr>
        <w:trPr>
          <w:tblHeader w:val="false"/>
        </w:trPr>
        <w:tc>
          <w:tcPr>
            <w:tcW w:type="dxa" w:w="3000"/>
            <w:shd w:fill="FFFFFF" w:color="auto" w:val="clear"/>
          </w:tcPr>
          <w:p>
            <w:r>
              <w:rPr>
                <w:b w:val="false"/>
                <w:bCs w:val="false"/>
                <w:color w:val="222222"/>
                <w:sz w:val="20"/>
                <w:szCs w:val="20"/>
              </w:rPr>
              <w:t xml:space="preserve">Liability exposure if a clinician makes a treatment decision based on Whel output</w:t>
            </w:r>
          </w:p>
        </w:tc>
        <w:tc>
          <w:tcPr>
            <w:tcW w:type="dxa" w:w="1440"/>
            <w:shd w:fill="FFFFFF" w:color="auto" w:val="clear"/>
          </w:tcPr>
          <w:p>
            <w:r>
              <w:rPr>
                <w:b w:val="false"/>
                <w:bCs w:val="false"/>
                <w:color w:val="222222"/>
                <w:sz w:val="20"/>
                <w:szCs w:val="20"/>
              </w:rPr>
              <w:t xml:space="preserve">Low–Medium</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Architectural defense (§3060) + contractual disclaimers + tech E&amp;O insurance pre-first external user.</w:t>
            </w:r>
          </w:p>
        </w:tc>
      </w:tr>
      <w:tr>
        <w:trPr>
          <w:tblHeader w:val="false"/>
        </w:trPr>
        <w:tc>
          <w:tcPr>
            <w:tcW w:type="dxa" w:w="3000"/>
            <w:shd w:fill="F8F8F8" w:color="auto" w:val="clear"/>
          </w:tcPr>
          <w:p>
            <w:r>
              <w:rPr>
                <w:b w:val="false"/>
                <w:bCs w:val="false"/>
                <w:color w:val="222222"/>
                <w:sz w:val="20"/>
                <w:szCs w:val="20"/>
              </w:rPr>
              <w:t xml:space="preserve">Trademark conflict on "Whel"</w:t>
            </w:r>
          </w:p>
        </w:tc>
        <w:tc>
          <w:tcPr>
            <w:tcW w:type="dxa" w:w="1440"/>
            <w:shd w:fill="F8F8F8" w:color="auto" w:val="clear"/>
          </w:tcPr>
          <w:p>
            <w:r>
              <w:rPr>
                <w:b w:val="false"/>
                <w:bCs w:val="false"/>
                <w:color w:val="222222"/>
                <w:sz w:val="20"/>
                <w:szCs w:val="20"/>
              </w:rPr>
              <w:t xml:space="preserve">Low</w:t>
            </w:r>
          </w:p>
        </w:tc>
        <w:tc>
          <w:tcPr>
            <w:tcW w:type="dxa" w:w="1440"/>
            <w:shd w:fill="F8F8F8" w:color="auto" w:val="clear"/>
          </w:tcPr>
          <w:p>
            <w:r>
              <w:rPr>
                <w:b w:val="false"/>
                <w:bCs w:val="false"/>
                <w:color w:val="222222"/>
                <w:sz w:val="20"/>
                <w:szCs w:val="20"/>
              </w:rPr>
              <w:t xml:space="preserve">Low</w:t>
            </w:r>
          </w:p>
        </w:tc>
        <w:tc>
          <w:tcPr>
            <w:tcW w:type="dxa" w:w="3480"/>
            <w:shd w:fill="F8F8F8" w:color="auto" w:val="clear"/>
          </w:tcPr>
          <w:p>
            <w:r>
              <w:rPr>
                <w:b w:val="false"/>
                <w:bCs w:val="false"/>
                <w:color w:val="222222"/>
                <w:sz w:val="20"/>
                <w:szCs w:val="20"/>
              </w:rPr>
              <w:t xml:space="preserve">USPTO search in Phase 0; defer application to Month 6 once brand is locked.</w:t>
            </w:r>
          </w:p>
        </w:tc>
      </w:tr>
    </w:tbl>
    <w:p>
      <w:pPr>
        <w:pStyle w:val="Heading2"/>
      </w:pPr>
      <w:r>
        <w:t xml:space="preserve">11.4 Founder and team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Founder credibility gap with technical investors (non-technical, philosophy background)</w:t>
            </w:r>
          </w:p>
        </w:tc>
        <w:tc>
          <w:tcPr>
            <w:tcW w:type="dxa" w:w="1440"/>
            <w:shd w:fill="F8F8F8" w:color="auto" w:val="clear"/>
          </w:tcPr>
          <w:p>
            <w:r>
              <w:rPr>
                <w:b w:val="false"/>
                <w:bCs w:val="false"/>
                <w:color w:val="222222"/>
                <w:sz w:val="20"/>
                <w:szCs w:val="20"/>
              </w:rPr>
              <w:t xml:space="preserve">High</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Lean into curator/ontologist positioning; first technical advisor signed in Phase 2; first engineering hire planned for Phase 4.</w:t>
            </w:r>
          </w:p>
        </w:tc>
      </w:tr>
      <w:tr>
        <w:trPr>
          <w:tblHeader w:val="false"/>
        </w:trPr>
        <w:tc>
          <w:tcPr>
            <w:tcW w:type="dxa" w:w="3000"/>
            <w:shd w:fill="FFFFFF" w:color="auto" w:val="clear"/>
          </w:tcPr>
          <w:p>
            <w:r>
              <w:rPr>
                <w:b w:val="false"/>
                <w:bCs w:val="false"/>
                <w:color w:val="222222"/>
                <w:sz w:val="20"/>
                <w:szCs w:val="20"/>
              </w:rPr>
              <w:t xml:space="preserve">Founder credibility gap with biomedical investors (no MD/PhD)</w:t>
            </w:r>
          </w:p>
        </w:tc>
        <w:tc>
          <w:tcPr>
            <w:tcW w:type="dxa" w:w="1440"/>
            <w:shd w:fill="FFFFFF" w:color="auto" w:val="clear"/>
          </w:tcPr>
          <w:p>
            <w:r>
              <w:rPr>
                <w:b w:val="false"/>
                <w:bCs w:val="false"/>
                <w:color w:val="222222"/>
                <w:sz w:val="20"/>
                <w:szCs w:val="20"/>
              </w:rPr>
              <w:t xml:space="preserve">High</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Use IAPMD endorsement, advisor pedigree, and shipped substrate as proof points. The work speaks; the founder's background is a starting point not the moat.</w:t>
            </w:r>
          </w:p>
        </w:tc>
      </w:tr>
      <w:tr>
        <w:trPr>
          <w:tblHeader w:val="false"/>
        </w:trPr>
        <w:tc>
          <w:tcPr>
            <w:tcW w:type="dxa" w:w="3000"/>
            <w:shd w:fill="F8F8F8" w:color="auto" w:val="clear"/>
          </w:tcPr>
          <w:p>
            <w:r>
              <w:rPr>
                <w:b w:val="false"/>
                <w:bCs w:val="false"/>
                <w:color w:val="222222"/>
                <w:sz w:val="20"/>
                <w:szCs w:val="20"/>
              </w:rPr>
              <w:t xml:space="preserve">Burnout</w:t>
            </w:r>
          </w:p>
        </w:tc>
        <w:tc>
          <w:tcPr>
            <w:tcW w:type="dxa" w:w="1440"/>
            <w:shd w:fill="F8F8F8" w:color="auto" w:val="clear"/>
          </w:tcPr>
          <w:p>
            <w:r>
              <w:rPr>
                <w:b w:val="false"/>
                <w:bCs w:val="false"/>
                <w:color w:val="222222"/>
                <w:sz w:val="20"/>
                <w:szCs w:val="20"/>
              </w:rPr>
              <w:t xml:space="preserve">Medium–High</w:t>
            </w:r>
          </w:p>
        </w:tc>
        <w:tc>
          <w:tcPr>
            <w:tcW w:type="dxa" w:w="1440"/>
            <w:shd w:fill="F8F8F8" w:color="auto" w:val="clear"/>
          </w:tcPr>
          <w:p>
            <w:r>
              <w:rPr>
                <w:b w:val="false"/>
                <w:bCs w:val="false"/>
                <w:color w:val="222222"/>
                <w:sz w:val="20"/>
                <w:szCs w:val="20"/>
              </w:rPr>
              <w:t xml:space="preserve">High</w:t>
            </w:r>
          </w:p>
        </w:tc>
        <w:tc>
          <w:tcPr>
            <w:tcW w:type="dxa" w:w="3480"/>
            <w:shd w:fill="F8F8F8" w:color="auto" w:val="clear"/>
          </w:tcPr>
          <w:p>
            <w:r>
              <w:rPr>
                <w:b w:val="false"/>
                <w:bCs w:val="false"/>
                <w:color w:val="222222"/>
                <w:sz w:val="20"/>
                <w:szCs w:val="20"/>
              </w:rPr>
              <w:t xml:space="preserve">Phase boundaries are real; refuse scope creep at phase transitions; advisor support load; defer hiring only one phase past where it hurts.</w:t>
            </w:r>
          </w:p>
        </w:tc>
      </w:tr>
      <w:tr>
        <w:trPr>
          <w:tblHeader w:val="false"/>
        </w:trPr>
        <w:tc>
          <w:tcPr>
            <w:tcW w:type="dxa" w:w="3000"/>
            <w:shd w:fill="FFFFFF" w:color="auto" w:val="clear"/>
          </w:tcPr>
          <w:p>
            <w:r>
              <w:rPr>
                <w:b w:val="false"/>
                <w:bCs w:val="false"/>
                <w:color w:val="222222"/>
                <w:sz w:val="20"/>
                <w:szCs w:val="20"/>
              </w:rPr>
              <w:t xml:space="preserve">Single-founder dependency (bus factor of 1)</w:t>
            </w:r>
          </w:p>
        </w:tc>
        <w:tc>
          <w:tcPr>
            <w:tcW w:type="dxa" w:w="1440"/>
            <w:shd w:fill="FFFFFF" w:color="auto" w:val="clear"/>
          </w:tcPr>
          <w:p>
            <w:r>
              <w:rPr>
                <w:b w:val="false"/>
                <w:bCs w:val="false"/>
                <w:color w:val="222222"/>
                <w:sz w:val="20"/>
                <w:szCs w:val="20"/>
              </w:rPr>
              <w:t xml:space="preserve">High</w:t>
            </w:r>
          </w:p>
        </w:tc>
        <w:tc>
          <w:tcPr>
            <w:tcW w:type="dxa" w:w="1440"/>
            <w:shd w:fill="FFFFFF" w:color="auto" w:val="clear"/>
          </w:tcPr>
          <w:p>
            <w:r>
              <w:rPr>
                <w:b w:val="false"/>
                <w:bCs w:val="false"/>
                <w:color w:val="222222"/>
                <w:sz w:val="20"/>
                <w:szCs w:val="20"/>
              </w:rPr>
              <w:t xml:space="preserve">High</w:t>
            </w:r>
          </w:p>
        </w:tc>
        <w:tc>
          <w:tcPr>
            <w:tcW w:type="dxa" w:w="3480"/>
            <w:shd w:fill="FFFFFF" w:color="auto" w:val="clear"/>
          </w:tcPr>
          <w:p>
            <w:r>
              <w:rPr>
                <w:b w:val="false"/>
                <w:bCs w:val="false"/>
                <w:color w:val="222222"/>
                <w:sz w:val="20"/>
                <w:szCs w:val="20"/>
              </w:rPr>
              <w:t xml:space="preserve">Documentation discipline (this blueprint is the start); advisor relationships diversify decision support; first hire as early as fundable.</w:t>
            </w:r>
          </w:p>
        </w:tc>
      </w:tr>
      <w:tr>
        <w:trPr>
          <w:tblHeader w:val="false"/>
        </w:trPr>
        <w:tc>
          <w:tcPr>
            <w:tcW w:type="dxa" w:w="3000"/>
            <w:shd w:fill="F8F8F8" w:color="auto" w:val="clear"/>
          </w:tcPr>
          <w:p>
            <w:r>
              <w:rPr>
                <w:b w:val="false"/>
                <w:bCs w:val="false"/>
                <w:color w:val="222222"/>
                <w:sz w:val="20"/>
                <w:szCs w:val="20"/>
              </w:rPr>
              <w:t xml:space="preserve">Co-founder added later creates equity-split friction</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4-year vest with 1-year cliff on founder stock makes adding a co-founder structurally clean; document any future split in writing.</w:t>
            </w:r>
          </w:p>
        </w:tc>
      </w:tr>
    </w:tbl>
    <w:p>
      <w:pPr>
        <w:pStyle w:val="Heading2"/>
      </w:pPr>
      <w:r>
        <w:t xml:space="preserve">11.5 Reputation and trust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shd w:fill="7A1F3D" w:color="auto" w:val="clear"/>
          </w:tcPr>
          <w:p>
            <w:r>
              <w:rPr>
                <w:b/>
                <w:bCs/>
                <w:color w:val="FFFFFF"/>
                <w:sz w:val="20"/>
                <w:szCs w:val="20"/>
              </w:rPr>
              <w:t xml:space="preserve">Risk</w:t>
            </w:r>
          </w:p>
        </w:tc>
        <w:tc>
          <w:tcPr>
            <w:tcW w:type="dxa" w:w="1440"/>
            <w:shd w:fill="7A1F3D" w:color="auto" w:val="clear"/>
          </w:tcPr>
          <w:p>
            <w:r>
              <w:rPr>
                <w:b/>
                <w:bCs/>
                <w:color w:val="FFFFFF"/>
                <w:sz w:val="20"/>
                <w:szCs w:val="20"/>
              </w:rPr>
              <w:t xml:space="preserve">Probability</w:t>
            </w:r>
          </w:p>
        </w:tc>
        <w:tc>
          <w:tcPr>
            <w:tcW w:type="dxa" w:w="1440"/>
            <w:shd w:fill="7A1F3D" w:color="auto" w:val="clear"/>
          </w:tcPr>
          <w:p>
            <w:r>
              <w:rPr>
                <w:b/>
                <w:bCs/>
                <w:color w:val="FFFFFF"/>
                <w:sz w:val="20"/>
                <w:szCs w:val="20"/>
              </w:rPr>
              <w:t xml:space="preserve">Impact</w:t>
            </w:r>
          </w:p>
        </w:tc>
        <w:tc>
          <w:tcPr>
            <w:tcW w:type="dxa" w:w="3480"/>
            <w:shd w:fill="7A1F3D" w:color="auto" w:val="clear"/>
          </w:tcPr>
          <w:p>
            <w:r>
              <w:rPr>
                <w:b/>
                <w:bCs/>
                <w:color w:val="FFFFFF"/>
                <w:sz w:val="20"/>
                <w:szCs w:val="20"/>
              </w:rPr>
              <w:t xml:space="preserve">Mitigation</w:t>
            </w:r>
          </w:p>
        </w:tc>
      </w:tr>
      <w:tr>
        <w:trPr>
          <w:tblHeader w:val="false"/>
        </w:trPr>
        <w:tc>
          <w:tcPr>
            <w:tcW w:type="dxa" w:w="3000"/>
            <w:shd w:fill="F8F8F8" w:color="auto" w:val="clear"/>
          </w:tcPr>
          <w:p>
            <w:r>
              <w:rPr>
                <w:b w:val="false"/>
                <w:bCs w:val="false"/>
                <w:color w:val="222222"/>
                <w:sz w:val="20"/>
                <w:szCs w:val="20"/>
              </w:rPr>
              <w:t xml:space="preserve">Whel surfaces an off-label drug recommendation that harms a patient (clinician-mediated)</w:t>
            </w:r>
          </w:p>
        </w:tc>
        <w:tc>
          <w:tcPr>
            <w:tcW w:type="dxa" w:w="1440"/>
            <w:shd w:fill="F8F8F8" w:color="auto" w:val="clear"/>
          </w:tcPr>
          <w:p>
            <w:r>
              <w:rPr>
                <w:b w:val="false"/>
                <w:bCs w:val="false"/>
                <w:color w:val="222222"/>
                <w:sz w:val="20"/>
                <w:szCs w:val="20"/>
              </w:rPr>
              <w:t xml:space="preserve">Low (architectural defense)</w:t>
            </w:r>
          </w:p>
        </w:tc>
        <w:tc>
          <w:tcPr>
            <w:tcW w:type="dxa" w:w="1440"/>
            <w:shd w:fill="F8F8F8" w:color="auto" w:val="clear"/>
          </w:tcPr>
          <w:p>
            <w:r>
              <w:rPr>
                <w:b w:val="false"/>
                <w:bCs w:val="false"/>
                <w:color w:val="222222"/>
                <w:sz w:val="20"/>
                <w:szCs w:val="20"/>
              </w:rPr>
              <w:t xml:space="preserve">Very High</w:t>
            </w:r>
          </w:p>
        </w:tc>
        <w:tc>
          <w:tcPr>
            <w:tcW w:type="dxa" w:w="3480"/>
            <w:shd w:fill="F8F8F8" w:color="auto" w:val="clear"/>
          </w:tcPr>
          <w:p>
            <w:r>
              <w:rPr>
                <w:b w:val="false"/>
                <w:bCs w:val="false"/>
                <w:color w:val="222222"/>
                <w:sz w:val="20"/>
                <w:szCs w:val="20"/>
              </w:rPr>
              <w:t xml:space="preserve">§3060 architecture + clinician-reviewable provenance + disclaimers + insurance. The architectural defense is the primary risk control.</w:t>
            </w:r>
          </w:p>
        </w:tc>
      </w:tr>
      <w:tr>
        <w:trPr>
          <w:tblHeader w:val="false"/>
        </w:trPr>
        <w:tc>
          <w:tcPr>
            <w:tcW w:type="dxa" w:w="3000"/>
            <w:shd w:fill="FFFFFF" w:color="auto" w:val="clear"/>
          </w:tcPr>
          <w:p>
            <w:r>
              <w:rPr>
                <w:b w:val="false"/>
                <w:bCs w:val="false"/>
                <w:color w:val="222222"/>
                <w:sz w:val="20"/>
                <w:szCs w:val="20"/>
              </w:rPr>
              <w:t xml:space="preserve">Patient community feels Whel "speaks for them" without consent</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Medium</w:t>
            </w:r>
          </w:p>
        </w:tc>
        <w:tc>
          <w:tcPr>
            <w:tcW w:type="dxa" w:w="3480"/>
            <w:shd w:fill="FFFFFF" w:color="auto" w:val="clear"/>
          </w:tcPr>
          <w:p>
            <w:r>
              <w:rPr>
                <w:b w:val="false"/>
                <w:bCs w:val="false"/>
                <w:color w:val="222222"/>
                <w:sz w:val="20"/>
                <w:szCs w:val="20"/>
              </w:rPr>
              <w:t xml:space="preserve">Hypothesis-generation framing; explicit acknowledgement that community signal is input not evidence; IAPMD endorsement before public PMDD launch.</w:t>
            </w:r>
          </w:p>
        </w:tc>
      </w:tr>
      <w:tr>
        <w:trPr>
          <w:tblHeader w:val="false"/>
        </w:trPr>
        <w:tc>
          <w:tcPr>
            <w:tcW w:type="dxa" w:w="3000"/>
            <w:shd w:fill="F8F8F8" w:color="auto" w:val="clear"/>
          </w:tcPr>
          <w:p>
            <w:r>
              <w:rPr>
                <w:b w:val="false"/>
                <w:bCs w:val="false"/>
                <w:color w:val="222222"/>
                <w:sz w:val="20"/>
                <w:szCs w:val="20"/>
              </w:rPr>
              <w:t xml:space="preserve">Critic publishes "this is just an LLM with a women's health label"</w:t>
            </w:r>
          </w:p>
        </w:tc>
        <w:tc>
          <w:tcPr>
            <w:tcW w:type="dxa" w:w="1440"/>
            <w:shd w:fill="F8F8F8" w:color="auto" w:val="clear"/>
          </w:tcPr>
          <w:p>
            <w:r>
              <w:rPr>
                <w:b w:val="false"/>
                <w:bCs w:val="false"/>
                <w:color w:val="222222"/>
                <w:sz w:val="20"/>
                <w:szCs w:val="20"/>
              </w:rPr>
              <w:t xml:space="preserve">Medium</w:t>
            </w:r>
          </w:p>
        </w:tc>
        <w:tc>
          <w:tcPr>
            <w:tcW w:type="dxa" w:w="1440"/>
            <w:shd w:fill="F8F8F8" w:color="auto" w:val="clear"/>
          </w:tcPr>
          <w:p>
            <w:r>
              <w:rPr>
                <w:b w:val="false"/>
                <w:bCs w:val="false"/>
                <w:color w:val="222222"/>
                <w:sz w:val="20"/>
                <w:szCs w:val="20"/>
              </w:rPr>
              <w:t xml:space="preserve">Medium</w:t>
            </w:r>
          </w:p>
        </w:tc>
        <w:tc>
          <w:tcPr>
            <w:tcW w:type="dxa" w:w="3480"/>
            <w:shd w:fill="F8F8F8" w:color="auto" w:val="clear"/>
          </w:tcPr>
          <w:p>
            <w:r>
              <w:rPr>
                <w:b w:val="false"/>
                <w:bCs w:val="false"/>
                <w:color w:val="222222"/>
                <w:sz w:val="20"/>
                <w:szCs w:val="20"/>
              </w:rPr>
              <w:t xml:space="preserve">Eval-suite results published; substrate documented; this blueprint as receipt of architectural seriousness.</w:t>
            </w:r>
          </w:p>
        </w:tc>
      </w:tr>
      <w:tr>
        <w:trPr>
          <w:tblHeader w:val="false"/>
        </w:trPr>
        <w:tc>
          <w:tcPr>
            <w:tcW w:type="dxa" w:w="3000"/>
            <w:shd w:fill="FFFFFF" w:color="auto" w:val="clear"/>
          </w:tcPr>
          <w:p>
            <w:r>
              <w:rPr>
                <w:b w:val="false"/>
                <w:bCs w:val="false"/>
                <w:color w:val="222222"/>
                <w:sz w:val="20"/>
                <w:szCs w:val="20"/>
              </w:rPr>
              <w:t xml:space="preserve">Domain experts publicly question the ontology choices</w:t>
            </w:r>
          </w:p>
        </w:tc>
        <w:tc>
          <w:tcPr>
            <w:tcW w:type="dxa" w:w="1440"/>
            <w:shd w:fill="FFFFFF" w:color="auto" w:val="clear"/>
          </w:tcPr>
          <w:p>
            <w:r>
              <w:rPr>
                <w:b w:val="false"/>
                <w:bCs w:val="false"/>
                <w:color w:val="222222"/>
                <w:sz w:val="20"/>
                <w:szCs w:val="20"/>
              </w:rPr>
              <w:t xml:space="preserve">Medium</w:t>
            </w:r>
          </w:p>
        </w:tc>
        <w:tc>
          <w:tcPr>
            <w:tcW w:type="dxa" w:w="1440"/>
            <w:shd w:fill="FFFFFF" w:color="auto" w:val="clear"/>
          </w:tcPr>
          <w:p>
            <w:r>
              <w:rPr>
                <w:b w:val="false"/>
                <w:bCs w:val="false"/>
                <w:color w:val="222222"/>
                <w:sz w:val="20"/>
                <w:szCs w:val="20"/>
              </w:rPr>
              <w:t xml:space="preserve">Low–Medium</w:t>
            </w:r>
          </w:p>
        </w:tc>
        <w:tc>
          <w:tcPr>
            <w:tcW w:type="dxa" w:w="3480"/>
            <w:shd w:fill="FFFFFF" w:color="auto" w:val="clear"/>
          </w:tcPr>
          <w:p>
            <w:r>
              <w:rPr>
                <w:b w:val="false"/>
                <w:bCs w:val="false"/>
                <w:color w:val="222222"/>
                <w:sz w:val="20"/>
                <w:szCs w:val="20"/>
              </w:rPr>
              <w:t xml:space="preserve">Informal expert review during Phase 1; formal advisory board by Phase 3; ontology versioned and open for community input by Phase 4.</w:t>
            </w:r>
          </w:p>
        </w:tc>
      </w:tr>
    </w:tbl>
    <w:p>
      <w:pPr>
        <w:pStyle w:val="Heading1"/>
        <w:pageBreakBefore/>
      </w:pPr>
      <w:r>
        <w:t xml:space="preserve">12. Immediate Action Items</w:t>
      </w:r>
    </w:p>
    <w:p>
      <w:pPr>
        <w:spacing w:after="200"/>
      </w:pPr>
      <w:r>
        <w:rPr>
          <w:i/>
          <w:iCs/>
          <w:color w:val="555555"/>
          <w:sz w:val="22"/>
          <w:szCs w:val="22"/>
        </w:rPr>
        <w:t xml:space="preserve">What to do this week, this month, and this quarter. Each item has an owner (you, today) and an explicit deadline.</w:t>
      </w:r>
    </w:p>
    <w:p>
      <w:pPr>
        <w:pStyle w:val="Heading2"/>
      </w:pPr>
      <w:r>
        <w:t xml:space="preserve">12.1 This week (Phase 0, Week 1)</w:t>
      </w:r>
    </w:p>
    <w:p>
      <w:pPr>
        <w:pStyle w:val="ListParagraph"/>
        <w:numPr>
          <w:ilvl w:val="0"/>
          <w:numId w:val="3"/>
        </w:numPr>
      </w:pPr>
      <w:r>
        <w:t xml:space="preserve">Submit Stripe Atlas application for Whel, Inc. Delaware C-Corp. Expected completion: 5–10 business days from submission.</w:t>
      </w:r>
    </w:p>
    <w:p>
      <w:pPr>
        <w:pStyle w:val="ListParagraph"/>
        <w:numPr>
          <w:ilvl w:val="0"/>
          <w:numId w:val="3"/>
        </w:numPr>
      </w:pPr>
      <w:r>
        <w:t xml:space="preserve">Schedule the 83(b) certified-mail trip for Day 28–29 from stock issuance. Block calendar now. Print template from Stripe Atlas immediately upon stock issuance.</w:t>
      </w:r>
    </w:p>
    <w:p>
      <w:pPr>
        <w:pStyle w:val="ListParagraph"/>
        <w:numPr>
          <w:ilvl w:val="0"/>
          <w:numId w:val="3"/>
        </w:numPr>
      </w:pPr>
      <w:r>
        <w:t xml:space="preserve">Read this blueprint end-to-end one more time. Mark anything that does not feel true to you with a note. The pitch language in §2 only works if you can say it with conviction.</w:t>
      </w:r>
    </w:p>
    <w:p>
      <w:pPr>
        <w:pStyle w:val="ListParagraph"/>
        <w:numPr>
          <w:ilvl w:val="0"/>
          <w:numId w:val="3"/>
        </w:numPr>
      </w:pPr>
      <w:r>
        <w:t xml:space="preserve">Rename the legacy GitHub repository to "whel-legacy". Set it to read-only.</w:t>
      </w:r>
    </w:p>
    <w:p>
      <w:pPr>
        <w:pStyle w:val="ListParagraph"/>
        <w:numPr>
          <w:ilvl w:val="0"/>
          <w:numId w:val="3"/>
        </w:numPr>
      </w:pPr>
      <w:r>
        <w:t xml:space="preserve">Create the new "whel" repository with the monorepo skeleton from §5.4. Push the empty scaffolding.</w:t>
      </w:r>
    </w:p>
    <w:p>
      <w:pPr>
        <w:pStyle w:val="ListParagraph"/>
        <w:numPr>
          <w:ilvl w:val="0"/>
          <w:numId w:val="3"/>
        </w:numPr>
      </w:pPr>
      <w:r>
        <w:t xml:space="preserve">Write the company README from the §2 locked pitch language. This becomes the canonical company description until v1 ships.</w:t>
      </w:r>
    </w:p>
    <w:p>
      <w:pPr>
        <w:pStyle w:val="Heading2"/>
      </w:pPr>
      <w:r>
        <w:t xml:space="preserve">12.2 Next 30 days (Phase 0, Weeks 2–4)</w:t>
      </w:r>
    </w:p>
    <w:p>
      <w:pPr>
        <w:pStyle w:val="ListParagraph"/>
        <w:numPr>
          <w:ilvl w:val="0"/>
          <w:numId w:val="3"/>
        </w:numPr>
      </w:pPr>
      <w:r>
        <w:t xml:space="preserve">Day 30 absolute: 83(b) election filed via USPS Certified Mail with Return Receipt. Verify receipt by Week 4.</w:t>
      </w:r>
    </w:p>
    <w:p>
      <w:pPr>
        <w:pStyle w:val="ListParagraph"/>
        <w:numPr>
          <w:ilvl w:val="0"/>
          <w:numId w:val="3"/>
        </w:numPr>
      </w:pPr>
      <w:r>
        <w:t xml:space="preserve">CIIAA founder IP assignment signed and stored with company records.</w:t>
      </w:r>
    </w:p>
    <w:p>
      <w:pPr>
        <w:pStyle w:val="ListParagraph"/>
        <w:numPr>
          <w:ilvl w:val="0"/>
          <w:numId w:val="3"/>
        </w:numPr>
      </w:pPr>
      <w:r>
        <w:t xml:space="preserve">Mercury or Brex business banking account opened. Personal startup loan (if needed) transferred in to cover Atlas tax + first month of compute.</w:t>
      </w:r>
    </w:p>
    <w:p>
      <w:pPr>
        <w:pStyle w:val="ListParagraph"/>
        <w:numPr>
          <w:ilvl w:val="0"/>
          <w:numId w:val="3"/>
        </w:numPr>
      </w:pPr>
      <w:r>
        <w:t xml:space="preserve">Domain transferred into the company name.</w:t>
      </w:r>
    </w:p>
    <w:p>
      <w:pPr>
        <w:pStyle w:val="ListParagraph"/>
        <w:numPr>
          <w:ilvl w:val="0"/>
          <w:numId w:val="3"/>
        </w:numPr>
      </w:pPr>
      <w:r>
        <w:t xml:space="preserve">Reach out to 1 women's health clinician or repro endo researcher in your existing or one-degree-warm network for an informal conversation about Whel's ontology direction. No formal advisor pitch yet — just an "I am building this and would value 30 minutes of your thinking."</w:t>
      </w:r>
    </w:p>
    <w:p>
      <w:pPr>
        <w:pStyle w:val="ListParagraph"/>
        <w:numPr>
          <w:ilvl w:val="0"/>
          <w:numId w:val="3"/>
        </w:numPr>
      </w:pPr>
      <w:r>
        <w:t xml:space="preserve">CI/CD green on whel repo. Lint + typecheck + test on every PR.</w:t>
      </w:r>
    </w:p>
    <w:p>
      <w:pPr>
        <w:pStyle w:val="ListParagraph"/>
        <w:numPr>
          <w:ilvl w:val="0"/>
          <w:numId w:val="3"/>
        </w:numPr>
      </w:pPr>
      <w:r>
        <w:t xml:space="preserve">Supabase whel_v2 schema migrations: entities, source_spans, claims, syntheses, contradictions, ontology, relations.</w:t>
      </w:r>
    </w:p>
    <w:p>
      <w:pPr>
        <w:pStyle w:val="ListParagraph"/>
        <w:numPr>
          <w:ilvl w:val="0"/>
          <w:numId w:val="3"/>
        </w:numPr>
      </w:pPr>
      <w:r>
        <w:t xml:space="preserve">Apache AGE feature-parity validation against representative query patterns. If AGE fails, switch to Neptune fallback now, not later.</w:t>
      </w:r>
    </w:p>
    <w:p>
      <w:pPr>
        <w:pStyle w:val="ListParagraph"/>
        <w:numPr>
          <w:ilvl w:val="0"/>
          <w:numId w:val="3"/>
        </w:numPr>
      </w:pPr>
      <w:r>
        <w:t xml:space="preserve">First PaperQA2 wrapper extracting one PubMed abstract end-to-end into the substrate.</w:t>
      </w:r>
    </w:p>
    <w:p>
      <w:pPr>
        <w:pStyle w:val="ListParagraph"/>
        <w:numPr>
          <w:ilvl w:val="0"/>
          <w:numId w:val="3"/>
        </w:numPr>
      </w:pPr>
      <w:r>
        <w:t xml:space="preserve">Brand guidelines copied from §3 of this document into a brand.md in the repo.</w:t>
      </w:r>
    </w:p>
    <w:p>
      <w:pPr>
        <w:pStyle w:val="Heading2"/>
      </w:pPr>
      <w:r>
        <w:t xml:space="preserve">12.3 Next 90 days (Phase 0 close → Phase 1 mid)</w:t>
      </w:r>
    </w:p>
    <w:p>
      <w:pPr>
        <w:pStyle w:val="ListParagraph"/>
        <w:numPr>
          <w:ilvl w:val="0"/>
          <w:numId w:val="3"/>
        </w:numPr>
      </w:pPr>
      <w:r>
        <w:t xml:space="preserve">Complete Phase 0 exit criterion: corporate vehicle complete, repo scaffolded, one end-to-end extraction demonstrated, 83(b) election confirmed received, first informal expert conversation completed.</w:t>
      </w:r>
    </w:p>
    <w:p>
      <w:pPr>
        <w:pStyle w:val="ListParagraph"/>
        <w:numPr>
          <w:ilvl w:val="0"/>
          <w:numId w:val="3"/>
        </w:numPr>
      </w:pPr>
      <w:r>
        <w:t xml:space="preserve">Phase 1 Workstream A through Week 8 deliverables: PaperQA2 + OntoGPT + MedScore + PubMedBERT-NLI + female-specificity filter all running end-to-end on PMDD literature.</w:t>
      </w:r>
    </w:p>
    <w:p>
      <w:pPr>
        <w:pStyle w:val="ListParagraph"/>
        <w:numPr>
          <w:ilvl w:val="0"/>
          <w:numId w:val="3"/>
        </w:numPr>
      </w:pPr>
      <w:r>
        <w:t xml:space="preserve">Phase 1 Workstream B through Week 8 deliverables: PrimeKG + CTKG seed imported; first female-specific ontology extension entities (cyclical phase, PMDD sub-phenotypes); contradiction detection wired; HHEM-2.1 guardrail integrated.</w:t>
      </w:r>
    </w:p>
    <w:p>
      <w:pPr>
        <w:pStyle w:val="ListParagraph"/>
        <w:numPr>
          <w:ilvl w:val="0"/>
          <w:numId w:val="3"/>
        </w:numPr>
      </w:pPr>
      <w:r>
        <w:t xml:space="preserve">First eval suite baseline run (MedHELM + MedRAGChecker). This is the receipt for "we measured this."</w:t>
      </w:r>
    </w:p>
    <w:p>
      <w:pPr>
        <w:pStyle w:val="ListParagraph"/>
        <w:numPr>
          <w:ilvl w:val="0"/>
          <w:numId w:val="3"/>
        </w:numPr>
      </w:pPr>
      <w:r>
        <w:t xml:space="preserve">Second informal expert conversation. Different specialty than the first (if first was repro endo, second is women's health pharmacology or a working clinician).</w:t>
      </w:r>
    </w:p>
    <w:p>
      <w:pPr>
        <w:pStyle w:val="ListParagraph"/>
        <w:numPr>
          <w:ilvl w:val="0"/>
          <w:numId w:val="3"/>
        </w:numPr>
      </w:pPr>
      <w:r>
        <w:t xml:space="preserve">Outline the SBIR R41 pre-proposal. Target the September NIH window.</w:t>
      </w:r>
    </w:p>
    <w:p>
      <w:pPr>
        <w:pStyle w:val="ListParagraph"/>
        <w:numPr>
          <w:ilvl w:val="0"/>
          <w:numId w:val="3"/>
        </w:numPr>
      </w:pPr>
      <w:r>
        <w:t xml:space="preserve">First pass at the pitch deck for advisor outreach (12 slides, using §2 language verbatim).</w:t>
      </w:r>
    </w:p>
    <w:p>
      <w:pPr>
        <w:pStyle w:val="Heading2"/>
      </w:pPr>
      <w:r>
        <w:t xml:space="preserve">12.4 Standing weekly disciplines (start now, never stop)</w:t>
      </w:r>
    </w:p>
    <w:p>
      <w:pPr>
        <w:pStyle w:val="ListParagraph"/>
        <w:numPr>
          <w:ilvl w:val="0"/>
          <w:numId w:val="2"/>
        </w:numPr>
      </w:pPr>
      <w:r>
        <w:t xml:space="preserve">Monday: review last week's eval-suite results. Any regression is a Monday-morning conversation, not a Friday.</w:t>
      </w:r>
    </w:p>
    <w:p>
      <w:pPr>
        <w:pStyle w:val="ListParagraph"/>
        <w:numPr>
          <w:ilvl w:val="0"/>
          <w:numId w:val="2"/>
        </w:numPr>
      </w:pPr>
      <w:r>
        <w:t xml:space="preserve">Wednesday: write one paragraph of "what I learned about female biology this week." Compounds into ontology decisions and grant-application copy.</w:t>
      </w:r>
    </w:p>
    <w:p>
      <w:pPr>
        <w:pStyle w:val="ListParagraph"/>
        <w:numPr>
          <w:ilvl w:val="0"/>
          <w:numId w:val="2"/>
        </w:numPr>
      </w:pPr>
      <w:r>
        <w:t xml:space="preserve">Friday: review the risk register. Any risk that changed probability or impact gets a one-line note. Quarterly: rewrite the register.</w:t>
      </w:r>
    </w:p>
    <w:p>
      <w:pPr>
        <w:pStyle w:val="ListParagraph"/>
        <w:numPr>
          <w:ilvl w:val="0"/>
          <w:numId w:val="2"/>
        </w:numPr>
      </w:pPr>
      <w:r>
        <w:t xml:space="preserve">Every other Friday: 30-minute call with one informal advisor. Rotate through the network.</w:t>
      </w:r>
    </w:p>
    <w:p>
      <w:pPr>
        <w:pStyle w:val="ListParagraph"/>
        <w:numPr>
          <w:ilvl w:val="0"/>
          <w:numId w:val="2"/>
        </w:numPr>
      </w:pPr>
      <w:r>
        <w:t xml:space="preserve">Monthly: financial review. Burn vs runway. Grant pipeline status. Pre-commitments coming due.</w:t>
      </w:r>
    </w:p>
    <w:p>
      <w:pPr>
        <w:pStyle w:val="ListParagraph"/>
        <w:numPr>
          <w:ilvl w:val="0"/>
          <w:numId w:val="2"/>
        </w:numPr>
      </w:pPr>
      <w:r>
        <w:t xml:space="preserve">Monthly: substrate snapshot. Immutable backup. Numbers reported (claims added, contradictions surfaced, conditions covered).</w:t>
      </w:r>
    </w:p>
    <w:p>
      <w:pPr>
        <w:pStyle w:val="Heading2"/>
      </w:pPr>
      <w:r>
        <w:t xml:space="preserve">12.5 Things to actively not do</w:t>
      </w:r>
    </w:p>
    <w:p>
      <w:pPr>
        <w:pStyle w:val="ListParagraph"/>
        <w:numPr>
          <w:ilvl w:val="0"/>
          <w:numId w:val="2"/>
        </w:numPr>
      </w:pPr>
      <w:r>
        <w:t xml:space="preserve">Do not pitch VCs in Phase 0 or Phase 1. The substrate has to exist first.</w:t>
      </w:r>
    </w:p>
    <w:p>
      <w:pPr>
        <w:pStyle w:val="ListParagraph"/>
        <w:numPr>
          <w:ilvl w:val="0"/>
          <w:numId w:val="2"/>
        </w:numPr>
      </w:pPr>
      <w:r>
        <w:t xml:space="preserve">Do not hire engineering before Phase 4 unless a grant funds it. Velocity per dollar is highest as a solo builder while the architecture is still being decided.</w:t>
      </w:r>
    </w:p>
    <w:p>
      <w:pPr>
        <w:pStyle w:val="ListParagraph"/>
        <w:numPr>
          <w:ilvl w:val="0"/>
          <w:numId w:val="2"/>
        </w:numPr>
      </w:pPr>
      <w:r>
        <w:t xml:space="preserve">Do not publish patient-facing content in Phase 0 or Phase 1. The platform is for clinician-researchers; patient framing belongs in advocacy contexts, mediated through the first audience.</w:t>
      </w:r>
    </w:p>
    <w:p>
      <w:pPr>
        <w:pStyle w:val="ListParagraph"/>
        <w:numPr>
          <w:ilvl w:val="0"/>
          <w:numId w:val="2"/>
        </w:numPr>
      </w:pPr>
      <w:r>
        <w:t xml:space="preserve">Do not chase press in Phase 0–2. Press is a Phase 3 activity tied to first peer-reviewed publication.</w:t>
      </w:r>
    </w:p>
    <w:p>
      <w:pPr>
        <w:pStyle w:val="ListParagraph"/>
        <w:numPr>
          <w:ilvl w:val="0"/>
          <w:numId w:val="2"/>
        </w:numPr>
      </w:pPr>
      <w:r>
        <w:t xml:space="preserve">Do not let the pitch language drift. §2 is canonical. If a variant feels better, update §2 first, then propagate.</w:t>
      </w:r>
    </w:p>
    <w:p>
      <w:pPr>
        <w:pStyle w:val="ListParagraph"/>
        <w:numPr>
          <w:ilvl w:val="0"/>
          <w:numId w:val="2"/>
        </w:numPr>
      </w:pPr>
      <w:r>
        <w:t xml:space="preserve">Do not add a co-founder casually. Equity once granted is hard to take back. If the right co-founder appears, take time to do it right.</w:t>
      </w:r>
    </w:p>
    <w:p>
      <w:pPr>
        <w:pStyle w:val="ListParagraph"/>
        <w:numPr>
          <w:ilvl w:val="0"/>
          <w:numId w:val="2"/>
        </w:numPr>
      </w:pPr>
      <w:r>
        <w:t xml:space="preserve">Do not accept early angel checks at terms that constrain Phase 3+ optionality (uncapped SAFEs with MFN can compound badly; understand the cap-table math first).</w:t>
      </w:r>
    </w:p>
    <w:p>
      <w:pPr>
        <w:shd w:fill="F4E4EC" w:color="auto" w:val="clear"/>
        <w:spacing w:after="200" w:before="200"/>
        <w:ind w:left="360" w:right="360"/>
      </w:pPr>
      <w:r>
        <w:rPr>
          <w:b/>
          <w:bCs/>
          <w:color w:val="7A1F3D"/>
        </w:rPr>
        <w:t xml:space="preserve">THE NEXT MOVE  </w:t>
      </w:r>
      <w:r>
        <w:t xml:space="preserve">Open Stripe Atlas today. The substrate gets built either way; the corporate vehicle is the thing that gets later or doesn't happen at all if you don't move on it now. Everything in §12.1 follows automatically once the entity exists.</w:t>
      </w:r>
    </w:p>
    <w:p>
      <w:pPr>
        <w:pStyle w:val="Heading1"/>
        <w:pageBreakBefore/>
      </w:pPr>
      <w:r>
        <w:t xml:space="preserve">Appendix A. Glossary</w:t>
      </w:r>
    </w:p>
    <w:p>
      <w:pPr>
        <w:spacing w:after="200"/>
      </w:pPr>
      <w:r>
        <w:rPr>
          <w:i/>
          <w:iCs/>
          <w:color w:val="555555"/>
          <w:sz w:val="22"/>
          <w:szCs w:val="22"/>
        </w:rPr>
        <w:t xml:space="preserve">Terms used throughout this blueprint, in alphabetical order. If a term appears in a pitch and is not in this glossary, the pitch is wrong.</w:t>
      </w:r>
    </w:p>
    <w:p>
      <w:pPr>
        <w:pStyle w:val="Heading3"/>
      </w:pPr>
      <w:r>
        <w:t xml:space="preserve">505(b)(2)</w:t>
      </w:r>
    </w:p>
    <w:p>
      <w:r>
        <w:t xml:space="preserve">A FDA new drug application pathway that allows reliance on prior findings of safety and effectiveness for the same active ingredient. The pathway repurposing programs use to bring a re-indicated drug to market without redoing original safety studies.</w:t>
      </w:r>
    </w:p>
    <w:p>
      <w:pPr>
        <w:pStyle w:val="Heading3"/>
      </w:pPr>
      <w:r>
        <w:t xml:space="preserve">§3060 exemption</w:t>
      </w:r>
    </w:p>
    <w:p>
      <w:r>
        <w:t xml:space="preserve">21st Century Cures Act provision (codified at 21 USC §360j(o)) that exempts certain clinical decision support software from FDA device regulation when four conditions are met, including that the software enables independent clinician review of the basis for any recommendation. Whel's per-claim provenance architecture is designed to satisfy condition 4.</w:t>
      </w:r>
    </w:p>
    <w:p>
      <w:pPr>
        <w:pStyle w:val="Heading3"/>
      </w:pPr>
      <w:r>
        <w:t xml:space="preserve">Apache AGE</w:t>
      </w:r>
    </w:p>
    <w:p>
      <w:r>
        <w:t xml:space="preserve">Postgres extension adding OpenCypher graph query support to a relational database. Replaces Neo4j Community in the Whel stack to avoid GPLv3 licensing risk.</w:t>
      </w:r>
    </w:p>
    <w:p>
      <w:pPr>
        <w:pStyle w:val="Heading3"/>
      </w:pPr>
      <w:r>
        <w:t xml:space="preserve">Atomic claim decomposition</w:t>
      </w:r>
    </w:p>
    <w:p>
      <w:r>
        <w:t xml:space="preserve">Breaking a sentence into the smallest individually verifiable factual units. MedScore performs this at approximately 3x the rate of FActScore on biomedical text.</w:t>
      </w:r>
    </w:p>
    <w:p>
      <w:pPr>
        <w:pStyle w:val="Heading3"/>
      </w:pPr>
      <w:r>
        <w:t xml:space="preserve">Citations API</w:t>
      </w:r>
    </w:p>
    <w:p>
      <w:r>
        <w:t xml:space="preserve">Anthropic API feature that guarantees per-claim citation in generated text. Every sentence in the output is tied to a specific source chunk in the input.</w:t>
      </w:r>
    </w:p>
    <w:p>
      <w:pPr>
        <w:pStyle w:val="Heading3"/>
      </w:pPr>
      <w:r>
        <w:t xml:space="preserve">Contradiction surfacing</w:t>
      </w:r>
    </w:p>
    <w:p>
      <w:r>
        <w:t xml:space="preserve">Architectural commitment to expose disagreement between sources rather than average it into a consensus statement. First-class table in the substrate; UI element on every condition page.</w:t>
      </w:r>
    </w:p>
    <w:p>
      <w:pPr>
        <w:pStyle w:val="Heading3"/>
      </w:pPr>
      <w:r>
        <w:t xml:space="preserve">CTKG</w:t>
      </w:r>
    </w:p>
    <w:p>
      <w:r>
        <w:t xml:space="preserve">Clinical Trials Knowledge Graph. Open-source knowledge graph derived from ClinicalTrials.gov data. CC-BY-licensed. Used as a seed augmentation alongside PrimeKG.</w:t>
      </w:r>
    </w:p>
    <w:p>
      <w:pPr>
        <w:pStyle w:val="Heading3"/>
      </w:pPr>
      <w:r>
        <w:t xml:space="preserve">Cyclical PK</w:t>
      </w:r>
    </w:p>
    <w:p>
      <w:r>
        <w:t xml:space="preserve">Pharmacokinetic modeling that accounts for hormonal-cycle state (luteal, follicular, perimenstrual) as a covariate. Routinely missing from published PK studies and a structural data gap that Whel's ontology extension addresses.</w:t>
      </w:r>
    </w:p>
    <w:p>
      <w:pPr>
        <w:pStyle w:val="Heading3"/>
      </w:pPr>
      <w:r>
        <w:t xml:space="preserve">HHEM-2.1</w:t>
      </w:r>
    </w:p>
    <w:p>
      <w:r>
        <w:t xml:space="preserve">Vectara's open-source hallucination evaluation model (Apache 2.0). Second-stage filter on synthesis output; verifies that cited content actually supports the claim.</w:t>
      </w:r>
    </w:p>
    <w:p>
      <w:pPr>
        <w:pStyle w:val="Heading3"/>
      </w:pPr>
      <w:r>
        <w:t xml:space="preserve">Instrumented synthesis</w:t>
      </w:r>
    </w:p>
    <w:p>
      <w:r>
        <w:t xml:space="preserve">Multi-source aggregation that records which underlying claims fed in, what aggregation rule was used, and exposes the trace at the UI level. The opposite of unmarked summarization.</w:t>
      </w:r>
    </w:p>
    <w:p>
      <w:pPr>
        <w:pStyle w:val="Heading3"/>
      </w:pPr>
      <w:r>
        <w:t xml:space="preserve">MedCPT</w:t>
      </w:r>
    </w:p>
    <w:p>
      <w:r>
        <w:t xml:space="preserve">NCBI's open biomedical embedding model trained on PubMed query–article click logs. Public domain. Primary embedding model in the Whel retrieval layer.</w:t>
      </w:r>
    </w:p>
    <w:p>
      <w:pPr>
        <w:pStyle w:val="Heading3"/>
      </w:pPr>
      <w:r>
        <w:t xml:space="preserve">MedHELM</w:t>
      </w:r>
    </w:p>
    <w:p>
      <w:r>
        <w:t xml:space="preserve">Holistic evaluation benchmark for biomedical AI systems (Nature Medicine, May 2025). Apache 2.0. Run as Phase 1 Week 8 baseline.</w:t>
      </w:r>
    </w:p>
    <w:p>
      <w:pPr>
        <w:pStyle w:val="Heading3"/>
      </w:pPr>
      <w:r>
        <w:t xml:space="preserve">MedRAGChecker</w:t>
      </w:r>
    </w:p>
    <w:p>
      <w:r>
        <w:t xml:space="preserve">SOTA evaluation framework for biomedical retrieval-augmented generation (2026). MIT-licensed. Run continuously against substrate changes.</w:t>
      </w:r>
    </w:p>
    <w:p>
      <w:pPr>
        <w:pStyle w:val="Heading3"/>
      </w:pPr>
      <w:r>
        <w:t xml:space="preserve">MedScore</w:t>
      </w:r>
    </w:p>
    <w:p>
      <w:r>
        <w:t xml:space="preserve">Atomic claim decomposition tool for biomedical text. Apache 2.0 (May 2025). Decomposes at ~3x rate of FActScore.</w:t>
      </w:r>
    </w:p>
    <w:p>
      <w:pPr>
        <w:pStyle w:val="Heading3"/>
      </w:pPr>
      <w:r>
        <w:t xml:space="preserve">MONDO</w:t>
      </w:r>
    </w:p>
    <w:p>
      <w:r>
        <w:t xml:space="preserve">Monarch Disease Ontology. CC-BY 4.0. Primary disease grounding ontology in the Whel substrate.</w:t>
      </w:r>
    </w:p>
    <w:p>
      <w:pPr>
        <w:pStyle w:val="Heading3"/>
      </w:pPr>
      <w:r>
        <w:t xml:space="preserve">OntoGPT</w:t>
      </w:r>
    </w:p>
    <w:p>
      <w:r>
        <w:t xml:space="preserve">Ontology-grounded LLM extraction tool from the Monarch Initiative. BSD-3-licensed. Grounds extracted entities to canonical ontology terms.</w:t>
      </w:r>
    </w:p>
    <w:p>
      <w:pPr>
        <w:pStyle w:val="Heading3"/>
      </w:pPr>
      <w:r>
        <w:t xml:space="preserve">PaperQA2</w:t>
      </w:r>
    </w:p>
    <w:p>
      <w:r>
        <w:t xml:space="preserve">FutureHouse's open-source provenance-preserving RAG implementation for scientific literature. Apache 2.0. Source of approximately 30–40% of code reuse in the Whel retrieval layer.</w:t>
      </w:r>
    </w:p>
    <w:p>
      <w:pPr>
        <w:pStyle w:val="Heading3"/>
      </w:pPr>
      <w:r>
        <w:t xml:space="preserve">Per-claim provenance</w:t>
      </w:r>
    </w:p>
    <w:p>
      <w:r>
        <w:t xml:space="preserve">Architectural commitment to anchor every claim in the substrate (and every claim in rendered output) to a specific source span, not a citation of the document containing the source span. The unit of provenance is the claim, not the source.</w:t>
      </w:r>
    </w:p>
    <w:p>
      <w:pPr>
        <w:pStyle w:val="Heading3"/>
      </w:pPr>
      <w:r>
        <w:t xml:space="preserve">PMDD</w:t>
      </w:r>
    </w:p>
    <w:p>
      <w:r>
        <w:t xml:space="preserve">Premenstrual Dysphoric Disorder. The flagship condition in Whel's Phase 1 substrate build. Affects approximately 5–8% of menstruating individuals; contested in the literature; under-served by approved therapies; high-engagement patient community.</w:t>
      </w:r>
    </w:p>
    <w:p>
      <w:pPr>
        <w:pStyle w:val="Heading3"/>
      </w:pPr>
      <w:r>
        <w:t xml:space="preserve">PrimeKG</w:t>
      </w:r>
    </w:p>
    <w:p>
      <w:r>
        <w:t xml:space="preserve">Harvard biomedical knowledge graph from the Zitnik lab. MIT-licensed. Approximately 4M relationships across 10 sources. Seed import on Day 1 of Phase 1.</w:t>
      </w:r>
    </w:p>
    <w:p>
      <w:pPr>
        <w:pStyle w:val="Heading3"/>
      </w:pPr>
      <w:r>
        <w:t xml:space="preserve">PubMedBERT</w:t>
      </w:r>
    </w:p>
    <w:p>
      <w:r>
        <w:t xml:space="preserve">Microsoft's domain-specialized BERT model trained on PubMed. MIT-licensed. Used for NLI verification of claim-source entailment in the Whel pipeline.</w:t>
      </w:r>
    </w:p>
    <w:p>
      <w:pPr>
        <w:pStyle w:val="Heading3"/>
      </w:pPr>
      <w:r>
        <w:t xml:space="preserve">QSBS</w:t>
      </w:r>
    </w:p>
    <w:p>
      <w:r>
        <w:t xml:space="preserve">Qualified Small Business Stock (IRC Section 1202). Allows founders and early shareholders of a qualifying C-Corporation to exclude capital gains from federal tax on sale. For stock issued after July 4, 2025 (OBBBA): up to $15M or 10x basis, with tiered exclusion of 50% / 75% / 100% at 3 / 4 / 5 years of holding and a $75M gross-asset ceiling. Stock issued earlier follows the prior rules ($10M, five-year cliff). See §4.2.</w:t>
      </w:r>
    </w:p>
    <w:p>
      <w:pPr>
        <w:pStyle w:val="Heading3"/>
      </w:pPr>
      <w:r>
        <w:t xml:space="preserve">Source span</w:t>
      </w:r>
    </w:p>
    <w:p>
      <w:r>
        <w:t xml:space="preserve">A retrievable chunk of text from a source document, with offset, hash, and document metadata. First-class entity in the Whel substrate. Every claim references one or more source spans.</w:t>
      </w:r>
    </w:p>
    <w:p>
      <w:pPr>
        <w:pStyle w:val="Heading3"/>
      </w:pPr>
      <w:r>
        <w:t xml:space="preserve">Substrate</w:t>
      </w:r>
    </w:p>
    <w:p>
      <w:r>
        <w:t xml:space="preserve">The graph-plus-relational data layer that holds entities, source spans, claims, relations, syntheses, contradictions, and ontology extensions. The substrate is Whel's core asset, not the LLM and not the app.</w:t>
      </w:r>
    </w:p>
    <w:p>
      <w:pPr>
        <w:pStyle w:val="Heading3"/>
      </w:pPr>
      <w:r>
        <w:t xml:space="preserve">Synthesis (instrumented)</w:t>
      </w:r>
    </w:p>
    <w:p>
      <w:r>
        <w:t xml:space="preserve">A multi-source aggregation recorded as a first-class entity in the substrate, with explicit references to the underlying claims and an explicit aggregation rule. Marked visually in the UI so the user knows a sentence is a synthesis vs an extracted quote.</w:t>
      </w:r>
    </w:p>
    <w:p>
      <w:pPr>
        <w:pStyle w:val="Heading1"/>
        <w:pageBreakBefore/>
      </w:pPr>
      <w:r>
        <w:t xml:space="preserve">Appendix B. Reference URLs</w:t>
      </w:r>
    </w:p>
    <w:p>
      <w:pPr>
        <w:spacing w:after="200"/>
      </w:pPr>
      <w:r>
        <w:rPr>
          <w:i/>
          <w:iCs/>
          <w:color w:val="555555"/>
          <w:sz w:val="22"/>
          <w:szCs w:val="22"/>
        </w:rPr>
        <w:t xml:space="preserve">Primary references for the open-source tools, data sources, and regulatory pathways cited in this blueprint.</w:t>
      </w:r>
    </w:p>
    <w:p>
      <w:pPr>
        <w:pStyle w:val="Heading2"/>
      </w:pPr>
      <w:r>
        <w:t xml:space="preserve">Open-source tools</w:t>
      </w:r>
    </w:p>
    <w:p>
      <w:pPr>
        <w:pStyle w:val="ListParagraph"/>
        <w:numPr>
          <w:ilvl w:val="0"/>
          <w:numId w:val="2"/>
        </w:numPr>
      </w:pPr>
      <w:r>
        <w:t xml:space="preserve">PaperQA2 (FutureHouse): https://github.com/Future-House/paper-qa</w:t>
      </w:r>
    </w:p>
    <w:p>
      <w:pPr>
        <w:pStyle w:val="ListParagraph"/>
        <w:numPr>
          <w:ilvl w:val="0"/>
          <w:numId w:val="2"/>
        </w:numPr>
      </w:pPr>
      <w:r>
        <w:t xml:space="preserve">OntoGPT (Monarch Initiative): https://github.com/monarch-initiative/ontogpt</w:t>
      </w:r>
    </w:p>
    <w:p>
      <w:pPr>
        <w:pStyle w:val="ListParagraph"/>
        <w:numPr>
          <w:ilvl w:val="0"/>
          <w:numId w:val="2"/>
        </w:numPr>
      </w:pPr>
      <w:r>
        <w:t xml:space="preserve">MedScore: https://github.com/microsoft/MedScore (illustrative — verify exact repo URL)</w:t>
      </w:r>
    </w:p>
    <w:p>
      <w:pPr>
        <w:pStyle w:val="ListParagraph"/>
        <w:numPr>
          <w:ilvl w:val="0"/>
          <w:numId w:val="2"/>
        </w:numPr>
      </w:pPr>
      <w:r>
        <w:t xml:space="preserve">MedCPT (NCBI): https://github.com/ncbi/MedCPT</w:t>
      </w:r>
    </w:p>
    <w:p>
      <w:pPr>
        <w:pStyle w:val="ListParagraph"/>
        <w:numPr>
          <w:ilvl w:val="0"/>
          <w:numId w:val="2"/>
        </w:numPr>
      </w:pPr>
      <w:r>
        <w:t xml:space="preserve">PubMedBERT (Microsoft): https://huggingface.co/microsoft/BiomedNLP-PubMedBERT-base-uncased-abstract-fulltext</w:t>
      </w:r>
    </w:p>
    <w:p>
      <w:pPr>
        <w:pStyle w:val="ListParagraph"/>
        <w:numPr>
          <w:ilvl w:val="0"/>
          <w:numId w:val="2"/>
        </w:numPr>
      </w:pPr>
      <w:r>
        <w:t xml:space="preserve">HHEM-2.1 (Vectara): https://huggingface.co/vectara/hallucination_evaluation_model</w:t>
      </w:r>
    </w:p>
    <w:p>
      <w:pPr>
        <w:pStyle w:val="ListParagraph"/>
        <w:numPr>
          <w:ilvl w:val="0"/>
          <w:numId w:val="2"/>
        </w:numPr>
      </w:pPr>
      <w:r>
        <w:t xml:space="preserve">Apache AGE: https://age.apache.org</w:t>
      </w:r>
    </w:p>
    <w:p>
      <w:pPr>
        <w:pStyle w:val="ListParagraph"/>
        <w:numPr>
          <w:ilvl w:val="0"/>
          <w:numId w:val="2"/>
        </w:numPr>
      </w:pPr>
      <w:r>
        <w:t xml:space="preserve">PrimeKG: https://github.com/mims-harvard/PrimeKG</w:t>
      </w:r>
    </w:p>
    <w:p>
      <w:pPr>
        <w:pStyle w:val="ListParagraph"/>
        <w:numPr>
          <w:ilvl w:val="0"/>
          <w:numId w:val="2"/>
        </w:numPr>
      </w:pPr>
      <w:r>
        <w:t xml:space="preserve">CTKG: https://github.com/ninglab/CTKG</w:t>
      </w:r>
    </w:p>
    <w:p>
      <w:pPr>
        <w:pStyle w:val="ListParagraph"/>
        <w:numPr>
          <w:ilvl w:val="0"/>
          <w:numId w:val="2"/>
        </w:numPr>
      </w:pPr>
      <w:r>
        <w:t xml:space="preserve">MedHELM: https://crfm.stanford.edu/helm/medhelm</w:t>
      </w:r>
    </w:p>
    <w:p>
      <w:pPr>
        <w:pStyle w:val="ListParagraph"/>
        <w:numPr>
          <w:ilvl w:val="0"/>
          <w:numId w:val="2"/>
        </w:numPr>
      </w:pPr>
      <w:r>
        <w:t xml:space="preserve">MedRAGChecker: https://github.com/microsoft/MedRAGChecker (illustrative)</w:t>
      </w:r>
    </w:p>
    <w:p>
      <w:pPr>
        <w:pStyle w:val="Heading2"/>
      </w:pPr>
      <w:r>
        <w:t xml:space="preserve">Data sources</w:t>
      </w:r>
    </w:p>
    <w:p>
      <w:pPr>
        <w:pStyle w:val="ListParagraph"/>
        <w:numPr>
          <w:ilvl w:val="0"/>
          <w:numId w:val="2"/>
        </w:numPr>
      </w:pPr>
      <w:r>
        <w:t xml:space="preserve">PubMed E-utilities: https://www.ncbi.nlm.nih.gov/books/NBK25497/</w:t>
      </w:r>
    </w:p>
    <w:p>
      <w:pPr>
        <w:pStyle w:val="ListParagraph"/>
        <w:numPr>
          <w:ilvl w:val="0"/>
          <w:numId w:val="2"/>
        </w:numPr>
      </w:pPr>
      <w:r>
        <w:t xml:space="preserve">ClinicalTrials.gov API v2: https://clinicaltrials.gov/data-api/api</w:t>
      </w:r>
    </w:p>
    <w:p>
      <w:pPr>
        <w:pStyle w:val="ListParagraph"/>
        <w:numPr>
          <w:ilvl w:val="0"/>
          <w:numId w:val="2"/>
        </w:numPr>
      </w:pPr>
      <w:r>
        <w:t xml:space="preserve">openFDA (FAERS): https://open.fda.gov/data/faers/</w:t>
      </w:r>
    </w:p>
    <w:p>
      <w:pPr>
        <w:pStyle w:val="ListParagraph"/>
        <w:numPr>
          <w:ilvl w:val="0"/>
          <w:numId w:val="2"/>
        </w:numPr>
      </w:pPr>
      <w:r>
        <w:t xml:space="preserve">EudraVigilance: https://www.adrreports.eu/en/</w:t>
      </w:r>
    </w:p>
    <w:p>
      <w:pPr>
        <w:pStyle w:val="ListParagraph"/>
        <w:numPr>
          <w:ilvl w:val="0"/>
          <w:numId w:val="2"/>
        </w:numPr>
      </w:pPr>
      <w:r>
        <w:t xml:space="preserve">DrugBank Open Data: https://go.drugbank.com/releases/latest</w:t>
      </w:r>
    </w:p>
    <w:p>
      <w:pPr>
        <w:pStyle w:val="ListParagraph"/>
        <w:numPr>
          <w:ilvl w:val="0"/>
          <w:numId w:val="2"/>
        </w:numPr>
      </w:pPr>
      <w:r>
        <w:t xml:space="preserve">Open Targets Platform: https://platform.opentargets.org</w:t>
      </w:r>
    </w:p>
    <w:p>
      <w:pPr>
        <w:pStyle w:val="ListParagraph"/>
        <w:numPr>
          <w:ilvl w:val="0"/>
          <w:numId w:val="2"/>
        </w:numPr>
      </w:pPr>
      <w:r>
        <w:t xml:space="preserve">ChEMBL: https://www.ebi.ac.uk/chembl/</w:t>
      </w:r>
    </w:p>
    <w:p>
      <w:pPr>
        <w:pStyle w:val="ListParagraph"/>
        <w:numPr>
          <w:ilvl w:val="0"/>
          <w:numId w:val="2"/>
        </w:numPr>
      </w:pPr>
      <w:r>
        <w:t xml:space="preserve">MeSH: https://www.nlm.nih.gov/mesh/</w:t>
      </w:r>
    </w:p>
    <w:p>
      <w:pPr>
        <w:pStyle w:val="ListParagraph"/>
        <w:numPr>
          <w:ilvl w:val="0"/>
          <w:numId w:val="2"/>
        </w:numPr>
      </w:pPr>
      <w:r>
        <w:t xml:space="preserve">UMLS: https://www.nlm.nih.gov/research/umls/</w:t>
      </w:r>
    </w:p>
    <w:p>
      <w:pPr>
        <w:pStyle w:val="ListParagraph"/>
        <w:numPr>
          <w:ilvl w:val="0"/>
          <w:numId w:val="2"/>
        </w:numPr>
      </w:pPr>
      <w:r>
        <w:t xml:space="preserve">MONDO: https://mondo.monarchinitiative.org</w:t>
      </w:r>
    </w:p>
    <w:p>
      <w:pPr>
        <w:pStyle w:val="ListParagraph"/>
        <w:numPr>
          <w:ilvl w:val="0"/>
          <w:numId w:val="2"/>
        </w:numPr>
      </w:pPr>
      <w:r>
        <w:t xml:space="preserve">HPO: https://hpo.jax.org</w:t>
      </w:r>
    </w:p>
    <w:p>
      <w:pPr>
        <w:pStyle w:val="Heading2"/>
      </w:pPr>
      <w:r>
        <w:t xml:space="preserve">Regulatory and corporate</w:t>
      </w:r>
    </w:p>
    <w:p>
      <w:pPr>
        <w:pStyle w:val="ListParagraph"/>
        <w:numPr>
          <w:ilvl w:val="0"/>
          <w:numId w:val="2"/>
        </w:numPr>
      </w:pPr>
      <w:r>
        <w:t xml:space="preserve">21st Century Cures Act §3060: https://www.fda.gov/medical-devices/software-medical-device-samd/clinical-decision-support-software</w:t>
      </w:r>
    </w:p>
    <w:p>
      <w:pPr>
        <w:pStyle w:val="ListParagraph"/>
        <w:numPr>
          <w:ilvl w:val="0"/>
          <w:numId w:val="2"/>
        </w:numPr>
      </w:pPr>
      <w:r>
        <w:t xml:space="preserve">FDA 505(b)(2): https://www.fda.gov/drugs/types-applications/abbreviated-new-drug-application-anda</w:t>
      </w:r>
    </w:p>
    <w:p>
      <w:pPr>
        <w:pStyle w:val="ListParagraph"/>
        <w:numPr>
          <w:ilvl w:val="0"/>
          <w:numId w:val="2"/>
        </w:numPr>
      </w:pPr>
      <w:r>
        <w:t xml:space="preserve">Stripe Atlas: https://stripe.com/atlas</w:t>
      </w:r>
    </w:p>
    <w:p>
      <w:pPr>
        <w:pStyle w:val="ListParagraph"/>
        <w:numPr>
          <w:ilvl w:val="0"/>
          <w:numId w:val="2"/>
        </w:numPr>
      </w:pPr>
      <w:r>
        <w:t xml:space="preserve">83(b) election guidance (IRS): https://www.irs.gov/forms-pubs/about-form-83-b</w:t>
      </w:r>
    </w:p>
    <w:p>
      <w:pPr>
        <w:pStyle w:val="ListParagraph"/>
        <w:numPr>
          <w:ilvl w:val="0"/>
          <w:numId w:val="2"/>
        </w:numPr>
      </w:pPr>
      <w:r>
        <w:t xml:space="preserve">Section 1202 QSBS: https://www.irs.gov/pub/irs-drop/n-22-65.pdf</w:t>
      </w:r>
    </w:p>
    <w:p>
      <w:pPr>
        <w:pStyle w:val="ListParagraph"/>
        <w:numPr>
          <w:ilvl w:val="0"/>
          <w:numId w:val="2"/>
        </w:numPr>
      </w:pPr>
      <w:r>
        <w:t xml:space="preserve">ARPA-H Sprint for Women's Health: https://arpa-h.gov</w:t>
      </w:r>
    </w:p>
    <w:p>
      <w:pPr>
        <w:pStyle w:val="ListParagraph"/>
        <w:numPr>
          <w:ilvl w:val="0"/>
          <w:numId w:val="2"/>
        </w:numPr>
      </w:pPr>
      <w:r>
        <w:t xml:space="preserve">NIH SBIR: https://sbir.nih.gov</w:t>
      </w:r>
    </w:p>
    <w:p>
      <w:pPr>
        <w:pStyle w:val="Heading1"/>
        <w:pageBreakBefore/>
      </w:pPr>
      <w:r>
        <w:t xml:space="preserve">Appendix C. Decision Log</w:t>
      </w:r>
    </w:p>
    <w:p>
      <w:pPr>
        <w:spacing w:after="200"/>
      </w:pPr>
      <w:r>
        <w:rPr>
          <w:i/>
          <w:iCs/>
          <w:color w:val="555555"/>
          <w:sz w:val="22"/>
          <w:szCs w:val="22"/>
        </w:rPr>
        <w:t xml:space="preserve">Major decisions made during the reframe research, with reasoning preserved so future decisions can build on the same logic instead of relitigating.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shd w:fill="7A1F3D" w:color="auto" w:val="clear"/>
          </w:tcPr>
          <w:p>
            <w:r>
              <w:rPr>
                <w:b/>
                <w:bCs/>
                <w:color w:val="FFFFFF"/>
                <w:sz w:val="20"/>
                <w:szCs w:val="20"/>
              </w:rPr>
              <w:t xml:space="preserve">Date</w:t>
            </w:r>
          </w:p>
        </w:tc>
        <w:tc>
          <w:tcPr>
            <w:tcW w:type="dxa" w:w="3000"/>
            <w:shd w:fill="7A1F3D" w:color="auto" w:val="clear"/>
          </w:tcPr>
          <w:p>
            <w:r>
              <w:rPr>
                <w:b/>
                <w:bCs/>
                <w:color w:val="FFFFFF"/>
                <w:sz w:val="20"/>
                <w:szCs w:val="20"/>
              </w:rPr>
              <w:t xml:space="preserve">Decision</w:t>
            </w:r>
          </w:p>
        </w:tc>
        <w:tc>
          <w:tcPr>
            <w:tcW w:type="dxa" w:w="5460"/>
            <w:shd w:fill="7A1F3D" w:color="auto" w:val="clear"/>
          </w:tcPr>
          <w:p>
            <w:r>
              <w:rPr>
                <w:b/>
                <w:bCs/>
                <w:color w:val="FFFFFF"/>
                <w:sz w:val="20"/>
                <w:szCs w:val="20"/>
              </w:rPr>
              <w:t xml:space="preserve">Reasoning preserved</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Reframe Whel from personal audit to women's-health-specific platform</w:t>
            </w:r>
          </w:p>
        </w:tc>
        <w:tc>
          <w:tcPr>
            <w:tcW w:type="dxa" w:w="5460"/>
            <w:shd w:fill="F8F8F8" w:color="auto" w:val="clear"/>
          </w:tcPr>
          <w:p>
            <w:r>
              <w:rPr>
                <w:b w:val="false"/>
                <w:bCs w:val="false"/>
                <w:color w:val="222222"/>
                <w:sz w:val="20"/>
                <w:szCs w:val="20"/>
              </w:rPr>
              <w:t xml:space="preserve">Pan-disease repurposing platforms treat female biology as a coverage gap; the substrate to fill the gap is a category-defining asset; the existing audit work is the v0 of the substrate.</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Adopt instrumented synthesis with provenance, not source isolation</w:t>
            </w:r>
          </w:p>
        </w:tc>
        <w:tc>
          <w:tcPr>
            <w:tcW w:type="dxa" w:w="5460"/>
            <w:shd w:fill="FFFFFF" w:color="auto" w:val="clear"/>
          </w:tcPr>
          <w:p>
            <w:r>
              <w:rPr>
                <w:b w:val="false"/>
                <w:bCs w:val="false"/>
                <w:color w:val="222222"/>
                <w:sz w:val="20"/>
                <w:szCs w:val="20"/>
              </w:rPr>
              <w:t xml:space="preserve">Field consensus (PaperQA2, Medical Graph RAG, MedRAGChecker patterns) favors instrumented synthesis with explicit provenance and contradiction surfacing over strict source isolation.</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Fresh repo with strategic salvage, not in-place refactor</w:t>
            </w:r>
          </w:p>
        </w:tc>
        <w:tc>
          <w:tcPr>
            <w:tcW w:type="dxa" w:w="5460"/>
            <w:shd w:fill="F8F8F8" w:color="auto" w:val="clear"/>
          </w:tcPr>
          <w:p>
            <w:r>
              <w:rPr>
                <w:b w:val="false"/>
                <w:bCs w:val="false"/>
                <w:color w:val="222222"/>
                <w:sz w:val="20"/>
                <w:szCs w:val="20"/>
              </w:rPr>
              <w:t xml:space="preserve">Data model is fundamentally different (Claims/Source Spans vs Signals/Sources); app layer assumes the wrong primitive; scoring system is wrong. In-place refactor is 6+ months; greenfield is 9–11 weeks with legacy queryable.</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Delaware C-Corp via Stripe Atlas</w:t>
            </w:r>
          </w:p>
        </w:tc>
        <w:tc>
          <w:tcPr>
            <w:tcW w:type="dxa" w:w="5460"/>
            <w:shd w:fill="FFFFFF" w:color="auto" w:val="clear"/>
          </w:tcPr>
          <w:p>
            <w:r>
              <w:rPr>
                <w:b w:val="false"/>
                <w:bCs w:val="false"/>
                <w:color w:val="222222"/>
                <w:sz w:val="20"/>
                <w:szCs w:val="20"/>
              </w:rPr>
              <w:t xml:space="preserve">Only entity type institutional investors fund at scale; LLC complications block QSBS treatment; Stripe Atlas runs full formation at $500.</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Postgres + Apache AGE not Neo4j Community</w:t>
            </w:r>
          </w:p>
        </w:tc>
        <w:tc>
          <w:tcPr>
            <w:tcW w:type="dxa" w:w="5460"/>
            <w:shd w:fill="F8F8F8" w:color="auto" w:val="clear"/>
          </w:tcPr>
          <w:p>
            <w:r>
              <w:rPr>
                <w:b w:val="false"/>
                <w:bCs w:val="false"/>
                <w:color w:val="222222"/>
                <w:sz w:val="20"/>
                <w:szCs w:val="20"/>
              </w:rPr>
              <w:t xml:space="preserve">Neo4j Community is GPLv3 and would force substrate open-source. Apache AGE is in-Postgres and Apache 2.0.</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PMDD as flagship condition</w:t>
            </w:r>
          </w:p>
        </w:tc>
        <w:tc>
          <w:tcPr>
            <w:tcW w:type="dxa" w:w="5460"/>
            <w:shd w:fill="FFFFFF" w:color="auto" w:val="clear"/>
          </w:tcPr>
          <w:p>
            <w:r>
              <w:rPr>
                <w:b w:val="false"/>
                <w:bCs w:val="false"/>
                <w:color w:val="222222"/>
                <w:sz w:val="20"/>
                <w:szCs w:val="20"/>
              </w:rPr>
              <w:t xml:space="preserve">Densest repurposing signal; most engaged patient community; structural Clue/Flo partnership alignment; ontology extension yields high value early.</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PaperQA2 as component, not spine to fork</w:t>
            </w:r>
          </w:p>
        </w:tc>
        <w:tc>
          <w:tcPr>
            <w:tcW w:type="dxa" w:w="5460"/>
            <w:shd w:fill="F8F8F8" w:color="auto" w:val="clear"/>
          </w:tcPr>
          <w:p>
            <w:r>
              <w:rPr>
                <w:b w:val="false"/>
                <w:bCs w:val="false"/>
                <w:color w:val="222222"/>
                <w:sz w:val="20"/>
                <w:szCs w:val="20"/>
              </w:rPr>
              <w:t xml:space="preserve">Adopt the retrieval and citation patterns (30–40% reuse), replace synthesis layer with contradiction-surfacing tuned implementation.</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Substrate as moat, not the LLM</w:t>
            </w:r>
          </w:p>
        </w:tc>
        <w:tc>
          <w:tcPr>
            <w:tcW w:type="dxa" w:w="5460"/>
            <w:shd w:fill="FFFFFF" w:color="auto" w:val="clear"/>
          </w:tcPr>
          <w:p>
            <w:r>
              <w:rPr>
                <w:b w:val="false"/>
                <w:bCs w:val="false"/>
                <w:color w:val="222222"/>
                <w:sz w:val="20"/>
                <w:szCs w:val="20"/>
              </w:rPr>
              <w:t xml:space="preserve">The LLM is commodity; the female-biology ontology extension, the cyclical PK modeling, the tuned extraction, and the corpus of audited claims are the compounding asset.</w:t>
            </w:r>
          </w:p>
        </w:tc>
      </w:tr>
      <w:tr>
        <w:trPr>
          <w:tblHeader w:val="false"/>
        </w:trPr>
        <w:tc>
          <w:tcPr>
            <w:tcW w:type="dxa" w:w="900"/>
            <w:shd w:fill="F8F8F8" w:color="auto" w:val="clear"/>
          </w:tcPr>
          <w:p>
            <w:r>
              <w:rPr>
                <w:b w:val="false"/>
                <w:bCs w:val="false"/>
                <w:color w:val="222222"/>
                <w:sz w:val="20"/>
                <w:szCs w:val="20"/>
              </w:rPr>
              <w:t xml:space="preserve">Jun 2026</w:t>
            </w:r>
          </w:p>
        </w:tc>
        <w:tc>
          <w:tcPr>
            <w:tcW w:type="dxa" w:w="3000"/>
            <w:shd w:fill="F8F8F8" w:color="auto" w:val="clear"/>
          </w:tcPr>
          <w:p>
            <w:r>
              <w:rPr>
                <w:b w:val="false"/>
                <w:bCs w:val="false"/>
                <w:color w:val="222222"/>
                <w:sz w:val="20"/>
                <w:szCs w:val="20"/>
              </w:rPr>
              <w:t xml:space="preserve">Informal expert review during build, not formal advisors before substrate exists</w:t>
            </w:r>
          </w:p>
        </w:tc>
        <w:tc>
          <w:tcPr>
            <w:tcW w:type="dxa" w:w="5460"/>
            <w:shd w:fill="F8F8F8" w:color="auto" w:val="clear"/>
          </w:tcPr>
          <w:p>
            <w:r>
              <w:rPr>
                <w:b w:val="false"/>
                <w:bCs w:val="false"/>
                <w:color w:val="222222"/>
                <w:sz w:val="20"/>
                <w:szCs w:val="20"/>
              </w:rPr>
              <w:t xml:space="preserve">Formal advisors before substrate is harder to recruit and lower-leverage. Informal review during build is high-signal, low-friction, and converts to formal advisor relationships naturally.</w:t>
            </w:r>
          </w:p>
        </w:tc>
      </w:tr>
      <w:tr>
        <w:trPr>
          <w:tblHeader w:val="false"/>
        </w:trPr>
        <w:tc>
          <w:tcPr>
            <w:tcW w:type="dxa" w:w="900"/>
            <w:shd w:fill="FFFFFF" w:color="auto" w:val="clear"/>
          </w:tcPr>
          <w:p>
            <w:r>
              <w:rPr>
                <w:b w:val="false"/>
                <w:bCs w:val="false"/>
                <w:color w:val="222222"/>
                <w:sz w:val="20"/>
                <w:szCs w:val="20"/>
              </w:rPr>
              <w:t xml:space="preserve">Jun 2026</w:t>
            </w:r>
          </w:p>
        </w:tc>
        <w:tc>
          <w:tcPr>
            <w:tcW w:type="dxa" w:w="3000"/>
            <w:shd w:fill="FFFFFF" w:color="auto" w:val="clear"/>
          </w:tcPr>
          <w:p>
            <w:r>
              <w:rPr>
                <w:b w:val="false"/>
                <w:bCs w:val="false"/>
                <w:color w:val="222222"/>
                <w:sz w:val="20"/>
                <w:szCs w:val="20"/>
              </w:rPr>
              <w:t xml:space="preserve">Position under §3060 research-support exemption, not as clinical decision support</w:t>
            </w:r>
          </w:p>
        </w:tc>
        <w:tc>
          <w:tcPr>
            <w:tcW w:type="dxa" w:w="5460"/>
            <w:shd w:fill="FFFFFF" w:color="auto" w:val="clear"/>
          </w:tcPr>
          <w:p>
            <w:r>
              <w:rPr>
                <w:b w:val="false"/>
                <w:bCs w:val="false"/>
                <w:color w:val="222222"/>
                <w:sz w:val="20"/>
                <w:szCs w:val="20"/>
              </w:rPr>
              <w:t xml:space="preserve">Architectural per-claim provenance satisfies §3060 condition 4; staying under exemption avoids FDA device regulation entirely.</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Drop Apache AGE; v1 on plain Postgres + recursive CTEs</w:t>
            </w:r>
          </w:p>
        </w:tc>
        <w:tc>
          <w:tcPr>
            <w:tcW w:type="dxa" w:w="5460"/>
            <w:shd w:fill="FFFFFF" w:color="auto" w:val="clear"/>
          </w:tcPr>
          <w:p>
            <w:r>
              <w:rPr>
                <w:b w:val="false"/>
                <w:bCs w:val="false"/>
                <w:color w:val="222222"/>
                <w:sz w:val="20"/>
                <w:szCs w:val="20"/>
              </w:rPr>
              <w:t xml:space="preserve">AGE cannot run on managed Supabase (non-trusted C extension, not in the supported set), so the Week 2 validation would have failed. A graph engine is also unnecessary at ~10K-50K claims: a relations table with recursive CTEs covers every v1 traversal on a single Supabase instance, and removes an entire risk-register row. Add a graph engine only when a query pattern demands it (revisit at 1M+ edges).</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Update QSBS / Section 1202 figures for OBBBA (stock issued after July 4, 2025)</w:t>
            </w:r>
          </w:p>
        </w:tc>
        <w:tc>
          <w:tcPr>
            <w:tcW w:type="dxa" w:w="5460"/>
            <w:shd w:fill="FFFFFF" w:color="auto" w:val="clear"/>
          </w:tcPr>
          <w:p>
            <w:r>
              <w:rPr>
                <w:b w:val="false"/>
                <w:bCs w:val="false"/>
                <w:color w:val="222222"/>
                <w:sz w:val="20"/>
                <w:szCs w:val="20"/>
              </w:rPr>
              <w:t xml:space="preserve">The 2025 One Big Beautiful Bill Act raised the per-issuer cap from $10M to $15M, the gross-asset ceiling from $50M to $75M, and replaced the five-year cliff with tiered exclusion (50% / 75% / 100% at 3 / 4 / 5 years). Strengthens the incorporate-now argument because partial exclusion now begins at year three. Confirm with Atlas docs or counsel before relying on it.</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Add explicit one-time extraction-backfill cost line; move site to Vercel Pro</w:t>
            </w:r>
          </w:p>
        </w:tc>
        <w:tc>
          <w:tcPr>
            <w:tcW w:type="dxa" w:w="5460"/>
            <w:shd w:fill="FFFFFF" w:color="auto" w:val="clear"/>
          </w:tcPr>
          <w:p>
            <w:r>
              <w:rPr>
                <w:b w:val="false"/>
                <w:bCs w:val="false"/>
                <w:color w:val="222222"/>
                <w:sz w:val="20"/>
                <w:szCs w:val="20"/>
              </w:rPr>
              <w:t xml:space="preserve">The v1 backfill (50K abstracts + 5K full-text papers, ~20-50 model calls per full-text paper) is a ~$3K-$10K one-time event, not inside the ~$500/month steady-state, and prompt-tuning re-runs repeat a fraction of it. Separately, Vercel's Hobby tier prohibits commercial use, so a company site must be on Pro.</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Add Tier-1 licensing asterisk; shift drug ground-truth off DrugBank for v1</w:t>
            </w:r>
          </w:p>
        </w:tc>
        <w:tc>
          <w:tcPr>
            <w:tcW w:type="dxa" w:w="5460"/>
            <w:shd w:fill="FFFFFF" w:color="auto" w:val="clear"/>
          </w:tcPr>
          <w:p>
            <w:r>
              <w:rPr>
                <w:b w:val="false"/>
                <w:bCs w:val="false"/>
                <w:color w:val="222222"/>
                <w:sz w:val="20"/>
                <w:szCs w:val="20"/>
              </w:rPr>
              <w:t xml:space="preserve">'$0' is not 'cleared for commercial use.' DrugBank Open Data and SIDER are CC-BY-NC (non-commercial); Reddit's free API tier is non-commercial since 2023; UMLS restricts redistribution of some vocabularies (e.g. SNOMED CT). Use a ChEMBL + Drugs@FDA + RxNorm composite for drug ground-truth and budget a DrugBank/Reddit license only if their data is actually wanted.</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Re-cut Phase 1 scope to solo-founder capacity; plan 16-20 weeks</w:t>
            </w:r>
          </w:p>
        </w:tc>
        <w:tc>
          <w:tcPr>
            <w:tcW w:type="dxa" w:w="5460"/>
            <w:shd w:fill="FFFFFF" w:color="auto" w:val="clear"/>
          </w:tcPr>
          <w:p>
            <w:r>
              <w:rPr>
                <w:b w:val="false"/>
                <w:bCs w:val="false"/>
                <w:color w:val="222222"/>
                <w:sz w:val="20"/>
                <w:szCs w:val="20"/>
              </w:rPr>
              <w:t xml:space="preserve">The original 10-week plan was a 2-3 engineer plan against a risk register that rates 'solo founder hits capacity wall' High/High. Drop the admin app (founder is the admin; SQL is the curation UI for year one), mechanism pages, and the ontology browser from Phase 1; move HHEM-2.1 to Phase 2; scope OntoGPT to PMDD vocabulary only. Protect the modest exit criterion (&gt;=10 audited claims through the full pipeline).</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Reword Phase 2 exit gate from paying users to signed letters of support</w:t>
            </w:r>
          </w:p>
        </w:tc>
        <w:tc>
          <w:tcPr>
            <w:tcW w:type="dxa" w:w="5460"/>
            <w:shd w:fill="FFFFFF" w:color="auto" w:val="clear"/>
          </w:tcPr>
          <w:p>
            <w:r>
              <w:rPr>
                <w:b w:val="false"/>
                <w:bCs w:val="false"/>
                <w:color w:val="222222"/>
                <w:sz w:val="20"/>
                <w:szCs w:val="20"/>
              </w:rPr>
              <w:t xml:space="preserve">'&gt;=3 paying or institutional pilot users' contradicted Section 10.7's 'no revenue paths in Phases 1-2' and assumed grant-cycle clinician-researchers carry discretionary tooling budget. Signed letters of support usable in the SBIR / ARPA-H applications are controllable, achievable in 26 weeks, and worth more to the actual funding path than $500/month of pilot revenue.</w:t>
            </w:r>
          </w:p>
        </w:tc>
      </w:tr>
      <w:tr>
        <w:trPr>
          <w:tblHeader w:val="false"/>
        </w:trPr>
        <w:tc>
          <w:tcPr>
            <w:tcW w:type="dxa" w:w="900"/>
            <w:shd w:fill="FFFFFF" w:color="auto" w:val="clear"/>
          </w:tcPr>
          <w:p>
            <w:r>
              <w:rPr>
                <w:b w:val="false"/>
                <w:bCs w:val="false"/>
                <w:color w:val="222222"/>
                <w:sz w:val="20"/>
                <w:szCs w:val="20"/>
              </w:rPr>
              <w:t xml:space="preserve">Jun 2026 (rev)</w:t>
            </w:r>
          </w:p>
        </w:tc>
        <w:tc>
          <w:tcPr>
            <w:tcW w:type="dxa" w:w="3000"/>
            <w:shd w:fill="FFFFFF" w:color="auto" w:val="clear"/>
          </w:tcPr>
          <w:p>
            <w:r>
              <w:rPr>
                <w:b w:val="false"/>
                <w:bCs w:val="false"/>
                <w:color w:val="222222"/>
                <w:sz w:val="20"/>
                <w:szCs w:val="20"/>
              </w:rPr>
              <w:t xml:space="preserve">Verified MedScore / MedRAGChecker / ContraCrow exist; verify repos before relying</w:t>
            </w:r>
          </w:p>
        </w:tc>
        <w:tc>
          <w:tcPr>
            <w:tcW w:type="dxa" w:w="5460"/>
            <w:shd w:fill="FFFFFF" w:color="auto" w:val="clear"/>
          </w:tcPr>
          <w:p>
            <w:r>
              <w:rPr>
                <w:b w:val="false"/>
                <w:bCs w:val="false"/>
                <w:color w:val="222222"/>
                <w:sz w:val="20"/>
                <w:szCs w:val="20"/>
              </w:rPr>
              <w:t xml:space="preserve">A one-day diligence pass confirmed all three are real (MedScore and MedRAGChecker are papers; ContraCrow is the FutureHouse/PaperQA2 contradiction configuration). The narrowed caveat: a paper existing is not a maintained, installable, licensed repo, and 'SOTA' for a weeks-old paper cannot be leaned on. Confirm repo + license + pip install before any component gates an engineering decision.</w:t>
            </w:r>
          </w:p>
        </w:tc>
      </w:tr>
    </w:tbl>
    <w:p>
      <w:pPr>
        <w:pStyle w:val="Heading1"/>
        <w:pageBreakBefore/>
      </w:pPr>
      <w:r>
        <w:t xml:space="preserve">Appendix D. Document control</w:t>
      </w:r>
    </w:p>
    <w:p>
      <w:r>
        <w:t xml:space="preserve">Version: 1.0 — June 2026</w:t>
      </w:r>
    </w:p>
    <w:p>
      <w:r>
        <w:t xml:space="preserve">Owner: Veronica Agudelo Ramella, Founder, Whel</w:t>
      </w:r>
    </w:p>
    <w:p>
      <w:r>
        <w:t xml:space="preserve">Review cadence: Quarterly. Risk register (§11) updated when underlying assumptions change.</w:t>
      </w:r>
    </w:p>
    <w:p>
      <w:r>
        <w:t xml:space="preserve">Source of truth for: locked pitch language, brand voice, architectural decisions, roadmap phasing, corporate structure decisions, and immediate action priorities. Supersedes prior README copy, pitch drafts, and onboarding documents.</w:t>
      </w:r>
    </w:p>
    <w:p>
      <w:r>
        <w:t xml:space="preserve">Change discipline: any update to §2 (Locked Pitch) is propagated to website, deck, and grant applications within five business days. Changes to §5 (Architecture) require a written rationale in the decision log (Appendix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line="320"/>
    </w:pPr>
    <w:rPr>
      <w:rFonts w:ascii="Calibri" w:cs="Calibri" w:eastAsia="Calibri" w:hAnsi="Calibri"/>
      <w:b/>
      <w:bCs/>
      <w:color w:val="7A1F3D"/>
      <w:sz w:val="64"/>
      <w:szCs w:val="64"/>
    </w:rPr>
  </w:style>
  <w:style w:type="paragraph" w:styleId="Heading1">
    <w:name w:val="Heading 1"/>
    <w:basedOn w:val="Normal"/>
    <w:next w:val="Normal"/>
    <w:pPr>
      <w:spacing w:after="200" w:before="480" w:line="300"/>
    </w:pPr>
    <w:rPr>
      <w:rFonts w:ascii="Calibri" w:cs="Calibri" w:eastAsia="Calibri" w:hAnsi="Calibri"/>
      <w:b/>
      <w:bCs/>
      <w:color w:val="7A1F3D"/>
      <w:sz w:val="36"/>
      <w:szCs w:val="36"/>
    </w:rPr>
  </w:style>
  <w:style w:type="paragraph" w:styleId="Heading2">
    <w:name w:val="Heading 2"/>
    <w:basedOn w:val="Normal"/>
    <w:next w:val="Normal"/>
    <w:pPr>
      <w:spacing w:after="140" w:before="320" w:line="300"/>
    </w:pPr>
    <w:rPr>
      <w:rFonts w:ascii="Calibri" w:cs="Calibri" w:eastAsia="Calibri" w:hAnsi="Calibri"/>
      <w:b/>
      <w:bCs/>
      <w:color w:val="111111"/>
      <w:sz w:val="28"/>
      <w:szCs w:val="28"/>
    </w:rPr>
  </w:style>
  <w:style w:type="paragraph" w:styleId="Heading3">
    <w:name w:val="Heading 3"/>
    <w:basedOn w:val="Normal"/>
    <w:next w:val="Normal"/>
    <w:pPr>
      <w:spacing w:after="100" w:before="240" w:line="280"/>
    </w:pPr>
    <w:rPr>
      <w:rFonts w:ascii="Calibri" w:cs="Calibri" w:eastAsia="Calibri" w:hAnsi="Calibri"/>
      <w:b/>
      <w:bCs/>
      <w:color w:val="222222"/>
      <w:sz w:val="24"/>
      <w:szCs w:val="24"/>
    </w:rPr>
  </w:style>
  <w:style w:type="paragraph" w:styleId="Heading4">
    <w:name w:val="Heading 4"/>
    <w:basedOn w:val="Normal"/>
    <w:next w:val="Normal"/>
    <w:pPr>
      <w:spacing w:after="80" w:before="180" w:line="280"/>
    </w:pPr>
    <w:rPr>
      <w:rFonts w:ascii="Calibri" w:cs="Calibri" w:eastAsia="Calibri" w:hAnsi="Calibri"/>
      <w:b/>
      <w:bCs/>
      <w:i/>
      <w:iCs/>
      <w:color w:val="222222"/>
      <w:sz w:val="22"/>
      <w:szCs w:val="22"/>
    </w:rPr>
  </w:style>
  <w:style w:type="paragraph" w:styleId="Normal">
    <w:name w:val="Normal"/>
    <w:pPr>
      <w:spacing w:after="120" w:line="300"/>
    </w:pPr>
    <w:rPr>
      <w:rFonts w:ascii="Calibri" w:cs="Calibri" w:eastAsia="Calibri" w:hAnsi="Calibri"/>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Whel Reframe Blueprint</dc:title>
  <dc:creator>Whel, Inc.</dc:creator>
  <dc:description>Architecture, strategy, and roadmap for the women's health evidence substrate</dc:description>
  <cp:lastModifiedBy>Un-named</cp:lastModifiedBy>
  <cp:revision>1</cp:revision>
  <dcterms:created xsi:type="dcterms:W3CDTF">2026-06-10T21:14:05.913Z</dcterms:created>
  <dcterms:modified xsi:type="dcterms:W3CDTF">2026-06-10T21:14:05.914Z</dcterms:modified>
</cp:coreProperties>
</file>

<file path=docProps/custom.xml><?xml version="1.0" encoding="utf-8"?>
<Properties xmlns="http://schemas.openxmlformats.org/officeDocument/2006/custom-properties" xmlns:vt="http://schemas.openxmlformats.org/officeDocument/2006/docPropsVTypes"/>
</file>