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2E3D2B"/>
          <w:sz w:val="38"/>
          <w:szCs w:val="38"/>
        </w:rPr>
        <w:t xml:space="preserve">Whel — Site Architecture &amp; Access Map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C5C5C"/>
          <w:sz w:val="22"/>
          <w:szCs w:val="22"/>
        </w:rPr>
        <w:t xml:space="preserve">Public marketing site vs. gated product · June 2026 · a proposal, edit freely</w:t>
      </w:r>
    </w:p>
    <w:p>
      <w:pPr>
        <w:spacing w:after="13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You chose the invite/verify + partner model — the same shape OpenEvidence (verify the user), Recursion and Healx (partner with us) use, and exactly what your Blueprint’s Phase 2 already describes. This maps what lives on the public whel.bio versus what sits behind Request Access, and how the gate works now versus later.</w:t>
      </w:r>
    </w:p>
    <w:p>
      <w:pPr>
        <w:pStyle w:val="Heading2"/>
        <w:spacing w:after="90" w:before="260"/>
      </w:pPr>
      <w:r>
        <w:rPr>
          <w:rFonts w:ascii="Arial" w:cs="Arial" w:eastAsia="Arial" w:hAnsi="Arial"/>
          <w:b/>
          <w:bCs/>
          <w:color w:val="2E3D2B"/>
          <w:sz w:val="26"/>
          <w:szCs w:val="26"/>
        </w:rPr>
        <w:t xml:space="preserve">The principle</w:t>
      </w:r>
    </w:p>
    <w:p>
      <w:pPr>
        <w:spacing w:after="13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Public site = the pitch and the proof. Gated product = the asset. Show enough rigor to be believed and wanted; keep the full library behind the gate. Recursion publishes papers and shows its pipeline but never its dataset; OpenEvidence shows its story but verifies every user before the tool opens. Whel does both — a public storefront and an invite-only product — with “Partner with us” as the path for pharma.</w:t>
      </w:r>
    </w:p>
    <w:p>
      <w:pPr>
        <w:pStyle w:val="Heading2"/>
        <w:spacing w:after="90" w:before="260"/>
      </w:pPr>
      <w:r>
        <w:rPr>
          <w:rFonts w:ascii="Arial" w:cs="Arial" w:eastAsia="Arial" w:hAnsi="Arial"/>
          <w:b/>
          <w:bCs/>
          <w:color w:val="2E3D2B"/>
          <w:sz w:val="26"/>
          <w:szCs w:val="26"/>
        </w:rPr>
        <w:t xml:space="preserve">Public — the storefront (no login)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Home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the story, a proof teaser (a few top candidates), the live counts, and the Request Access call-to-action. Keep the redesign as-is.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Platform / How it works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the three layers, per-claim provenance, contradiction surfacing, the §3060 posture. Conceptual; builds trust.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PMDD substrate (flagship proof)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the per-claim provenance, surfaced contradictions, and NCBI-verified / registry-grounded badges, fully visible. This is your single best credibility asset — show it.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Candidates (sample only)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a curated showcase — the top candidate per condition (or just the Strong tier) with its full evidence trail. Everything else reads “Request access for the full index.”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Conditions (overview)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the six conditions with summaries; the full per-condition signal index is gated.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Methods / Technical architecture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public, for the skeptical clinician-researcher.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About / Mission / Roadmap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public.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Request Access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the gate itself — a short form (name, role, institution, intended use).</w:t>
      </w:r>
    </w:p>
    <w:p>
      <w:pPr>
        <w:pStyle w:val="Heading2"/>
        <w:spacing w:after="90" w:before="260"/>
      </w:pPr>
      <w:r>
        <w:rPr>
          <w:rFonts w:ascii="Arial" w:cs="Arial" w:eastAsia="Arial" w:hAnsi="Arial"/>
          <w:b/>
          <w:bCs/>
          <w:color w:val="2E3D2B"/>
          <w:sz w:val="26"/>
          <w:szCs w:val="26"/>
        </w:rPr>
        <w:t xml:space="preserve">Gated — the product (behind Request Access)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The full candidate index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all 271 candidates across the six conditions with complete evidence trails. (This is the page just built — it isn’t wasted; it simply moves behind the gate.)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The full searchable substrate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every claim, contradiction, and source span, with the NCBI / RxNorm / MONDO grounding.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Filter &amp; search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across drugs, conditions, tiers, and mechanisms.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Data export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CSV / JSON (the citable-DOI open-data idea lives here, for access-holders).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Later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API access; saved searches and alerts for clinician-researcher accounts; verified and paid/partner tiers.</w:t>
      </w:r>
    </w:p>
    <w:p>
      <w:pPr>
        <w:pStyle w:val="Heading2"/>
        <w:spacing w:after="90" w:before="260"/>
      </w:pPr>
      <w:r>
        <w:rPr>
          <w:rFonts w:ascii="Arial" w:cs="Arial" w:eastAsia="Arial" w:hAnsi="Arial"/>
          <w:b/>
          <w:bCs/>
          <w:color w:val="2E3D2B"/>
          <w:sz w:val="26"/>
          <w:szCs w:val="26"/>
        </w:rPr>
        <w:t xml:space="preserve">How the gate works — now vs. later</w:t>
      </w:r>
    </w:p>
    <w:p>
      <w:pPr>
        <w:spacing w:after="130" w:line="3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Now (research preview):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Request Access is a waitlist form. You approve people manually and send an invite. The waitlist </w:t>
      </w: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is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your pipeline — whoever asks to get in becomes your sales, advisor, and grant-relationship list. This is low effort and you start capturing leads immediately.</w:t>
      </w:r>
    </w:p>
    <w:p>
      <w:pPr>
        <w:spacing w:after="130" w:line="3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Later: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real authentication (Supabase Auth is already in your stack — email magic-link or SSO), clinician verification (NPI, OpenEvidence-style) for free research access, and paid or partnership tiers for pharma and institutions.</w:t>
      </w:r>
    </w:p>
    <w:p>
      <w:pPr>
        <w:pStyle w:val="Heading2"/>
        <w:spacing w:after="90" w:before="260"/>
      </w:pPr>
      <w:r>
        <w:rPr>
          <w:rFonts w:ascii="Arial" w:cs="Arial" w:eastAsia="Arial" w:hAnsi="Arial"/>
          <w:b/>
          <w:bCs/>
          <w:color w:val="2E3D2B"/>
          <w:sz w:val="26"/>
          <w:szCs w:val="26"/>
        </w:rPr>
        <w:t xml:space="preserve">What changes in the current build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Split the candidates view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the public /candidates becomes a curated sample; the full 271-index page moves behind the gate. Same page, new location.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Keep public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home, platform, conditions overview, the PMDD substrate, methods, about.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Add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a Request Access page (a waitlist form that captures email, role, institution).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Build the gated area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a simple app shell behind Supabase Auth, invite-only. Start minimal.</w:t>
      </w:r>
    </w:p>
    <w:p>
      <w:pPr>
        <w:pStyle w:val="Heading2"/>
        <w:spacing w:after="90" w:before="260"/>
      </w:pPr>
      <w:r>
        <w:rPr>
          <w:rFonts w:ascii="Arial" w:cs="Arial" w:eastAsia="Arial" w:hAnsi="Arial"/>
          <w:b/>
          <w:bCs/>
          <w:color w:val="2E3D2B"/>
          <w:sz w:val="26"/>
          <w:szCs w:val="26"/>
        </w:rPr>
        <w:t xml:space="preserve">Sequencing — don’t over-build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Step 1 (now)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split public vs. gated content and ship a real waitlist form. High signal, low effort.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Step 2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stand up the invite-only app shell behind Supabase Auth.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Step 3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add verification and paid/partner tiers once there is demand to justify them.</w:t>
      </w:r>
    </w:p>
    <w:p>
      <w:pPr>
        <w:spacing w:after="0" w:before="200"/>
      </w:pPr>
      <w:r>
        <w:rPr>
          <w:rFonts w:ascii="Arial" w:cs="Arial" w:eastAsia="Arial" w:hAnsi="Arial"/>
          <w:i/>
          <w:iCs/>
          <w:color w:val="7F3D2E"/>
          <w:sz w:val="22"/>
          <w:szCs w:val="22"/>
        </w:rPr>
        <w:t xml:space="preserve">The redesign stays. This is structure, not a redo — the full-index product you just built simply goes where products go.</w:t>
      </w:r>
    </w:p>
    <w:sectPr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2026-06-12T01:15:42.705Z</dcterms:created>
  <dcterms:modified xsi:type="dcterms:W3CDTF">2026-06-12T01:15:42.707Z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