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7A1F3D"/>
          <w:sz w:val="96"/>
          <w:szCs w:val="96"/>
        </w:rPr>
        <w:t xml:space="preserve">Whel</w:t>
      </w:r>
    </w:p>
    <w:p>
      <w:pPr>
        <w:spacing w:after="240"/>
        <w:jc w:val="center"/>
      </w:pPr>
      <w:r>
        <w:rPr>
          <w:color w:val="111111"/>
          <w:sz w:val="40"/>
          <w:szCs w:val="40"/>
        </w:rPr>
        <w:t xml:space="preserve">Narrative &amp; Voice Guide</w:t>
      </w:r>
    </w:p>
    <w:p>
      <w:pPr>
        <w:spacing w:after="960"/>
        <w:jc w:val="center"/>
      </w:pPr>
      <w:r>
        <w:rPr>
          <w:i/>
          <w:iCs/>
          <w:color w:val="555555"/>
          <w:sz w:val="24"/>
          <w:szCs w:val="24"/>
        </w:rPr>
        <w:t xml:space="preserve">Manifesto, narrative architecture, language, and the canonical pitch — for every channel and every audience.</w:t>
      </w:r>
    </w:p>
    <w:p>
      <w:pPr>
        <w:jc w:val="center"/>
      </w:pPr>
      <w:r>
        <w:rPr>
          <w:sz w:val="22"/>
          <w:szCs w:val="22"/>
        </w:rPr>
        <w:t xml:space="preserve">Founder: Veronica Agudelo Ramella</w:t>
      </w:r>
    </w:p>
    <w:p>
      <w:pPr>
        <w:spacing w:after="480"/>
        <w:jc w:val="center"/>
      </w:pPr>
      <w:r>
        <w:rPr>
          <w:color w:val="555555"/>
          <w:sz w:val="22"/>
          <w:szCs w:val="22"/>
        </w:rPr>
        <w:t xml:space="preserve">Version 1.0 · June 2026</w:t>
      </w:r>
    </w:p>
    <w:p>
      <w:pPr>
        <w:shd w:fill="F4E4EC" w:color="auto" w:val="clear"/>
        <w:spacing w:after="200" w:before="200"/>
        <w:ind w:left="360" w:right="360"/>
      </w:pPr>
      <w:r>
        <w:rPr>
          <w:b/>
          <w:bCs/>
          <w:color w:val="7A1F3D"/>
        </w:rPr>
        <w:t xml:space="preserve">CANONICAL FOR MESSAGING  </w:t>
      </w:r>
      <w:r>
        <w:t xml:space="preserve">This document supersedes §2 of the Whel Reframe Blueprint for all language and pitch matters. Where this document and the Blueprint disagree about how to describe Whel, this document is correct. The Blueprint remains canonical for strategy, architecture, and roadmap.</w:t>
      </w:r>
    </w:p>
    <w:p>
      <w:pPr>
        <w:pStyle w:val="Heading1"/>
        <w:pageBreakBefore/>
      </w:pPr>
      <w:r>
        <w:t xml:space="preserve">How to use this document</w:t>
      </w:r>
    </w:p>
    <w:p>
      <w:pPr>
        <w:spacing w:after="200"/>
      </w:pPr>
      <w:r>
        <w:rPr>
          <w:i/>
          <w:iCs/>
          <w:color w:val="555555"/>
          <w:sz w:val="22"/>
          <w:szCs w:val="22"/>
        </w:rPr>
        <w:t xml:space="preserve">A short orientation before you read the rest.</w:t>
      </w:r>
    </w:p>
    <w:p>
      <w:pPr>
        <w:pStyle w:val="Heading2"/>
      </w:pPr>
      <w:r>
        <w:t xml:space="preserve">What this is</w:t>
      </w:r>
    </w:p>
    <w:p>
      <w:r>
        <w:t xml:space="preserve">Whel's source of truth for language. Every pitch, deck, website page, grant application, advisor outreach, and media line traces back to this document. When you do not know how to describe Whel, the answer is here. When something has drifted, the answer for what to drift back to is here.</w:t>
      </w:r>
    </w:p>
    <w:p>
      <w:pPr>
        <w:pStyle w:val="Heading2"/>
      </w:pPr>
      <w:r>
        <w:t xml:space="preserve">What changed since the Blueprint</w:t>
      </w:r>
    </w:p>
    <w:p>
      <w:r>
        <w:t xml:space="preserve">The original Blueprint §2 framed Whel as 'the trusted evidence substrate for women's health drug repurposing.' That framing was true but underweighted the most concrete and most investable part of the story: drug repurposing as the lead activity, not a sub-clause. The Harmonic strategic review that produced this document made the case — correctly — that the knowledge graph is the engine, drug repurposing candidates are the product, and the company should lead with the product. This document carries that correction through every register, tagline, and worked example.</w:t>
      </w:r>
    </w:p>
    <w:p>
      <w:pPr>
        <w:pStyle w:val="Heading2"/>
      </w:pPr>
      <w:r>
        <w:t xml:space="preserve">How it's organized</w:t>
      </w:r>
    </w:p>
    <w:p>
      <w:pPr>
        <w:pStyle w:val="ListParagraph"/>
        <w:numPr>
          <w:ilvl w:val="0"/>
          <w:numId w:val="2"/>
        </w:numPr>
      </w:pPr>
      <w:r>
        <w:t xml:space="preserve">Part I — The Manifesto. The why. Moral and factual. Read this when you need to remember what the company is for.</w:t>
      </w:r>
    </w:p>
    <w:p>
      <w:pPr>
        <w:pStyle w:val="ListParagraph"/>
        <w:numPr>
          <w:ilvl w:val="0"/>
          <w:numId w:val="2"/>
        </w:numPr>
      </w:pPr>
      <w:r>
        <w:t xml:space="preserve">Part II — The Big Reframe. Why drug repurposing is the lead, not the infrastructure. Includes the expansion playbook with precedent.</w:t>
      </w:r>
    </w:p>
    <w:p>
      <w:pPr>
        <w:pStyle w:val="ListParagraph"/>
        <w:numPr>
          <w:ilvl w:val="0"/>
          <w:numId w:val="2"/>
        </w:numPr>
      </w:pPr>
      <w:r>
        <w:t xml:space="preserve">Part III — The Three Narrative Registers. The same spine, calibrated for three audiences: investors (scientific arbitrage), pharma buyers (evidence trust), public/media/grants (correcting the record).</w:t>
      </w:r>
    </w:p>
    <w:p>
      <w:pPr>
        <w:pStyle w:val="ListParagraph"/>
        <w:numPr>
          <w:ilvl w:val="0"/>
          <w:numId w:val="2"/>
        </w:numPr>
      </w:pPr>
      <w:r>
        <w:t xml:space="preserve">Part IV — The Pitch. One-liner, 30-second, problem statement, solution statement, and what we are explicitly not claiming.</w:t>
      </w:r>
    </w:p>
    <w:p>
      <w:pPr>
        <w:pStyle w:val="ListParagraph"/>
        <w:numPr>
          <w:ilvl w:val="0"/>
          <w:numId w:val="2"/>
        </w:numPr>
      </w:pPr>
      <w:r>
        <w:t xml:space="preserve">Part V — Framing Devices. The conceptual anchors that recur across every channel.</w:t>
      </w:r>
    </w:p>
    <w:p>
      <w:pPr>
        <w:pStyle w:val="ListParagraph"/>
        <w:numPr>
          <w:ilvl w:val="0"/>
          <w:numId w:val="2"/>
        </w:numPr>
      </w:pPr>
      <w:r>
        <w:t xml:space="preserve">Part VI — Taglines. Three tiers, with rationale and recommended primary.</w:t>
      </w:r>
    </w:p>
    <w:p>
      <w:pPr>
        <w:pStyle w:val="ListParagraph"/>
        <w:numPr>
          <w:ilvl w:val="0"/>
          <w:numId w:val="2"/>
        </w:numPr>
      </w:pPr>
      <w:r>
        <w:t xml:space="preserve">Part VII — Language Guide. Words to use, words to retire, and the why behind each.</w:t>
      </w:r>
    </w:p>
    <w:p>
      <w:pPr>
        <w:pStyle w:val="ListParagraph"/>
        <w:numPr>
          <w:ilvl w:val="0"/>
          <w:numId w:val="2"/>
        </w:numPr>
      </w:pPr>
      <w:r>
        <w:t xml:space="preserve">Part VIII — Voice &amp; Tone. How the company speaks — first-person plural, present tense, claim-dense, contradiction-respecting.</w:t>
      </w:r>
    </w:p>
    <w:p>
      <w:pPr>
        <w:pStyle w:val="ListParagraph"/>
        <w:numPr>
          <w:ilvl w:val="0"/>
          <w:numId w:val="2"/>
        </w:numPr>
      </w:pPr>
      <w:r>
        <w:t xml:space="preserve">Part IX — Worked Examples. The voice applied to specific channels: website hero, pitch deck cover, grant application opener, LinkedIn outreach, pharma sales email, media line.</w:t>
      </w:r>
    </w:p>
    <w:p>
      <w:pPr>
        <w:pStyle w:val="ListParagraph"/>
        <w:numPr>
          <w:ilvl w:val="0"/>
          <w:numId w:val="2"/>
        </w:numPr>
      </w:pPr>
      <w:r>
        <w:t xml:space="preserve">Part X — Change Management. How this document evolves. Who can change what. How the changes propagate.</w:t>
      </w:r>
    </w:p>
    <w:p>
      <w:pPr>
        <w:pStyle w:val="Heading2"/>
      </w:pPr>
      <w:r>
        <w:t xml:space="preserve">Read first</w:t>
      </w:r>
    </w:p>
    <w:p>
      <w:r>
        <w:t xml:space="preserve">If you have five minutes, read Part I (Manifesto) and Part IV (Pitch). If you have fifteen, add Part II (the Big Reframe) and Part VI (Taglines). Everything else is reference material — open it when you need it.</w:t>
      </w:r>
    </w:p>
    <w:p>
      <w:pPr>
        <w:pStyle w:val="Heading1"/>
        <w:pageBreakBefore/>
      </w:pPr>
      <w: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rPr>
          <w:tblHeader/>
        </w:trPr>
        <w:tc>
          <w:tcPr>
            <w:tcW w:type="dxa" w:w="720"/>
            <w:shd w:fill="7A1F3D" w:color="auto" w:val="clear"/>
          </w:tcPr>
          <w:p>
            <w:r>
              <w:rPr>
                <w:b/>
                <w:bCs/>
                <w:color w:val="FFFFFF"/>
                <w:sz w:val="20"/>
                <w:szCs w:val="20"/>
              </w:rPr>
              <w:t xml:space="preserve">§</w:t>
            </w:r>
          </w:p>
        </w:tc>
        <w:tc>
          <w:tcPr>
            <w:tcW w:type="dxa" w:w="3600"/>
            <w:shd w:fill="7A1F3D" w:color="auto" w:val="clear"/>
          </w:tcPr>
          <w:p>
            <w:r>
              <w:rPr>
                <w:b/>
                <w:bCs/>
                <w:color w:val="FFFFFF"/>
                <w:sz w:val="20"/>
                <w:szCs w:val="20"/>
              </w:rPr>
              <w:t xml:space="preserve">Part</w:t>
            </w:r>
          </w:p>
        </w:tc>
        <w:tc>
          <w:tcPr>
            <w:tcW w:type="dxa" w:w="5040"/>
            <w:shd w:fill="7A1F3D" w:color="auto" w:val="clear"/>
          </w:tcPr>
          <w:p>
            <w:r>
              <w:rPr>
                <w:b/>
                <w:bCs/>
                <w:color w:val="FFFFFF"/>
                <w:sz w:val="20"/>
                <w:szCs w:val="20"/>
              </w:rPr>
              <w:t xml:space="preserve">Purpose</w:t>
            </w:r>
          </w:p>
        </w:tc>
      </w:tr>
      <w:tr>
        <w:trPr>
          <w:tblHeader w:val="false"/>
        </w:trPr>
        <w:tc>
          <w:tcPr>
            <w:tcW w:type="dxa" w:w="720"/>
            <w:shd w:fill="F8F8F8" w:color="auto" w:val="clear"/>
          </w:tcPr>
          <w:p>
            <w:r>
              <w:rPr>
                <w:b w:val="false"/>
                <w:bCs w:val="false"/>
                <w:color w:val="222222"/>
                <w:sz w:val="20"/>
                <w:szCs w:val="20"/>
              </w:rPr>
              <w:t xml:space="preserve">I</w:t>
            </w:r>
          </w:p>
        </w:tc>
        <w:tc>
          <w:tcPr>
            <w:tcW w:type="dxa" w:w="3600"/>
            <w:shd w:fill="F8F8F8" w:color="auto" w:val="clear"/>
          </w:tcPr>
          <w:p>
            <w:r>
              <w:rPr>
                <w:b w:val="false"/>
                <w:bCs w:val="false"/>
                <w:color w:val="222222"/>
                <w:sz w:val="20"/>
                <w:szCs w:val="20"/>
              </w:rPr>
              <w:t xml:space="preserve">The Manifesto</w:t>
            </w:r>
          </w:p>
        </w:tc>
        <w:tc>
          <w:tcPr>
            <w:tcW w:type="dxa" w:w="5040"/>
            <w:shd w:fill="F8F8F8" w:color="auto" w:val="clear"/>
          </w:tcPr>
          <w:p>
            <w:r>
              <w:rPr>
                <w:b w:val="false"/>
                <w:bCs w:val="false"/>
                <w:color w:val="222222"/>
                <w:sz w:val="20"/>
                <w:szCs w:val="20"/>
              </w:rPr>
              <w:t xml:space="preserve">Whel's reason for existing, in language we can stand behind</w:t>
            </w:r>
          </w:p>
        </w:tc>
      </w:tr>
      <w:tr>
        <w:trPr>
          <w:tblHeader w:val="false"/>
        </w:trPr>
        <w:tc>
          <w:tcPr>
            <w:tcW w:type="dxa" w:w="720"/>
            <w:shd w:fill="FFFFFF" w:color="auto" w:val="clear"/>
          </w:tcPr>
          <w:p>
            <w:r>
              <w:rPr>
                <w:b w:val="false"/>
                <w:bCs w:val="false"/>
                <w:color w:val="222222"/>
                <w:sz w:val="20"/>
                <w:szCs w:val="20"/>
              </w:rPr>
              <w:t xml:space="preserve">II</w:t>
            </w:r>
          </w:p>
        </w:tc>
        <w:tc>
          <w:tcPr>
            <w:tcW w:type="dxa" w:w="3600"/>
            <w:shd w:fill="FFFFFF" w:color="auto" w:val="clear"/>
          </w:tcPr>
          <w:p>
            <w:r>
              <w:rPr>
                <w:b w:val="false"/>
                <w:bCs w:val="false"/>
                <w:color w:val="222222"/>
                <w:sz w:val="20"/>
                <w:szCs w:val="20"/>
              </w:rPr>
              <w:t xml:space="preserve">The Big Reframe</w:t>
            </w:r>
          </w:p>
        </w:tc>
        <w:tc>
          <w:tcPr>
            <w:tcW w:type="dxa" w:w="5040"/>
            <w:shd w:fill="FFFFFF" w:color="auto" w:val="clear"/>
          </w:tcPr>
          <w:p>
            <w:r>
              <w:rPr>
                <w:b w:val="false"/>
                <w:bCs w:val="false"/>
                <w:color w:val="222222"/>
                <w:sz w:val="20"/>
                <w:szCs w:val="20"/>
              </w:rPr>
              <w:t xml:space="preserve">Drug repurposing as the lead — and why that is correct</w:t>
            </w:r>
          </w:p>
        </w:tc>
      </w:tr>
      <w:tr>
        <w:trPr>
          <w:tblHeader w:val="false"/>
        </w:trPr>
        <w:tc>
          <w:tcPr>
            <w:tcW w:type="dxa" w:w="720"/>
            <w:shd w:fill="F8F8F8" w:color="auto" w:val="clear"/>
          </w:tcPr>
          <w:p>
            <w:r>
              <w:rPr>
                <w:b w:val="false"/>
                <w:bCs w:val="false"/>
                <w:color w:val="222222"/>
                <w:sz w:val="20"/>
                <w:szCs w:val="20"/>
              </w:rPr>
              <w:t xml:space="preserve">III</w:t>
            </w:r>
          </w:p>
        </w:tc>
        <w:tc>
          <w:tcPr>
            <w:tcW w:type="dxa" w:w="3600"/>
            <w:shd w:fill="F8F8F8" w:color="auto" w:val="clear"/>
          </w:tcPr>
          <w:p>
            <w:r>
              <w:rPr>
                <w:b w:val="false"/>
                <w:bCs w:val="false"/>
                <w:color w:val="222222"/>
                <w:sz w:val="20"/>
                <w:szCs w:val="20"/>
              </w:rPr>
              <w:t xml:space="preserve">Three Narrative Registers</w:t>
            </w:r>
          </w:p>
        </w:tc>
        <w:tc>
          <w:tcPr>
            <w:tcW w:type="dxa" w:w="5040"/>
            <w:shd w:fill="F8F8F8" w:color="auto" w:val="clear"/>
          </w:tcPr>
          <w:p>
            <w:r>
              <w:rPr>
                <w:b w:val="false"/>
                <w:bCs w:val="false"/>
                <w:color w:val="222222"/>
                <w:sz w:val="20"/>
                <w:szCs w:val="20"/>
              </w:rPr>
              <w:t xml:space="preserve">One spine, three audiences</w:t>
            </w:r>
          </w:p>
        </w:tc>
      </w:tr>
      <w:tr>
        <w:trPr>
          <w:tblHeader w:val="false"/>
        </w:trPr>
        <w:tc>
          <w:tcPr>
            <w:tcW w:type="dxa" w:w="720"/>
            <w:shd w:fill="FFFFFF" w:color="auto" w:val="clear"/>
          </w:tcPr>
          <w:p>
            <w:r>
              <w:rPr>
                <w:b w:val="false"/>
                <w:bCs w:val="false"/>
                <w:color w:val="222222"/>
                <w:sz w:val="20"/>
                <w:szCs w:val="20"/>
              </w:rPr>
              <w:t xml:space="preserve">IV</w:t>
            </w:r>
          </w:p>
        </w:tc>
        <w:tc>
          <w:tcPr>
            <w:tcW w:type="dxa" w:w="3600"/>
            <w:shd w:fill="FFFFFF" w:color="auto" w:val="clear"/>
          </w:tcPr>
          <w:p>
            <w:r>
              <w:rPr>
                <w:b w:val="false"/>
                <w:bCs w:val="false"/>
                <w:color w:val="222222"/>
                <w:sz w:val="20"/>
                <w:szCs w:val="20"/>
              </w:rPr>
              <w:t xml:space="preserve">The Pitch</w:t>
            </w:r>
          </w:p>
        </w:tc>
        <w:tc>
          <w:tcPr>
            <w:tcW w:type="dxa" w:w="5040"/>
            <w:shd w:fill="FFFFFF" w:color="auto" w:val="clear"/>
          </w:tcPr>
          <w:p>
            <w:r>
              <w:rPr>
                <w:b w:val="false"/>
                <w:bCs w:val="false"/>
                <w:color w:val="222222"/>
                <w:sz w:val="20"/>
                <w:szCs w:val="20"/>
              </w:rPr>
              <w:t xml:space="preserve">One-liner, 30-second, problem, solution, non-claims</w:t>
            </w:r>
          </w:p>
        </w:tc>
      </w:tr>
      <w:tr>
        <w:trPr>
          <w:tblHeader w:val="false"/>
        </w:trPr>
        <w:tc>
          <w:tcPr>
            <w:tcW w:type="dxa" w:w="720"/>
            <w:shd w:fill="F8F8F8" w:color="auto" w:val="clear"/>
          </w:tcPr>
          <w:p>
            <w:r>
              <w:rPr>
                <w:b w:val="false"/>
                <w:bCs w:val="false"/>
                <w:color w:val="222222"/>
                <w:sz w:val="20"/>
                <w:szCs w:val="20"/>
              </w:rPr>
              <w:t xml:space="preserve">V</w:t>
            </w:r>
          </w:p>
        </w:tc>
        <w:tc>
          <w:tcPr>
            <w:tcW w:type="dxa" w:w="3600"/>
            <w:shd w:fill="F8F8F8" w:color="auto" w:val="clear"/>
          </w:tcPr>
          <w:p>
            <w:r>
              <w:rPr>
                <w:b w:val="false"/>
                <w:bCs w:val="false"/>
                <w:color w:val="222222"/>
                <w:sz w:val="20"/>
                <w:szCs w:val="20"/>
              </w:rPr>
              <w:t xml:space="preserve">Framing Devices</w:t>
            </w:r>
          </w:p>
        </w:tc>
        <w:tc>
          <w:tcPr>
            <w:tcW w:type="dxa" w:w="5040"/>
            <w:shd w:fill="F8F8F8" w:color="auto" w:val="clear"/>
          </w:tcPr>
          <w:p>
            <w:r>
              <w:rPr>
                <w:b w:val="false"/>
                <w:bCs w:val="false"/>
                <w:color w:val="222222"/>
                <w:sz w:val="20"/>
                <w:szCs w:val="20"/>
              </w:rPr>
              <w:t xml:space="preserve">The conceptual anchors that recur everywhere</w:t>
            </w:r>
          </w:p>
        </w:tc>
      </w:tr>
      <w:tr>
        <w:trPr>
          <w:tblHeader w:val="false"/>
        </w:trPr>
        <w:tc>
          <w:tcPr>
            <w:tcW w:type="dxa" w:w="720"/>
            <w:shd w:fill="FFFFFF" w:color="auto" w:val="clear"/>
          </w:tcPr>
          <w:p>
            <w:r>
              <w:rPr>
                <w:b w:val="false"/>
                <w:bCs w:val="false"/>
                <w:color w:val="222222"/>
                <w:sz w:val="20"/>
                <w:szCs w:val="20"/>
              </w:rPr>
              <w:t xml:space="preserve">VI</w:t>
            </w:r>
          </w:p>
        </w:tc>
        <w:tc>
          <w:tcPr>
            <w:tcW w:type="dxa" w:w="3600"/>
            <w:shd w:fill="FFFFFF" w:color="auto" w:val="clear"/>
          </w:tcPr>
          <w:p>
            <w:r>
              <w:rPr>
                <w:b w:val="false"/>
                <w:bCs w:val="false"/>
                <w:color w:val="222222"/>
                <w:sz w:val="20"/>
                <w:szCs w:val="20"/>
              </w:rPr>
              <w:t xml:space="preserve">Taglines</w:t>
            </w:r>
          </w:p>
        </w:tc>
        <w:tc>
          <w:tcPr>
            <w:tcW w:type="dxa" w:w="5040"/>
            <w:shd w:fill="FFFFFF" w:color="auto" w:val="clear"/>
          </w:tcPr>
          <w:p>
            <w:r>
              <w:rPr>
                <w:b w:val="false"/>
                <w:bCs w:val="false"/>
                <w:color w:val="222222"/>
                <w:sz w:val="20"/>
                <w:szCs w:val="20"/>
              </w:rPr>
              <w:t xml:space="preserve">Three tiers, recommended primary</w:t>
            </w:r>
          </w:p>
        </w:tc>
      </w:tr>
      <w:tr>
        <w:trPr>
          <w:tblHeader w:val="false"/>
        </w:trPr>
        <w:tc>
          <w:tcPr>
            <w:tcW w:type="dxa" w:w="720"/>
            <w:shd w:fill="F8F8F8" w:color="auto" w:val="clear"/>
          </w:tcPr>
          <w:p>
            <w:r>
              <w:rPr>
                <w:b w:val="false"/>
                <w:bCs w:val="false"/>
                <w:color w:val="222222"/>
                <w:sz w:val="20"/>
                <w:szCs w:val="20"/>
              </w:rPr>
              <w:t xml:space="preserve">VII</w:t>
            </w:r>
          </w:p>
        </w:tc>
        <w:tc>
          <w:tcPr>
            <w:tcW w:type="dxa" w:w="3600"/>
            <w:shd w:fill="F8F8F8" w:color="auto" w:val="clear"/>
          </w:tcPr>
          <w:p>
            <w:r>
              <w:rPr>
                <w:b w:val="false"/>
                <w:bCs w:val="false"/>
                <w:color w:val="222222"/>
                <w:sz w:val="20"/>
                <w:szCs w:val="20"/>
              </w:rPr>
              <w:t xml:space="preserve">Language Guide</w:t>
            </w:r>
          </w:p>
        </w:tc>
        <w:tc>
          <w:tcPr>
            <w:tcW w:type="dxa" w:w="5040"/>
            <w:shd w:fill="F8F8F8" w:color="auto" w:val="clear"/>
          </w:tcPr>
          <w:p>
            <w:r>
              <w:rPr>
                <w:b w:val="false"/>
                <w:bCs w:val="false"/>
                <w:color w:val="222222"/>
                <w:sz w:val="20"/>
                <w:szCs w:val="20"/>
              </w:rPr>
              <w:t xml:space="preserve">Use this, not that</w:t>
            </w:r>
          </w:p>
        </w:tc>
      </w:tr>
      <w:tr>
        <w:trPr>
          <w:tblHeader w:val="false"/>
        </w:trPr>
        <w:tc>
          <w:tcPr>
            <w:tcW w:type="dxa" w:w="720"/>
            <w:shd w:fill="FFFFFF" w:color="auto" w:val="clear"/>
          </w:tcPr>
          <w:p>
            <w:r>
              <w:rPr>
                <w:b w:val="false"/>
                <w:bCs w:val="false"/>
                <w:color w:val="222222"/>
                <w:sz w:val="20"/>
                <w:szCs w:val="20"/>
              </w:rPr>
              <w:t xml:space="preserve">VIII</w:t>
            </w:r>
          </w:p>
        </w:tc>
        <w:tc>
          <w:tcPr>
            <w:tcW w:type="dxa" w:w="3600"/>
            <w:shd w:fill="FFFFFF" w:color="auto" w:val="clear"/>
          </w:tcPr>
          <w:p>
            <w:r>
              <w:rPr>
                <w:b w:val="false"/>
                <w:bCs w:val="false"/>
                <w:color w:val="222222"/>
                <w:sz w:val="20"/>
                <w:szCs w:val="20"/>
              </w:rPr>
              <w:t xml:space="preserve">Voice &amp; Tone</w:t>
            </w:r>
          </w:p>
        </w:tc>
        <w:tc>
          <w:tcPr>
            <w:tcW w:type="dxa" w:w="5040"/>
            <w:shd w:fill="FFFFFF" w:color="auto" w:val="clear"/>
          </w:tcPr>
          <w:p>
            <w:r>
              <w:rPr>
                <w:b w:val="false"/>
                <w:bCs w:val="false"/>
                <w:color w:val="222222"/>
                <w:sz w:val="20"/>
                <w:szCs w:val="20"/>
              </w:rPr>
              <w:t xml:space="preserve">How the company speaks</w:t>
            </w:r>
          </w:p>
        </w:tc>
      </w:tr>
      <w:tr>
        <w:trPr>
          <w:tblHeader w:val="false"/>
        </w:trPr>
        <w:tc>
          <w:tcPr>
            <w:tcW w:type="dxa" w:w="720"/>
            <w:shd w:fill="F8F8F8" w:color="auto" w:val="clear"/>
          </w:tcPr>
          <w:p>
            <w:r>
              <w:rPr>
                <w:b w:val="false"/>
                <w:bCs w:val="false"/>
                <w:color w:val="222222"/>
                <w:sz w:val="20"/>
                <w:szCs w:val="20"/>
              </w:rPr>
              <w:t xml:space="preserve">IX</w:t>
            </w:r>
          </w:p>
        </w:tc>
        <w:tc>
          <w:tcPr>
            <w:tcW w:type="dxa" w:w="3600"/>
            <w:shd w:fill="F8F8F8" w:color="auto" w:val="clear"/>
          </w:tcPr>
          <w:p>
            <w:r>
              <w:rPr>
                <w:b w:val="false"/>
                <w:bCs w:val="false"/>
                <w:color w:val="222222"/>
                <w:sz w:val="20"/>
                <w:szCs w:val="20"/>
              </w:rPr>
              <w:t xml:space="preserve">Worked Examples</w:t>
            </w:r>
          </w:p>
        </w:tc>
        <w:tc>
          <w:tcPr>
            <w:tcW w:type="dxa" w:w="5040"/>
            <w:shd w:fill="F8F8F8" w:color="auto" w:val="clear"/>
          </w:tcPr>
          <w:p>
            <w:r>
              <w:rPr>
                <w:b w:val="false"/>
                <w:bCs w:val="false"/>
                <w:color w:val="222222"/>
                <w:sz w:val="20"/>
                <w:szCs w:val="20"/>
              </w:rPr>
              <w:t xml:space="preserve">Voice applied to specific channels</w:t>
            </w:r>
          </w:p>
        </w:tc>
      </w:tr>
      <w:tr>
        <w:trPr>
          <w:tblHeader w:val="false"/>
        </w:trPr>
        <w:tc>
          <w:tcPr>
            <w:tcW w:type="dxa" w:w="720"/>
            <w:shd w:fill="FFFFFF" w:color="auto" w:val="clear"/>
          </w:tcPr>
          <w:p>
            <w:r>
              <w:rPr>
                <w:b w:val="false"/>
                <w:bCs w:val="false"/>
                <w:color w:val="222222"/>
                <w:sz w:val="20"/>
                <w:szCs w:val="20"/>
              </w:rPr>
              <w:t xml:space="preserve">X</w:t>
            </w:r>
          </w:p>
        </w:tc>
        <w:tc>
          <w:tcPr>
            <w:tcW w:type="dxa" w:w="3600"/>
            <w:shd w:fill="FFFFFF" w:color="auto" w:val="clear"/>
          </w:tcPr>
          <w:p>
            <w:r>
              <w:rPr>
                <w:b w:val="false"/>
                <w:bCs w:val="false"/>
                <w:color w:val="222222"/>
                <w:sz w:val="20"/>
                <w:szCs w:val="20"/>
              </w:rPr>
              <w:t xml:space="preserve">Change Management</w:t>
            </w:r>
          </w:p>
        </w:tc>
        <w:tc>
          <w:tcPr>
            <w:tcW w:type="dxa" w:w="5040"/>
            <w:shd w:fill="FFFFFF" w:color="auto" w:val="clear"/>
          </w:tcPr>
          <w:p>
            <w:r>
              <w:rPr>
                <w:b w:val="false"/>
                <w:bCs w:val="false"/>
                <w:color w:val="222222"/>
                <w:sz w:val="20"/>
                <w:szCs w:val="20"/>
              </w:rPr>
              <w:t xml:space="preserve">When this document changes and how</w:t>
            </w:r>
          </w:p>
        </w:tc>
      </w:tr>
    </w:tbl>
    <w:p>
      <w:pPr>
        <w:pStyle w:val="Heading1"/>
        <w:pageBreakBefore/>
      </w:pPr>
      <w:r>
        <w:t xml:space="preserve">Part I. The Manifesto</w:t>
      </w:r>
    </w:p>
    <w:p>
      <w:pPr>
        <w:spacing w:after="200"/>
      </w:pPr>
      <w:r>
        <w:rPr>
          <w:i/>
          <w:iCs/>
          <w:color w:val="555555"/>
          <w:sz w:val="22"/>
          <w:szCs w:val="22"/>
        </w:rPr>
        <w:t xml:space="preserve">The why. Read this when you need to remember what the company is for. Print it when you need to share it. Quote from it when the moment calls for moral weight.</w:t>
      </w:r>
    </w:p>
    <w:p>
      <w:pPr>
        <w:pStyle w:val="Heading2"/>
      </w:pPr>
      <w:r>
        <w:t xml:space="preserve">The opening</w:t>
      </w:r>
    </w:p>
    <w:p>
      <w:r>
        <w:t xml:space="preserve">Drug development was built on male biology. Not by malice — by inheritance. Through 1993, women of childbearing potential were excluded from most Phase I and II clinical trials in the United States. Today, more than three decades later, 88% of preclinical biomedical research still uses male-only animal models. Female sex is reported as a covariate in fewer than half of pharmacokinetic studies. Cyclical hormonal state is reported in fewer than 10%.</w:t>
      </w:r>
    </w:p>
    <w:p>
      <w:r>
        <w:t xml:space="preserve">The consequences are measurable. Women experience adverse drug reactions at 1.5 to 1.7 times the rate of men. Conditions affecting 500 million women — endometriosis, PCOS, PMDD, adenomyosis, perimenopausal mood disorders — have seen no meaningful therapeutic progress in decades. And every AI drug discovery platform built today, every knowledge graph that the next generation of repurposing tools reasons over, inherits a substrate that is systematically wrong for half the population. Causaly, BenevolentAI, Recursion, Insilico, Healx — every one of them is building on male-default data and calling the result general-purpose.</w:t>
      </w:r>
    </w:p>
    <w:p>
      <w:r>
        <w:t xml:space="preserve">It is not general-purpose. It is male-default with a name change.</w:t>
      </w:r>
    </w:p>
    <w:p>
      <w:pPr>
        <w:pStyle w:val="Heading2"/>
      </w:pPr>
      <w:r>
        <w:t xml:space="preserve">The hinge</w:t>
      </w:r>
    </w:p>
    <w:p>
      <w:r>
        <w:t xml:space="preserve">Here is what nobody is saying out loud: the drugs that work for women's health conditions already exist. They are approved. They are prescribed. They are validated, every day, in millions of uncontrolled patient experiments that the institutional system refuses to recognize as evidence.</w:t>
      </w:r>
    </w:p>
    <w:p>
      <w:r>
        <w:t xml:space="preserve">Metformin for PCOS. Spironolactone for hormonal acne. GnRH antagonists, originally developed for prostate cancer, now the standard of care for endometriosis. SSRIs for PMDD — through a mechanism, as it turns out, that has nothing to do with serotonin reuptake and everything to do with neurosteroid modulation, which nobody understood when the drugs were first prescribed off-label. Letrozole, an aromatase inhibitor developed for breast cancer, increasingly used for PCOS-related infertility with evidence of superiority to clomiphene. Low-dose naltrexone for endometriosis pain, with a passionate patient community reporting benefit and almost zero institutional research. GLP-1 agonists for PCOS metabolic symptoms and endometriosis inflammation, with mechanistic plausibility and no formal study.</w:t>
      </w:r>
    </w:p>
    <w:p>
      <w:r>
        <w:t xml:space="preserve">Each of these took decades of ad hoc clinical practice to surface. Each took longer to formalize. Some never have. Women's health has the highest rate of off-label drug use in medicine because the drugs that work for these conditions were never formally developed for them — and because the institutional system that defines 'works' was not designed to read the evidence women's biology produces.</w:t>
      </w:r>
    </w:p>
    <w:p>
      <w:r>
        <w:t xml:space="preserve">That is unacceptable.</w:t>
      </w:r>
    </w:p>
    <w:p>
      <w:pPr>
        <w:pStyle w:val="Heading2"/>
      </w:pPr>
      <w:r>
        <w:t xml:space="preserve">What we are doing</w:t>
      </w:r>
    </w:p>
    <w:p>
      <w:r>
        <w:t xml:space="preserve">Whel exists to systematize what women's health already knows but has not proven. We build the evidence substrate that turns patient-community signal, off-label prescribing patterns, and the under-read corners of the biomedical literature into 505(b)(2)-ready drug repurposing candidates. We are not building a women's-health filter on someone else's male-default knowledge graph. We are building the corrected version.</w:t>
      </w:r>
    </w:p>
    <w:p>
      <w:r>
        <w:t xml:space="preserve">We start with PMDD, endometriosis, PCOS, and perimenopause — the conditions where the off-label signal is densest, the patient communities are most engaged, and the regulatory pathway through 505(b)(2) is most actionable. We expand to every therapeutic area where sex-specific biology matters, which is most of them. Autoimmune disease, where 80% of patients are female. Pain conditions, where female prevalence runs from 1.5x to 4x male. Neuropsychiatric conditions, where hormonal modulation reshapes drug response in ways the current substrate cannot model.</w:t>
      </w:r>
    </w:p>
    <w:p>
      <w:r>
        <w:t xml:space="preserve">What we surface, we anchor. Every claim ties to a verbatim source span. Every synthesis is marked as a synthesis. Every contradiction in the underlying evidence is shown, not averaged. The standard of proof is not 'the LLM says so.' The standard of proof is that a clinician-researcher can trace any claim Whel makes back to the exact sentence in the exact paper it came from, and decide for themselves whether the claim survives the scrutiny.</w:t>
      </w:r>
    </w:p>
    <w:p>
      <w:pPr>
        <w:pStyle w:val="Heading2"/>
      </w:pPr>
      <w:r>
        <w:t xml:space="preserve">What we refuse</w:t>
      </w:r>
    </w:p>
    <w:p>
      <w:r>
        <w:t xml:space="preserve">We refuse to call this a feel-good investment. The biology is real, the drugs exist, the regulatory pathway is well-trodden, and the economics work. This is structural alpha in drug development — the same way quant funds find mispriced assets in financial markets, we find mispriced drug candidates in female biology — and we will frame it that way to anyone who needs the investment thesis explained.</w:t>
      </w:r>
    </w:p>
    <w:p>
      <w:r>
        <w:t xml:space="preserve">We refuse to treat patient-community signal as either gospel or noise. It is hypothesis generation, validated by institutional evidence. We bring the rigor; patient communities have been bringing the signal for years. The right answer is to take both seriously and connect them.</w:t>
      </w:r>
    </w:p>
    <w:p>
      <w:r>
        <w:t xml:space="preserve">We refuse to soften the framing. Drug development was built on male biology. The consequence is millions of women under-served, under-studied, and under-treated. We are not closing a gap. We are correcting a record. The biology is on our side, the patients are on our side, and the numbers are on our side. The only thing missing is the platform. We are building it.</w:t>
      </w:r>
    </w:p>
    <w:p>
      <w:pPr>
        <w:shd w:fill="F4E4EC" w:color="auto" w:val="clear"/>
        <w:spacing w:after="200" w:before="200"/>
        <w:ind w:left="360" w:right="360"/>
      </w:pPr>
      <w:r>
        <w:rPr>
          <w:b/>
          <w:bCs/>
          <w:color w:val="7A1F3D"/>
        </w:rPr>
        <w:t xml:space="preserve">THE BET  </w:t>
      </w:r>
      <w:r>
        <w:t xml:space="preserve">If we are right that female biology is a specialty to own rather than a coverage gap to filter, the first team to build the corrected substrate wins the category. Everything else in this document is in service of that bet.</w:t>
      </w:r>
    </w:p>
    <w:p>
      <w:pPr>
        <w:pStyle w:val="Heading2"/>
      </w:pPr>
      <w:r>
        <w:t xml:space="preserve">The one-page version</w:t>
      </w:r>
    </w:p>
    <w:p>
      <w:r>
        <w:t xml:space="preserve">For when you need the manifesto in a single paragraph — for a homepage banner, a deck appendix, a grant cover letter, an advisor email.</w:t>
      </w:r>
    </w:p>
    <w:p>
      <w:pPr>
        <w:shd w:fill="F4E4EC" w:color="auto" w:val="clear"/>
        <w:spacing w:after="200" w:before="200"/>
        <w:ind w:left="360" w:right="360"/>
      </w:pPr>
      <w:r>
        <w:rPr>
          <w:b/>
          <w:bCs/>
          <w:color w:val="7A1F3D"/>
        </w:rPr>
        <w:t xml:space="preserve">WHEL — IN ONE PARAGRAPH  </w:t>
      </w:r>
      <w:r>
        <w:t xml:space="preserve">Drug development was built on male biology. The result is measurable: women experience adverse reactions at 1.5–1.7x the rate of men, conditions affecting 500 million women have seen no therapeutic progress in decades, and every AI drug discovery platform inherits the same male-default substrate. Yet the drugs that work for women's health conditions already exist — metformin for PCOS, spironolactone for hormonal acne, GnRH antagonists for endometriosis, SSRIs for PMDD through mechanisms nobody understood when they were first prescribed. Each took decades of ad hoc clinical practice to surface. We build the platform that systematizes this discovery. The corrected knowledge graph for female biology, the per-claim provenance discipline that survives regulatory scrutiny, and the patient-signal-to-505(b)(2) pipeline that turns what women's health already knows into what it can prove.</w:t>
      </w:r>
    </w:p>
    <w:p>
      <w:pPr>
        <w:pStyle w:val="Heading1"/>
        <w:pageBreakBefore/>
      </w:pPr>
      <w:r>
        <w:t xml:space="preserve">Part II. The Big Reframe</w:t>
      </w:r>
    </w:p>
    <w:p>
      <w:pPr>
        <w:spacing w:after="200"/>
      </w:pPr>
      <w:r>
        <w:rPr>
          <w:i/>
          <w:iCs/>
          <w:color w:val="555555"/>
          <w:sz w:val="22"/>
          <w:szCs w:val="22"/>
        </w:rPr>
        <w:t xml:space="preserve">Drug repurposing is the lead, not the infrastructure. The knowledge graph is how we do it. The drugs are what we deliver. This part of the document is the strategic argument for the reframe and the playbook for the expansion that follows.</w:t>
      </w:r>
    </w:p>
    <w:p>
      <w:pPr>
        <w:pStyle w:val="Heading2"/>
      </w:pPr>
      <w:r>
        <w:t xml:space="preserve">The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7A1F3D" w:color="auto" w:val="clear"/>
          </w:tcPr>
          <w:p>
            <w:r>
              <w:rPr>
                <w:b/>
                <w:bCs/>
                <w:color w:val="FFFFFF"/>
                <w:sz w:val="20"/>
                <w:szCs w:val="20"/>
              </w:rPr>
              <w:t xml:space="preserve">Before</w:t>
            </w:r>
          </w:p>
        </w:tc>
        <w:tc>
          <w:tcPr>
            <w:tcW w:type="dxa" w:w="4680"/>
            <w:shd w:fill="7A1F3D" w:color="auto" w:val="clear"/>
          </w:tcPr>
          <w:p>
            <w:r>
              <w:rPr>
                <w:b/>
                <w:bCs/>
                <w:color w:val="FFFFFF"/>
                <w:sz w:val="20"/>
                <w:szCs w:val="20"/>
              </w:rPr>
              <w:t xml:space="preserve">After</w:t>
            </w:r>
          </w:p>
        </w:tc>
      </w:tr>
      <w:tr>
        <w:trPr>
          <w:tblHeader w:val="false"/>
        </w:trPr>
        <w:tc>
          <w:tcPr>
            <w:tcW w:type="dxa" w:w="4680"/>
            <w:shd w:fill="F8F8F8" w:color="auto" w:val="clear"/>
          </w:tcPr>
          <w:p>
            <w:r>
              <w:rPr>
                <w:b w:val="false"/>
                <w:bCs w:val="false"/>
                <w:color w:val="222222"/>
                <w:sz w:val="20"/>
                <w:szCs w:val="20"/>
              </w:rPr>
              <w:t xml:space="preserve">Led with the knowledge graph and the epistemic standard</w:t>
            </w:r>
          </w:p>
        </w:tc>
        <w:tc>
          <w:tcPr>
            <w:tcW w:type="dxa" w:w="4680"/>
            <w:shd w:fill="F8F8F8" w:color="auto" w:val="clear"/>
          </w:tcPr>
          <w:p>
            <w:r>
              <w:rPr>
                <w:b w:val="false"/>
                <w:bCs w:val="false"/>
                <w:color w:val="222222"/>
                <w:sz w:val="20"/>
                <w:szCs w:val="20"/>
              </w:rPr>
              <w:t xml:space="preserve">Leads with the repurposing opportunity and the off-label evidence</w:t>
            </w:r>
          </w:p>
        </w:tc>
      </w:tr>
      <w:tr>
        <w:trPr>
          <w:tblHeader w:val="false"/>
        </w:trPr>
        <w:tc>
          <w:tcPr>
            <w:tcW w:type="dxa" w:w="4680"/>
            <w:shd w:fill="FFFFFF" w:color="auto" w:val="clear"/>
          </w:tcPr>
          <w:p>
            <w:r>
              <w:rPr>
                <w:b w:val="false"/>
                <w:bCs w:val="false"/>
                <w:color w:val="222222"/>
                <w:sz w:val="20"/>
                <w:szCs w:val="20"/>
              </w:rPr>
              <w:t xml:space="preserve">Drug repurposing was a sub-clause in the pitch</w:t>
            </w:r>
          </w:p>
        </w:tc>
        <w:tc>
          <w:tcPr>
            <w:tcW w:type="dxa" w:w="4680"/>
            <w:shd w:fill="FFFFFF" w:color="auto" w:val="clear"/>
          </w:tcPr>
          <w:p>
            <w:r>
              <w:rPr>
                <w:b w:val="false"/>
                <w:bCs w:val="false"/>
                <w:color w:val="222222"/>
                <w:sz w:val="20"/>
                <w:szCs w:val="20"/>
              </w:rPr>
              <w:t xml:space="preserve">Drug repurposing is the entire thesis</w:t>
            </w:r>
          </w:p>
        </w:tc>
      </w:tr>
      <w:tr>
        <w:trPr>
          <w:tblHeader w:val="false"/>
        </w:trPr>
        <w:tc>
          <w:tcPr>
            <w:tcW w:type="dxa" w:w="4680"/>
            <w:shd w:fill="F8F8F8" w:color="auto" w:val="clear"/>
          </w:tcPr>
          <w:p>
            <w:r>
              <w:rPr>
                <w:b w:val="false"/>
                <w:bCs w:val="false"/>
                <w:color w:val="222222"/>
                <w:sz w:val="20"/>
                <w:szCs w:val="20"/>
              </w:rPr>
              <w:t xml:space="preserve">Off-label use was not mentioned at all</w:t>
            </w:r>
          </w:p>
        </w:tc>
        <w:tc>
          <w:tcPr>
            <w:tcW w:type="dxa" w:w="4680"/>
            <w:shd w:fill="F8F8F8" w:color="auto" w:val="clear"/>
          </w:tcPr>
          <w:p>
            <w:r>
              <w:rPr>
                <w:b w:val="false"/>
                <w:bCs w:val="false"/>
                <w:color w:val="222222"/>
                <w:sz w:val="20"/>
                <w:szCs w:val="20"/>
              </w:rPr>
              <w:t xml:space="preserve">Off-label use is the opening hook and the most concrete proof point</w:t>
            </w:r>
          </w:p>
        </w:tc>
      </w:tr>
      <w:tr>
        <w:trPr>
          <w:tblHeader w:val="false"/>
        </w:trPr>
        <w:tc>
          <w:tcPr>
            <w:tcW w:type="dxa" w:w="4680"/>
            <w:shd w:fill="FFFFFF" w:color="auto" w:val="clear"/>
          </w:tcPr>
          <w:p>
            <w:r>
              <w:rPr>
                <w:b w:val="false"/>
                <w:bCs w:val="false"/>
                <w:color w:val="222222"/>
                <w:sz w:val="20"/>
                <w:szCs w:val="20"/>
              </w:rPr>
              <w:t xml:space="preserve">Patient-community signal was framed abstractly</w:t>
            </w:r>
          </w:p>
        </w:tc>
        <w:tc>
          <w:tcPr>
            <w:tcW w:type="dxa" w:w="4680"/>
            <w:shd w:fill="FFFFFF" w:color="auto" w:val="clear"/>
          </w:tcPr>
          <w:p>
            <w:r>
              <w:rPr>
                <w:b w:val="false"/>
                <w:bCs w:val="false"/>
                <w:color w:val="222222"/>
                <w:sz w:val="20"/>
                <w:szCs w:val="20"/>
              </w:rPr>
              <w:t xml:space="preserve">Patient-community signal is grounded in specific examples (LDN, GLP-1s, metformin)</w:t>
            </w:r>
          </w:p>
        </w:tc>
      </w:tr>
      <w:tr>
        <w:trPr>
          <w:tblHeader w:val="false"/>
        </w:trPr>
        <w:tc>
          <w:tcPr>
            <w:tcW w:type="dxa" w:w="4680"/>
            <w:shd w:fill="F8F8F8" w:color="auto" w:val="clear"/>
          </w:tcPr>
          <w:p>
            <w:r>
              <w:rPr>
                <w:b w:val="false"/>
                <w:bCs w:val="false"/>
                <w:color w:val="222222"/>
                <w:sz w:val="20"/>
                <w:szCs w:val="20"/>
              </w:rPr>
              <w:t xml:space="preserve">Sounded like a platform / infrastructure company</w:t>
            </w:r>
          </w:p>
        </w:tc>
        <w:tc>
          <w:tcPr>
            <w:tcW w:type="dxa" w:w="4680"/>
            <w:shd w:fill="F8F8F8" w:color="auto" w:val="clear"/>
          </w:tcPr>
          <w:p>
            <w:r>
              <w:rPr>
                <w:b w:val="false"/>
                <w:bCs w:val="false"/>
                <w:color w:val="222222"/>
                <w:sz w:val="20"/>
                <w:szCs w:val="20"/>
              </w:rPr>
              <w:t xml:space="preserve">Sounds like a company that finds drugs for conditions — using a platform</w:t>
            </w:r>
          </w:p>
        </w:tc>
      </w:tr>
      <w:tr>
        <w:trPr>
          <w:tblHeader w:val="false"/>
        </w:trPr>
        <w:tc>
          <w:tcPr>
            <w:tcW w:type="dxa" w:w="4680"/>
            <w:shd w:fill="FFFFFF" w:color="auto" w:val="clear"/>
          </w:tcPr>
          <w:p>
            <w:r>
              <w:rPr>
                <w:b w:val="false"/>
                <w:bCs w:val="false"/>
                <w:color w:val="222222"/>
                <w:sz w:val="20"/>
                <w:szCs w:val="20"/>
              </w:rPr>
              <w:t xml:space="preserve">"Corrected knowledge graph" was the hero</w:t>
            </w:r>
          </w:p>
        </w:tc>
        <w:tc>
          <w:tcPr>
            <w:tcW w:type="dxa" w:w="4680"/>
            <w:shd w:fill="FFFFFF" w:color="auto" w:val="clear"/>
          </w:tcPr>
          <w:p>
            <w:r>
              <w:rPr>
                <w:b w:val="false"/>
                <w:bCs w:val="false"/>
                <w:color w:val="222222"/>
                <w:sz w:val="20"/>
                <w:szCs w:val="20"/>
              </w:rPr>
              <w:t xml:space="preserve">"The drugs already exist" is the hero</w:t>
            </w:r>
          </w:p>
        </w:tc>
      </w:tr>
    </w:tbl>
    <w:p>
      <w:pPr>
        <w:pStyle w:val="Heading2"/>
      </w:pPr>
      <w:r>
        <w:t xml:space="preserve">Why this reframe is correct</w:t>
      </w:r>
    </w:p>
    <w:p>
      <w:pPr>
        <w:pStyle w:val="Heading3"/>
      </w:pPr>
      <w:r>
        <w:t xml:space="preserve">It produces a tangible output investors can evaluate</w:t>
      </w:r>
    </w:p>
    <w:p>
      <w:r>
        <w:t xml:space="preserve">'We've built a female biology knowledge graph' is infrastructure that requires explanation. 'We identified Drug X as a candidate for Condition Y, here is the evidence trail, here is the 505(b)(2) pathway' is a deliverable a pharma buyer can evaluate in a meeting and an investor can understand in thirty seconds. The platform is still real, the substrate is still the moat, but the conversation starts with the product.</w:t>
      </w:r>
    </w:p>
    <w:p>
      <w:pPr>
        <w:pStyle w:val="Heading3"/>
      </w:pPr>
      <w:r>
        <w:t xml:space="preserve">The validation cycle is compressed</w:t>
      </w:r>
    </w:p>
    <w:p>
      <w:r>
        <w:t xml:space="preserve">A de novo molecule clears Phase II in five to ten years. A repurposing candidate, with an existing safety profile and decades of off-label use, can be evaluated by a pharma team starting tomorrow. We do not have to wait a decade to prove the platform works. We have to surface one credible candidate that a domain expert looks at and says 'I would not have found that, and it is plausible.' That is achievable in months.</w:t>
      </w:r>
    </w:p>
    <w:p>
      <w:pPr>
        <w:pStyle w:val="Heading3"/>
      </w:pPr>
      <w:r>
        <w:t xml:space="preserve">The economics are venture-compatible at small scale</w:t>
      </w:r>
    </w:p>
    <w:p>
      <w:r>
        <w:t xml:space="preserve">Traditional de novo drug development costs roughly a billion dollars and 10–15 years per candidate, with approximately 90% failure rates. 505(b)(2) repurposing costs $5–200M and 3–8 years, with significantly lower failure rates because the safety profile is already established. A SaaS platform that helps a pharma women's health division identify even two or three credible repurposing candidates per year is enormously valuable relative to their R&amp;D spend — because each candidate they do not have to develop de novo saves them hundreds of millions. We do not need to generate billions in value per candidate to be commercially meaningful. We need to surface a few credible ones.</w:t>
      </w:r>
    </w:p>
    <w:p>
      <w:pPr>
        <w:pStyle w:val="Heading3"/>
      </w:pPr>
      <w:r>
        <w:t xml:space="preserve">Repurposing is where the patient-community thesis has maximum leverage</w:t>
      </w:r>
    </w:p>
    <w:p>
      <w:r>
        <w:t xml:space="preserve">When a patient reports that an existing approved drug helped their endometriosis pain, that is a repurposing hypothesis with an already-approved molecule. When the platform validates it against mechanistic and clinical evidence, the output is directly actionable. In a de novo discovery context, patient-community signal is far less useful — patients cannot report on molecules that do not yet exist. The patient-signal-to-institutional-validation pipeline that Whel is building is inherently a repurposing pipeline.</w:t>
      </w:r>
    </w:p>
    <w:p>
      <w:pPr>
        <w:pStyle w:val="Heading2"/>
      </w:pPr>
      <w:r>
        <w:t xml:space="preserve">The expansion playbook — precedent matters</w:t>
      </w:r>
    </w:p>
    <w:p>
      <w:r>
        <w:t xml:space="preserve">Every major AI drug discovery company started narrower than they are today. The pattern is identical: repurposing produces credibility, credibility produces data, data produces broader platform capability. Not one of these companies opened with 'we do everything in drug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2880"/>
      </w:tblGrid>
      <w:tr>
        <w:trPr>
          <w:tblHeader/>
        </w:trPr>
        <w:tc>
          <w:tcPr>
            <w:tcW w:type="dxa" w:w="1440"/>
            <w:shd w:fill="7A1F3D" w:color="auto" w:val="clear"/>
          </w:tcPr>
          <w:p>
            <w:r>
              <w:rPr>
                <w:b/>
                <w:bCs/>
                <w:color w:val="FFFFFF"/>
                <w:sz w:val="20"/>
                <w:szCs w:val="20"/>
              </w:rPr>
              <w:t xml:space="preserve">Company</w:t>
            </w:r>
          </w:p>
        </w:tc>
        <w:tc>
          <w:tcPr>
            <w:tcW w:type="dxa" w:w="2160"/>
            <w:shd w:fill="7A1F3D" w:color="auto" w:val="clear"/>
          </w:tcPr>
          <w:p>
            <w:r>
              <w:rPr>
                <w:b/>
                <w:bCs/>
                <w:color w:val="FFFFFF"/>
                <w:sz w:val="20"/>
                <w:szCs w:val="20"/>
              </w:rPr>
              <w:t xml:space="preserve">Started with</w:t>
            </w:r>
          </w:p>
        </w:tc>
        <w:tc>
          <w:tcPr>
            <w:tcW w:type="dxa" w:w="2880"/>
            <w:shd w:fill="7A1F3D" w:color="auto" w:val="clear"/>
          </w:tcPr>
          <w:p>
            <w:r>
              <w:rPr>
                <w:b/>
                <w:bCs/>
                <w:color w:val="FFFFFF"/>
                <w:sz w:val="20"/>
                <w:szCs w:val="20"/>
              </w:rPr>
              <w:t xml:space="preserve">Expanded to</w:t>
            </w:r>
          </w:p>
        </w:tc>
        <w:tc>
          <w:tcPr>
            <w:tcW w:type="dxa" w:w="2880"/>
            <w:shd w:fill="7A1F3D" w:color="auto" w:val="clear"/>
          </w:tcPr>
          <w:p>
            <w:r>
              <w:rPr>
                <w:b/>
                <w:bCs/>
                <w:color w:val="FFFFFF"/>
                <w:sz w:val="20"/>
                <w:szCs w:val="20"/>
              </w:rPr>
              <w:t xml:space="preserve">How</w:t>
            </w:r>
          </w:p>
        </w:tc>
      </w:tr>
      <w:tr>
        <w:trPr>
          <w:tblHeader w:val="false"/>
        </w:trPr>
        <w:tc>
          <w:tcPr>
            <w:tcW w:type="dxa" w:w="1440"/>
            <w:shd w:fill="F8F8F8" w:color="auto" w:val="clear"/>
          </w:tcPr>
          <w:p>
            <w:r>
              <w:rPr>
                <w:b w:val="false"/>
                <w:bCs w:val="false"/>
                <w:color w:val="222222"/>
                <w:sz w:val="20"/>
                <w:szCs w:val="20"/>
              </w:rPr>
              <w:t xml:space="preserve">Recursion</w:t>
            </w:r>
          </w:p>
        </w:tc>
        <w:tc>
          <w:tcPr>
            <w:tcW w:type="dxa" w:w="2160"/>
            <w:shd w:fill="F8F8F8" w:color="auto" w:val="clear"/>
          </w:tcPr>
          <w:p>
            <w:r>
              <w:rPr>
                <w:b w:val="false"/>
                <w:bCs w:val="false"/>
                <w:color w:val="222222"/>
                <w:sz w:val="20"/>
                <w:szCs w:val="20"/>
              </w:rPr>
              <w:t xml:space="preserve">Drug repurposing for rare genetic diseases</w:t>
            </w:r>
          </w:p>
        </w:tc>
        <w:tc>
          <w:tcPr>
            <w:tcW w:type="dxa" w:w="2880"/>
            <w:shd w:fill="F8F8F8" w:color="auto" w:val="clear"/>
          </w:tcPr>
          <w:p>
            <w:r>
              <w:rPr>
                <w:b w:val="false"/>
                <w:bCs w:val="false"/>
                <w:color w:val="222222"/>
                <w:sz w:val="20"/>
                <w:szCs w:val="20"/>
              </w:rPr>
              <w:t xml:space="preserve">Full-stack AI discovery across oncology, infectious disease, neuroscience; acquired Exscientia, Cyclica</w:t>
            </w:r>
          </w:p>
        </w:tc>
        <w:tc>
          <w:tcPr>
            <w:tcW w:type="dxa" w:w="2880"/>
            <w:shd w:fill="F8F8F8" w:color="auto" w:val="clear"/>
          </w:tcPr>
          <w:p>
            <w:r>
              <w:rPr>
                <w:b w:val="false"/>
                <w:bCs w:val="false"/>
                <w:color w:val="222222"/>
                <w:sz w:val="20"/>
                <w:szCs w:val="20"/>
              </w:rPr>
              <w:t xml:space="preserve">Proved the platform on repurposing, used data and models for de novo</w:t>
            </w:r>
          </w:p>
        </w:tc>
      </w:tr>
      <w:tr>
        <w:trPr>
          <w:tblHeader w:val="false"/>
        </w:trPr>
        <w:tc>
          <w:tcPr>
            <w:tcW w:type="dxa" w:w="1440"/>
            <w:shd w:fill="FFFFFF" w:color="auto" w:val="clear"/>
          </w:tcPr>
          <w:p>
            <w:r>
              <w:rPr>
                <w:b w:val="false"/>
                <w:bCs w:val="false"/>
                <w:color w:val="222222"/>
                <w:sz w:val="20"/>
                <w:szCs w:val="20"/>
              </w:rPr>
              <w:t xml:space="preserve">BenevolentAI</w:t>
            </w:r>
          </w:p>
        </w:tc>
        <w:tc>
          <w:tcPr>
            <w:tcW w:type="dxa" w:w="2160"/>
            <w:shd w:fill="FFFFFF" w:color="auto" w:val="clear"/>
          </w:tcPr>
          <w:p>
            <w:r>
              <w:rPr>
                <w:b w:val="false"/>
                <w:bCs w:val="false"/>
                <w:color w:val="222222"/>
                <w:sz w:val="20"/>
                <w:szCs w:val="20"/>
              </w:rPr>
              <w:t xml:space="preserve">Knowledge graph for repurposing (baricitinib for COVID)</w:t>
            </w:r>
          </w:p>
        </w:tc>
        <w:tc>
          <w:tcPr>
            <w:tcW w:type="dxa" w:w="2880"/>
            <w:shd w:fill="FFFFFF" w:color="auto" w:val="clear"/>
          </w:tcPr>
          <w:p>
            <w:r>
              <w:rPr>
                <w:b w:val="false"/>
                <w:bCs w:val="false"/>
                <w:color w:val="222222"/>
                <w:sz w:val="20"/>
                <w:szCs w:val="20"/>
              </w:rPr>
              <w:t xml:space="preserve">Novel target ID, internal pipeline, broader disease modeling</w:t>
            </w:r>
          </w:p>
        </w:tc>
        <w:tc>
          <w:tcPr>
            <w:tcW w:type="dxa" w:w="2880"/>
            <w:shd w:fill="FFFFFF" w:color="auto" w:val="clear"/>
          </w:tcPr>
          <w:p>
            <w:r>
              <w:rPr>
                <w:b w:val="false"/>
                <w:bCs w:val="false"/>
                <w:color w:val="222222"/>
                <w:sz w:val="20"/>
                <w:szCs w:val="20"/>
              </w:rPr>
              <w:t xml:space="preserve">Repurposing built credibility; same KG enabled de novo targets</w:t>
            </w:r>
          </w:p>
        </w:tc>
      </w:tr>
      <w:tr>
        <w:trPr>
          <w:tblHeader w:val="false"/>
        </w:trPr>
        <w:tc>
          <w:tcPr>
            <w:tcW w:type="dxa" w:w="1440"/>
            <w:shd w:fill="F8F8F8" w:color="auto" w:val="clear"/>
          </w:tcPr>
          <w:p>
            <w:r>
              <w:rPr>
                <w:b w:val="false"/>
                <w:bCs w:val="false"/>
                <w:color w:val="222222"/>
                <w:sz w:val="20"/>
                <w:szCs w:val="20"/>
              </w:rPr>
              <w:t xml:space="preserve">Healx</w:t>
            </w:r>
          </w:p>
        </w:tc>
        <w:tc>
          <w:tcPr>
            <w:tcW w:type="dxa" w:w="2160"/>
            <w:shd w:fill="F8F8F8" w:color="auto" w:val="clear"/>
          </w:tcPr>
          <w:p>
            <w:r>
              <w:rPr>
                <w:b w:val="false"/>
                <w:bCs w:val="false"/>
                <w:color w:val="222222"/>
                <w:sz w:val="20"/>
                <w:szCs w:val="20"/>
              </w:rPr>
              <w:t xml:space="preserve">Drug repurposing for rare diseases</w:t>
            </w:r>
          </w:p>
        </w:tc>
        <w:tc>
          <w:tcPr>
            <w:tcW w:type="dxa" w:w="2880"/>
            <w:shd w:fill="F8F8F8" w:color="auto" w:val="clear"/>
          </w:tcPr>
          <w:p>
            <w:r>
              <w:rPr>
                <w:b w:val="false"/>
                <w:bCs w:val="false"/>
                <w:color w:val="222222"/>
                <w:sz w:val="20"/>
                <w:szCs w:val="20"/>
              </w:rPr>
              <w:t xml:space="preserve">15+ conditions including neurodegeneration and spinal cord injury</w:t>
            </w:r>
          </w:p>
        </w:tc>
        <w:tc>
          <w:tcPr>
            <w:tcW w:type="dxa" w:w="2880"/>
            <w:shd w:fill="F8F8F8" w:color="auto" w:val="clear"/>
          </w:tcPr>
          <w:p>
            <w:r>
              <w:rPr>
                <w:b w:val="false"/>
                <w:bCs w:val="false"/>
                <w:color w:val="222222"/>
                <w:sz w:val="20"/>
                <w:szCs w:val="20"/>
              </w:rPr>
              <w:t xml:space="preserve">Focused repurposing model proven, then broadened scope</w:t>
            </w:r>
          </w:p>
        </w:tc>
      </w:tr>
      <w:tr>
        <w:trPr>
          <w:tblHeader w:val="false"/>
        </w:trPr>
        <w:tc>
          <w:tcPr>
            <w:tcW w:type="dxa" w:w="1440"/>
            <w:shd w:fill="FFFFFF" w:color="auto" w:val="clear"/>
          </w:tcPr>
          <w:p>
            <w:r>
              <w:rPr>
                <w:b w:val="false"/>
                <w:bCs w:val="false"/>
                <w:color w:val="222222"/>
                <w:sz w:val="20"/>
                <w:szCs w:val="20"/>
              </w:rPr>
              <w:t xml:space="preserve">Insilico Medicine</w:t>
            </w:r>
          </w:p>
        </w:tc>
        <w:tc>
          <w:tcPr>
            <w:tcW w:type="dxa" w:w="2160"/>
            <w:shd w:fill="FFFFFF" w:color="auto" w:val="clear"/>
          </w:tcPr>
          <w:p>
            <w:r>
              <w:rPr>
                <w:b w:val="false"/>
                <w:bCs w:val="false"/>
                <w:color w:val="222222"/>
                <w:sz w:val="20"/>
                <w:szCs w:val="20"/>
              </w:rPr>
              <w:t xml:space="preserve">Drug repurposing and aging research</w:t>
            </w:r>
          </w:p>
        </w:tc>
        <w:tc>
          <w:tcPr>
            <w:tcW w:type="dxa" w:w="2880"/>
            <w:shd w:fill="FFFFFF" w:color="auto" w:val="clear"/>
          </w:tcPr>
          <w:p>
            <w:r>
              <w:rPr>
                <w:b w:val="false"/>
                <w:bCs w:val="false"/>
                <w:color w:val="222222"/>
                <w:sz w:val="20"/>
                <w:szCs w:val="20"/>
              </w:rPr>
              <w:t xml:space="preserve">Generative AI discovery, de novo design (INS018_055 for IPF), $2.75B Lilly deal</w:t>
            </w:r>
          </w:p>
        </w:tc>
        <w:tc>
          <w:tcPr>
            <w:tcW w:type="dxa" w:w="2880"/>
            <w:shd w:fill="FFFFFF" w:color="auto" w:val="clear"/>
          </w:tcPr>
          <w:p>
            <w:r>
              <w:rPr>
                <w:b w:val="false"/>
                <w:bCs w:val="false"/>
                <w:color w:val="222222"/>
                <w:sz w:val="20"/>
                <w:szCs w:val="20"/>
              </w:rPr>
              <w:t xml:space="preserve">Repurposing for early wins and data; generative chemistry grew alongside</w:t>
            </w:r>
          </w:p>
        </w:tc>
      </w:tr>
    </w:tbl>
    <w:p>
      <w:pPr>
        <w:pStyle w:val="Heading2"/>
      </w:pPr>
      <w:r>
        <w:t xml:space="preserve">The Whel-specific expansion path</w:t>
      </w:r>
    </w:p>
    <w:p>
      <w:pPr>
        <w:pStyle w:val="Heading3"/>
      </w:pPr>
      <w:r>
        <w:t xml:space="preserve">Phase 1 — Drug repurposing for core women's health conditions (Months 0–18)</w:t>
      </w:r>
    </w:p>
    <w:p>
      <w:pPr>
        <w:pStyle w:val="ListParagraph"/>
        <w:numPr>
          <w:ilvl w:val="0"/>
          <w:numId w:val="2"/>
        </w:numPr>
      </w:pPr>
      <w:r>
        <w:t xml:space="preserve">Conditions: PMDD, endometriosis, PCOS, adenomyosis, perimenopausal mood disorders, vulvodynia.</w:t>
      </w:r>
    </w:p>
    <w:p>
      <w:pPr>
        <w:pStyle w:val="ListParagraph"/>
        <w:numPr>
          <w:ilvl w:val="0"/>
          <w:numId w:val="2"/>
        </w:numPr>
      </w:pPr>
      <w:r>
        <w:t xml:space="preserve">Output: specific drug-repurposing candidates with full evidence trails.</w:t>
      </w:r>
    </w:p>
    <w:p>
      <w:pPr>
        <w:pStyle w:val="ListParagraph"/>
        <w:numPr>
          <w:ilvl w:val="0"/>
          <w:numId w:val="2"/>
        </w:numPr>
      </w:pPr>
      <w:r>
        <w:t xml:space="preserve">Revenue: early SaaS contracts with women's health pharma and biotech teams.</w:t>
      </w:r>
    </w:p>
    <w:p>
      <w:pPr>
        <w:pStyle w:val="ListParagraph"/>
        <w:numPr>
          <w:ilvl w:val="0"/>
          <w:numId w:val="2"/>
        </w:numPr>
      </w:pPr>
      <w:r>
        <w:t xml:space="preserve">Proof points: published audit, ARPA-H or Gates Foundation grant, first concrete candidate surfaced and validated.</w:t>
      </w:r>
    </w:p>
    <w:p>
      <w:pPr>
        <w:pStyle w:val="Heading3"/>
      </w:pPr>
      <w:r>
        <w:t xml:space="preserve">Phase 2 — Expand to sex-divergent conditions (Months 18–36)</w:t>
      </w:r>
    </w:p>
    <w:p>
      <w:pPr>
        <w:pStyle w:val="ListParagraph"/>
        <w:numPr>
          <w:ilvl w:val="0"/>
          <w:numId w:val="2"/>
        </w:numPr>
      </w:pPr>
      <w:r>
        <w:t xml:space="preserve">Autoimmune (lupus, RA, MS, Sjögren's — 80% female patients).</w:t>
      </w:r>
    </w:p>
    <w:p>
      <w:pPr>
        <w:pStyle w:val="ListParagraph"/>
        <w:numPr>
          <w:ilvl w:val="0"/>
          <w:numId w:val="2"/>
        </w:numPr>
      </w:pPr>
      <w:r>
        <w:t xml:space="preserve">Pain conditions (fibromyalgia, migraine, chronic pelvic pain).</w:t>
      </w:r>
    </w:p>
    <w:p>
      <w:pPr>
        <w:pStyle w:val="ListParagraph"/>
        <w:numPr>
          <w:ilvl w:val="0"/>
          <w:numId w:val="2"/>
        </w:numPr>
      </w:pPr>
      <w:r>
        <w:t xml:space="preserve">Neuropsychiatric (postpartum depression, perimenopausal mood disorders, ADHD in women).</w:t>
      </w:r>
    </w:p>
    <w:p>
      <w:pPr>
        <w:pStyle w:val="ListParagraph"/>
        <w:numPr>
          <w:ilvl w:val="0"/>
          <w:numId w:val="2"/>
        </w:numPr>
      </w:pPr>
      <w:r>
        <w:t xml:space="preserve">The knowledge graph and sex-specific PK modeling transfer directly. The platform is the same; the conditions are bigger markets.</w:t>
      </w:r>
    </w:p>
    <w:p>
      <w:pPr>
        <w:pStyle w:val="Heading3"/>
      </w:pPr>
      <w:r>
        <w:t xml:space="preserve">Phase 3 — Beyond repurposing (Months 36+)</w:t>
      </w:r>
    </w:p>
    <w:p>
      <w:pPr>
        <w:pStyle w:val="ListParagraph"/>
        <w:numPr>
          <w:ilvl w:val="0"/>
          <w:numId w:val="2"/>
        </w:numPr>
      </w:pPr>
      <w:r>
        <w:t xml:space="preserve">Novel target identification using the female biology knowledge graph (the substrate built for repurposing also surfaces de novo targets).</w:t>
      </w:r>
    </w:p>
    <w:p>
      <w:pPr>
        <w:pStyle w:val="ListParagraph"/>
        <w:numPr>
          <w:ilvl w:val="0"/>
          <w:numId w:val="2"/>
        </w:numPr>
      </w:pPr>
      <w:r>
        <w:t xml:space="preserve">Combination therapy prediction — which existing drugs might work synergistically for endometriosis or PCOS.</w:t>
      </w:r>
    </w:p>
    <w:p>
      <w:pPr>
        <w:pStyle w:val="ListParagraph"/>
        <w:numPr>
          <w:ilvl w:val="0"/>
          <w:numId w:val="2"/>
        </w:numPr>
      </w:pPr>
      <w:r>
        <w:t xml:space="preserve">Sex-stratified clinical trial design optimization.</w:t>
      </w:r>
    </w:p>
    <w:p>
      <w:pPr>
        <w:pStyle w:val="ListParagraph"/>
        <w:numPr>
          <w:ilvl w:val="0"/>
          <w:numId w:val="2"/>
        </w:numPr>
      </w:pPr>
      <w:r>
        <w:t xml:space="preserve">Precision medicine applications — which repurposed drug works for which patient subtype.</w:t>
      </w:r>
    </w:p>
    <w:p>
      <w:pPr>
        <w:pStyle w:val="Heading2"/>
      </w:pPr>
      <w:r>
        <w:t xml:space="preserve">Handling the "are you just a repurposing tool?" pushback</w:t>
      </w:r>
    </w:p>
    <w:p>
      <w:r>
        <w:t xml:space="preserve">Some investors will pigeonhole the company as a repurposing tool rather than a platform, and repurposing-only companies have historically been valued lower than full-stack discovery platforms. The answer to this is embedded in the pitch: the knowledge graph built for repurposing is the same asset that enables target identification, combination prediction, and precision medicine. Expansion is not a pivot — it is unlocking capabilities that are latent in the substrate. Say it this way:</w:t>
      </w:r>
    </w:p>
    <w:p>
      <w:pPr>
        <w:shd w:fill="F4E4EC" w:color="auto" w:val="clear"/>
        <w:spacing w:after="200" w:before="200"/>
        <w:ind w:left="360" w:right="360"/>
      </w:pPr>
      <w:r>
        <w:rPr>
          <w:b/>
          <w:bCs/>
          <w:color w:val="7A1F3D"/>
        </w:rPr>
        <w:t xml:space="preserve">THE INVESTOR ANSWER  </w:t>
      </w:r>
      <w:r>
        <w:t xml:space="preserve">We start with repurposing because it is the fastest path to concrete output, revenue, and validation. But the female biology knowledge graph we are building for repurposing is the same asset that enables novel target discovery, combination therapy prediction, and sex-stratified clinical design. Repurposing is where we prove the platform. What we are building is the operating system for female biology drug development.</w:t>
      </w:r>
    </w:p>
    <w:p>
      <w:r>
        <w:t xml:space="preserve">That sentence prevents the pigeonhole while keeping repurposing as the credible, near-term entry point. Use it verbatim when the pigeonhole risk surfaces.</w:t>
      </w:r>
    </w:p>
    <w:p>
      <w:pPr>
        <w:pStyle w:val="Heading2"/>
      </w:pPr>
      <w:r>
        <w:t xml:space="preserve">Why repurposing-first is actually stronger than "everything at once"</w:t>
      </w:r>
    </w:p>
    <w:p>
      <w:r>
        <w:t xml:space="preserve">There is an industry-analysis insight worth keeping front-of-mind: as AI tools become more accessible, the discovery phase of general repurposing will commoditize. The companies that succeed will excel at what comes next — rapid clinical validation, masterful navigation of 505(b)(2), and strategic IP construction around the new use.</w:t>
      </w:r>
    </w:p>
    <w:p>
      <w:r>
        <w:t xml:space="preserve">That actually strengthens our position. If general repurposing discovery commoditizes, the competitive advantage shifts to three things we are building from day one: a specialized knowledge substrate that surfaces candidates general platforms miss (the female biology graph), regulatory pathway expertise specific to the therapeutic area (505(b)(2) for women's health indications), and evidence quality and traceability that survives regulatory scrutiny (the per-claim provenance discipline). All three are the substrate moat. Starting with repurposing means we are competing on these axes from the first day.</w:t>
      </w:r>
    </w:p>
    <w:p>
      <w:pPr>
        <w:pStyle w:val="Heading1"/>
        <w:pageBreakBefore/>
      </w:pPr>
      <w:r>
        <w:t xml:space="preserve">Part III. Three Narrative Registers</w:t>
      </w:r>
    </w:p>
    <w:p>
      <w:pPr>
        <w:spacing w:after="200"/>
      </w:pPr>
      <w:r>
        <w:rPr>
          <w:i/>
          <w:iCs/>
          <w:color w:val="555555"/>
          <w:sz w:val="22"/>
          <w:szCs w:val="22"/>
        </w:rPr>
        <w:t xml:space="preserve">One spine, three registers. Each audience gets the same underlying thesis pitched in the language that audience understands. Drift the register, not the spine.</w:t>
      </w:r>
    </w:p>
    <w:p>
      <w:pPr>
        <w:pStyle w:val="Heading2"/>
      </w:pPr>
      <w:r>
        <w:t xml:space="preserve">The shared spine</w:t>
      </w:r>
    </w:p>
    <w:p>
      <w:r>
        <w:t xml:space="preserve">Across all three registers, what stays constant is the structural argument: drug development was built on male biology, the drugs that work for women's health already exist (off-label, patient-validated, mechanistically plausible), no platform systematically validates them, and Whel is building that platform. What changes by register is what is emphasized — the investment thesis, the buyer pain, or the moral and scientific case.</w:t>
      </w:r>
    </w:p>
    <w:p>
      <w:pPr>
        <w:pStyle w:val="Heading2"/>
      </w:pPr>
      <w:r>
        <w:t xml:space="preserve">Register 1 — Scientific arbitrage (for investors)</w:t>
      </w:r>
    </w:p>
    <w:p>
      <w:pPr>
        <w:pStyle w:val="Heading3"/>
      </w:pPr>
      <w:r>
        <w:t xml:space="preserve">The frame</w:t>
      </w:r>
    </w:p>
    <w:p>
      <w:r>
        <w:t xml:space="preserve">Whel is not a social mission company that happens to use AI. It is a scientific arbitrage play. The entire pharmacological knowledge base was built on male biology, which means there is a massive universe of approved drugs whose effects on female biology are poorly characterized, mispriced, or unknown. We are the platform that systematically mines that gap.</w:t>
      </w:r>
    </w:p>
    <w:p>
      <w:pPr>
        <w:pStyle w:val="Heading3"/>
      </w:pPr>
      <w:r>
        <w:t xml:space="preserve">Key language to use verbatim</w:t>
      </w:r>
    </w:p>
    <w:p>
      <w:pPr>
        <w:shd w:fill="F4E4EC" w:color="auto" w:val="clear"/>
        <w:spacing w:after="200" w:before="200"/>
        <w:ind w:left="360" w:right="360"/>
      </w:pPr>
      <w:r>
        <w:rPr>
          <w:b/>
          <w:bCs/>
          <w:color w:val="7A1F3D"/>
        </w:rPr>
        <w:t xml:space="preserve">INVESTOR LINE 1  </w:t>
      </w:r>
      <w:r>
        <w:t xml:space="preserve">The male-default knowledge base is not just a social problem — it is a scientific mispricing. 88% of preclinical research used male-only models. The drug-disease relationship map every AI platform reasons over is systematically wrong for half the population. We are building the corrected version.</w:t>
      </w:r>
    </w:p>
    <w:p>
      <w:pPr>
        <w:shd w:fill="F4E4EC" w:color="auto" w:val="clear"/>
        <w:spacing w:after="200" w:before="200"/>
        <w:ind w:left="360" w:right="360"/>
      </w:pPr>
      <w:r>
        <w:rPr>
          <w:b/>
          <w:bCs/>
          <w:color w:val="7A1F3D"/>
        </w:rPr>
        <w:t xml:space="preserve">INVESTOR LINE 2  </w:t>
      </w:r>
      <w:r>
        <w:t xml:space="preserve">This is structural alpha in drug development. The same way quant funds find mispriced assets in financial markets, we find mispriced drug candidates in female biology.</w:t>
      </w:r>
    </w:p>
    <w:p>
      <w:pPr>
        <w:shd w:fill="F4E4EC" w:color="auto" w:val="clear"/>
        <w:spacing w:after="200" w:before="200"/>
        <w:ind w:left="360" w:right="360"/>
      </w:pPr>
      <w:r>
        <w:rPr>
          <w:b/>
          <w:bCs/>
          <w:color w:val="7A1F3D"/>
        </w:rPr>
        <w:t xml:space="preserve">INVESTOR LINE 3  </w:t>
      </w:r>
      <w:r>
        <w:t xml:space="preserve">We do not start with a women's health mission and then look for technology. We start with a biological fact — sex-specific pharmacology is real, documented, and unmonetized — and build the platform that extracts value from it.</w:t>
      </w:r>
    </w:p>
    <w:p>
      <w:pPr>
        <w:pStyle w:val="Heading3"/>
      </w:pPr>
      <w:r>
        <w:t xml:space="preserve">Why this register works</w:t>
      </w:r>
    </w:p>
    <w:p>
      <w:r>
        <w:t xml:space="preserve">It reframes women's health from a feel-good investment thesis (which sophisticated investors are skeptical of, fairly or not) into an information advantage thesis (which they understand and respect). The $360B 'ghost market' in under-invested conditions that disproportionately affect women becomes a quantifiable inefficiency, not a moral imperative. The moral imperative is real and we mean it, but it does not lead in this register.</w:t>
      </w:r>
    </w:p>
    <w:p>
      <w:pPr>
        <w:pStyle w:val="Heading2"/>
      </w:pPr>
      <w:r>
        <w:t xml:space="preserve">Register 2 — Evidence trust (for pharma buyers)</w:t>
      </w:r>
    </w:p>
    <w:p>
      <w:pPr>
        <w:pStyle w:val="Heading3"/>
      </w:pPr>
      <w:r>
        <w:t xml:space="preserve">The frame</w:t>
      </w:r>
    </w:p>
    <w:p>
      <w:r>
        <w:t xml:space="preserve">Pharma women's health teams are stuck between general-purpose AI tools that were not built for their biology and manual literature review that cannot keep up. They need a platform that understands female biology and shows its work at a standard that survives regulatory scrutiny. We are that platform.</w:t>
      </w:r>
    </w:p>
    <w:p>
      <w:pPr>
        <w:pStyle w:val="Heading3"/>
      </w:pPr>
      <w:r>
        <w:t xml:space="preserve">Key language to use verbatim</w:t>
      </w:r>
    </w:p>
    <w:p>
      <w:pPr>
        <w:shd w:fill="F4E4EC" w:color="auto" w:val="clear"/>
        <w:spacing w:after="200" w:before="200"/>
        <w:ind w:left="360" w:right="360"/>
      </w:pPr>
      <w:r>
        <w:rPr>
          <w:b/>
          <w:bCs/>
          <w:color w:val="7A1F3D"/>
        </w:rPr>
        <w:t xml:space="preserve">PHARMA LINE 1  </w:t>
      </w:r>
      <w:r>
        <w:t xml:space="preserve">Your R&amp;D team should not have to mentally adjust every AI output for sex differences that the platform was not designed to account for.</w:t>
      </w:r>
    </w:p>
    <w:p>
      <w:pPr>
        <w:shd w:fill="F4E4EC" w:color="auto" w:val="clear"/>
        <w:spacing w:after="200" w:before="200"/>
        <w:ind w:left="360" w:right="360"/>
      </w:pPr>
      <w:r>
        <w:rPr>
          <w:b/>
          <w:bCs/>
          <w:color w:val="7A1F3D"/>
        </w:rPr>
        <w:t xml:space="preserve">PHARMA LINE 2  </w:t>
      </w:r>
      <w:r>
        <w:t xml:space="preserve">We surface contradictions, not consensus. When the evidence says a candidate helps endometriosis but may worsen PCOS insulin resistance, you see both — with the mechanistic reasoning and the citation trail. That is how you make go/no-go decisions you can defend.</w:t>
      </w:r>
    </w:p>
    <w:p>
      <w:pPr>
        <w:shd w:fill="F4E4EC" w:color="auto" w:val="clear"/>
        <w:spacing w:after="200" w:before="200"/>
        <w:ind w:left="360" w:right="360"/>
      </w:pPr>
      <w:r>
        <w:rPr>
          <w:b/>
          <w:bCs/>
          <w:color w:val="7A1F3D"/>
        </w:rPr>
        <w:t xml:space="preserve">PHARMA LINE 3  </w:t>
      </w:r>
      <w:r>
        <w:t xml:space="preserve">Patient communities have been running uncontrolled experiments for decades. We validate their signals against mechanistic and clinical evidence so you get early hypotheses with institutional rigor.</w:t>
      </w:r>
    </w:p>
    <w:p>
      <w:pPr>
        <w:pStyle w:val="Heading3"/>
      </w:pPr>
      <w:r>
        <w:t xml:space="preserve">Why this register works</w:t>
      </w:r>
    </w:p>
    <w:p>
      <w:r>
        <w:t xml:space="preserve">It speaks to the lived frustration of women's health R&amp;D teams who have been underserved by tools built for oncology. The 'shows its work' emphasis maps directly to the regulatory burden these teams carry — 505(b)(2) filings require evidence trails, and Whel produces them natively. Pharma buyers do not need to be convinced women's health matters; they need to be convinced a platform exists that takes it seriously.</w:t>
      </w:r>
    </w:p>
    <w:p>
      <w:pPr>
        <w:pStyle w:val="Heading2"/>
      </w:pPr>
      <w:r>
        <w:t xml:space="preserve">Register 3 — Correcting the record (for public, media, grants)</w:t>
      </w:r>
    </w:p>
    <w:p>
      <w:pPr>
        <w:pStyle w:val="Heading3"/>
      </w:pPr>
      <w:r>
        <w:t xml:space="preserve">The frame</w:t>
      </w:r>
    </w:p>
    <w:p>
      <w:r>
        <w:t xml:space="preserve">Drug development was built on male biology and the consequences are measurable. Women experience 1.5–1.7x more adverse drug reactions. Conditions affecting 500M+ women have seen no meaningful therapeutic progress in decades. AI platforms trained on this biased data are amplifying the problem through model collapse. We exist to correct the record.</w:t>
      </w:r>
    </w:p>
    <w:p>
      <w:pPr>
        <w:pStyle w:val="Heading3"/>
      </w:pPr>
      <w:r>
        <w:t xml:space="preserve">Key language to use verbatim</w:t>
      </w:r>
    </w:p>
    <w:p>
      <w:pPr>
        <w:shd w:fill="F4E4EC" w:color="auto" w:val="clear"/>
        <w:spacing w:after="200" w:before="200"/>
        <w:ind w:left="360" w:right="360"/>
      </w:pPr>
      <w:r>
        <w:rPr>
          <w:b/>
          <w:bCs/>
          <w:color w:val="7A1F3D"/>
        </w:rPr>
        <w:t xml:space="preserve">PUBLIC LINE 1  </w:t>
      </w:r>
      <w:r>
        <w:t xml:space="preserve">The knowledge graph that every major AI drug discovery platform reasons over was built on data from male cells, male mice, and male-majority clinical trials. We are not filtering that graph for women. We are building a new one.</w:t>
      </w:r>
    </w:p>
    <w:p>
      <w:pPr>
        <w:shd w:fill="F4E4EC" w:color="auto" w:val="clear"/>
        <w:spacing w:after="200" w:before="200"/>
        <w:ind w:left="360" w:right="360"/>
      </w:pPr>
      <w:r>
        <w:rPr>
          <w:b/>
          <w:bCs/>
          <w:color w:val="7A1F3D"/>
        </w:rPr>
        <w:t xml:space="preserve">PUBLIC LINE 2  </w:t>
      </w:r>
      <w:r>
        <w:t xml:space="preserve">Endometriosis affects the same percentage of women as diabetes affects the general population — roughly 10%. Diabetes has thousands of clinical data points in every biobank. Endometriosis has a fraction. That is not a biological difference. It is an institutional failure. And it is one that AI is currently amplifying, not correcting.</w:t>
      </w:r>
    </w:p>
    <w:p>
      <w:pPr>
        <w:shd w:fill="F4E4EC" w:color="auto" w:val="clear"/>
        <w:spacing w:after="200" w:before="200"/>
        <w:ind w:left="360" w:right="360"/>
      </w:pPr>
      <w:r>
        <w:rPr>
          <w:b/>
          <w:bCs/>
          <w:color w:val="7A1F3D"/>
        </w:rPr>
        <w:t xml:space="preserve">PUBLIC LINE 3  </w:t>
      </w:r>
      <w:r>
        <w:t xml:space="preserve">Patient communities did not wait for institutional research. Women with PMDD, endometriosis, and PCOS have been sharing what works and what does not for years. That signal is real. We are the first platform to mine it rigorously.</w:t>
      </w:r>
    </w:p>
    <w:p>
      <w:pPr>
        <w:pStyle w:val="Heading3"/>
      </w:pPr>
      <w:r>
        <w:t xml:space="preserve">Why this register works</w:t>
      </w:r>
    </w:p>
    <w:p>
      <w:r>
        <w:t xml:space="preserve">It earns media coverage, ARPA-H and Gates Foundation grants, and advisor recruitment. It has moral urgency without being preachy — the numbers do the work. This is the register that builds the category brand: 'the female biology platform' becomes a public position, not just a product description.</w:t>
      </w:r>
    </w:p>
    <w:p>
      <w:pPr>
        <w:pStyle w:val="Heading2"/>
      </w:pPr>
      <w:r>
        <w:t xml:space="preserve">Mixing the registers</w:t>
      </w:r>
    </w:p>
    <w:p>
      <w:r>
        <w:t xml:space="preserve">In most real conversations you will mix two or all three registers. The rule is: lead with the register your audience is in, anchor with one supporting line from a second register to add weight, and never lead with the third register your audience is least receptive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shd w:fill="7A1F3D" w:color="auto" w:val="clear"/>
          </w:tcPr>
          <w:p>
            <w:r>
              <w:rPr>
                <w:b/>
                <w:bCs/>
                <w:color w:val="FFFFFF"/>
                <w:sz w:val="20"/>
                <w:szCs w:val="20"/>
              </w:rPr>
              <w:t xml:space="preserve">Audience</w:t>
            </w:r>
          </w:p>
        </w:tc>
        <w:tc>
          <w:tcPr>
            <w:tcW w:type="dxa" w:w="2520"/>
            <w:shd w:fill="7A1F3D" w:color="auto" w:val="clear"/>
          </w:tcPr>
          <w:p>
            <w:r>
              <w:rPr>
                <w:b/>
                <w:bCs/>
                <w:color w:val="FFFFFF"/>
                <w:sz w:val="20"/>
                <w:szCs w:val="20"/>
              </w:rPr>
              <w:t xml:space="preserve">Lead with</w:t>
            </w:r>
          </w:p>
        </w:tc>
        <w:tc>
          <w:tcPr>
            <w:tcW w:type="dxa" w:w="2520"/>
            <w:shd w:fill="7A1F3D" w:color="auto" w:val="clear"/>
          </w:tcPr>
          <w:p>
            <w:r>
              <w:rPr>
                <w:b/>
                <w:bCs/>
                <w:color w:val="FFFFFF"/>
                <w:sz w:val="20"/>
                <w:szCs w:val="20"/>
              </w:rPr>
              <w:t xml:space="preserve">Anchor with</w:t>
            </w:r>
          </w:p>
        </w:tc>
        <w:tc>
          <w:tcPr>
            <w:tcW w:type="dxa" w:w="2520"/>
            <w:shd w:fill="7A1F3D" w:color="auto" w:val="clear"/>
          </w:tcPr>
          <w:p>
            <w:r>
              <w:rPr>
                <w:b/>
                <w:bCs/>
                <w:color w:val="FFFFFF"/>
                <w:sz w:val="20"/>
                <w:szCs w:val="20"/>
              </w:rPr>
              <w:t xml:space="preserve">Avoid leading with</w:t>
            </w:r>
          </w:p>
        </w:tc>
      </w:tr>
      <w:tr>
        <w:trPr>
          <w:tblHeader w:val="false"/>
        </w:trPr>
        <w:tc>
          <w:tcPr>
            <w:tcW w:type="dxa" w:w="1800"/>
            <w:shd w:fill="F8F8F8" w:color="auto" w:val="clear"/>
          </w:tcPr>
          <w:p>
            <w:r>
              <w:rPr>
                <w:b w:val="false"/>
                <w:bCs w:val="false"/>
                <w:color w:val="222222"/>
                <w:sz w:val="20"/>
                <w:szCs w:val="20"/>
              </w:rPr>
              <w:t xml:space="preserve">VC investor</w:t>
            </w:r>
          </w:p>
        </w:tc>
        <w:tc>
          <w:tcPr>
            <w:tcW w:type="dxa" w:w="2520"/>
            <w:shd w:fill="F8F8F8" w:color="auto" w:val="clear"/>
          </w:tcPr>
          <w:p>
            <w:r>
              <w:rPr>
                <w:b w:val="false"/>
                <w:bCs w:val="false"/>
                <w:color w:val="222222"/>
                <w:sz w:val="20"/>
                <w:szCs w:val="20"/>
              </w:rPr>
              <w:t xml:space="preserve">Scientific arbitrage</w:t>
            </w:r>
          </w:p>
        </w:tc>
        <w:tc>
          <w:tcPr>
            <w:tcW w:type="dxa" w:w="2520"/>
            <w:shd w:fill="F8F8F8" w:color="auto" w:val="clear"/>
          </w:tcPr>
          <w:p>
            <w:r>
              <w:rPr>
                <w:b w:val="false"/>
                <w:bCs w:val="false"/>
                <w:color w:val="222222"/>
                <w:sz w:val="20"/>
                <w:szCs w:val="20"/>
              </w:rPr>
              <w:t xml:space="preserve">Evidence trust (buyer demand exists)</w:t>
            </w:r>
          </w:p>
        </w:tc>
        <w:tc>
          <w:tcPr>
            <w:tcW w:type="dxa" w:w="2520"/>
            <w:shd w:fill="F8F8F8" w:color="auto" w:val="clear"/>
          </w:tcPr>
          <w:p>
            <w:r>
              <w:rPr>
                <w:b w:val="false"/>
                <w:bCs w:val="false"/>
                <w:color w:val="222222"/>
                <w:sz w:val="20"/>
                <w:szCs w:val="20"/>
              </w:rPr>
              <w:t xml:space="preserve">Correcting the record (sounds like mission-only)</w:t>
            </w:r>
          </w:p>
        </w:tc>
      </w:tr>
      <w:tr>
        <w:trPr>
          <w:tblHeader w:val="false"/>
        </w:trPr>
        <w:tc>
          <w:tcPr>
            <w:tcW w:type="dxa" w:w="1800"/>
            <w:shd w:fill="FFFFFF" w:color="auto" w:val="clear"/>
          </w:tcPr>
          <w:p>
            <w:r>
              <w:rPr>
                <w:b w:val="false"/>
                <w:bCs w:val="false"/>
                <w:color w:val="222222"/>
                <w:sz w:val="20"/>
                <w:szCs w:val="20"/>
              </w:rPr>
              <w:t xml:space="preserve">Pharma women's health team</w:t>
            </w:r>
          </w:p>
        </w:tc>
        <w:tc>
          <w:tcPr>
            <w:tcW w:type="dxa" w:w="2520"/>
            <w:shd w:fill="FFFFFF" w:color="auto" w:val="clear"/>
          </w:tcPr>
          <w:p>
            <w:r>
              <w:rPr>
                <w:b w:val="false"/>
                <w:bCs w:val="false"/>
                <w:color w:val="222222"/>
                <w:sz w:val="20"/>
                <w:szCs w:val="20"/>
              </w:rPr>
              <w:t xml:space="preserve">Evidence trust</w:t>
            </w:r>
          </w:p>
        </w:tc>
        <w:tc>
          <w:tcPr>
            <w:tcW w:type="dxa" w:w="2520"/>
            <w:shd w:fill="FFFFFF" w:color="auto" w:val="clear"/>
          </w:tcPr>
          <w:p>
            <w:r>
              <w:rPr>
                <w:b w:val="false"/>
                <w:bCs w:val="false"/>
                <w:color w:val="222222"/>
                <w:sz w:val="20"/>
                <w:szCs w:val="20"/>
              </w:rPr>
              <w:t xml:space="preserve">Correcting the record (legitimizes their internal advocacy)</w:t>
            </w:r>
          </w:p>
        </w:tc>
        <w:tc>
          <w:tcPr>
            <w:tcW w:type="dxa" w:w="2520"/>
            <w:shd w:fill="FFFFFF" w:color="auto" w:val="clear"/>
          </w:tcPr>
          <w:p>
            <w:r>
              <w:rPr>
                <w:b w:val="false"/>
                <w:bCs w:val="false"/>
                <w:color w:val="222222"/>
                <w:sz w:val="20"/>
                <w:szCs w:val="20"/>
              </w:rPr>
              <w:t xml:space="preserve">Scientific arbitrage (irrelevant to operational pain)</w:t>
            </w:r>
          </w:p>
        </w:tc>
      </w:tr>
      <w:tr>
        <w:trPr>
          <w:tblHeader w:val="false"/>
        </w:trPr>
        <w:tc>
          <w:tcPr>
            <w:tcW w:type="dxa" w:w="1800"/>
            <w:shd w:fill="F8F8F8" w:color="auto" w:val="clear"/>
          </w:tcPr>
          <w:p>
            <w:r>
              <w:rPr>
                <w:b w:val="false"/>
                <w:bCs w:val="false"/>
                <w:color w:val="222222"/>
                <w:sz w:val="20"/>
                <w:szCs w:val="20"/>
              </w:rPr>
              <w:t xml:space="preserve">Grant officer (ARPA-H, Gates, NIH)</w:t>
            </w:r>
          </w:p>
        </w:tc>
        <w:tc>
          <w:tcPr>
            <w:tcW w:type="dxa" w:w="2520"/>
            <w:shd w:fill="F8F8F8" w:color="auto" w:val="clear"/>
          </w:tcPr>
          <w:p>
            <w:r>
              <w:rPr>
                <w:b w:val="false"/>
                <w:bCs w:val="false"/>
                <w:color w:val="222222"/>
                <w:sz w:val="20"/>
                <w:szCs w:val="20"/>
              </w:rPr>
              <w:t xml:space="preserve">Correcting the record</w:t>
            </w:r>
          </w:p>
        </w:tc>
        <w:tc>
          <w:tcPr>
            <w:tcW w:type="dxa" w:w="2520"/>
            <w:shd w:fill="F8F8F8" w:color="auto" w:val="clear"/>
          </w:tcPr>
          <w:p>
            <w:r>
              <w:rPr>
                <w:b w:val="false"/>
                <w:bCs w:val="false"/>
                <w:color w:val="222222"/>
                <w:sz w:val="20"/>
                <w:szCs w:val="20"/>
              </w:rPr>
              <w:t xml:space="preserve">Evidence trust (we ship to real users)</w:t>
            </w:r>
          </w:p>
        </w:tc>
        <w:tc>
          <w:tcPr>
            <w:tcW w:type="dxa" w:w="2520"/>
            <w:shd w:fill="F8F8F8" w:color="auto" w:val="clear"/>
          </w:tcPr>
          <w:p>
            <w:r>
              <w:rPr>
                <w:b w:val="false"/>
                <w:bCs w:val="false"/>
                <w:color w:val="222222"/>
                <w:sz w:val="20"/>
                <w:szCs w:val="20"/>
              </w:rPr>
              <w:t xml:space="preserve">Scientific arbitrage (wrong vocabulary)</w:t>
            </w:r>
          </w:p>
        </w:tc>
      </w:tr>
      <w:tr>
        <w:trPr>
          <w:tblHeader w:val="false"/>
        </w:trPr>
        <w:tc>
          <w:tcPr>
            <w:tcW w:type="dxa" w:w="1800"/>
            <w:shd w:fill="FFFFFF" w:color="auto" w:val="clear"/>
          </w:tcPr>
          <w:p>
            <w:r>
              <w:rPr>
                <w:b w:val="false"/>
                <w:bCs w:val="false"/>
                <w:color w:val="222222"/>
                <w:sz w:val="20"/>
                <w:szCs w:val="20"/>
              </w:rPr>
              <w:t xml:space="preserve">Media / journalist</w:t>
            </w:r>
          </w:p>
        </w:tc>
        <w:tc>
          <w:tcPr>
            <w:tcW w:type="dxa" w:w="2520"/>
            <w:shd w:fill="FFFFFF" w:color="auto" w:val="clear"/>
          </w:tcPr>
          <w:p>
            <w:r>
              <w:rPr>
                <w:b w:val="false"/>
                <w:bCs w:val="false"/>
                <w:color w:val="222222"/>
                <w:sz w:val="20"/>
                <w:szCs w:val="20"/>
              </w:rPr>
              <w:t xml:space="preserve">Correcting the record</w:t>
            </w:r>
          </w:p>
        </w:tc>
        <w:tc>
          <w:tcPr>
            <w:tcW w:type="dxa" w:w="2520"/>
            <w:shd w:fill="FFFFFF" w:color="auto" w:val="clear"/>
          </w:tcPr>
          <w:p>
            <w:r>
              <w:rPr>
                <w:b w:val="false"/>
                <w:bCs w:val="false"/>
                <w:color w:val="222222"/>
                <w:sz w:val="20"/>
                <w:szCs w:val="20"/>
              </w:rPr>
              <w:t xml:space="preserve">Evidence trust (real concrete product, real candidates)</w:t>
            </w:r>
          </w:p>
        </w:tc>
        <w:tc>
          <w:tcPr>
            <w:tcW w:type="dxa" w:w="2520"/>
            <w:shd w:fill="FFFFFF" w:color="auto" w:val="clear"/>
          </w:tcPr>
          <w:p>
            <w:r>
              <w:rPr>
                <w:b w:val="false"/>
                <w:bCs w:val="false"/>
                <w:color w:val="222222"/>
                <w:sz w:val="20"/>
                <w:szCs w:val="20"/>
              </w:rPr>
              <w:t xml:space="preserve">Scientific arbitrage (sounds extractive)</w:t>
            </w:r>
          </w:p>
        </w:tc>
      </w:tr>
      <w:tr>
        <w:trPr>
          <w:tblHeader w:val="false"/>
        </w:trPr>
        <w:tc>
          <w:tcPr>
            <w:tcW w:type="dxa" w:w="1800"/>
            <w:shd w:fill="F8F8F8" w:color="auto" w:val="clear"/>
          </w:tcPr>
          <w:p>
            <w:r>
              <w:rPr>
                <w:b w:val="false"/>
                <w:bCs w:val="false"/>
                <w:color w:val="222222"/>
                <w:sz w:val="20"/>
                <w:szCs w:val="20"/>
              </w:rPr>
              <w:t xml:space="preserve">Clinician-researcher / advisor</w:t>
            </w:r>
          </w:p>
        </w:tc>
        <w:tc>
          <w:tcPr>
            <w:tcW w:type="dxa" w:w="2520"/>
            <w:shd w:fill="F8F8F8" w:color="auto" w:val="clear"/>
          </w:tcPr>
          <w:p>
            <w:r>
              <w:rPr>
                <w:b w:val="false"/>
                <w:bCs w:val="false"/>
                <w:color w:val="222222"/>
                <w:sz w:val="20"/>
                <w:szCs w:val="20"/>
              </w:rPr>
              <w:t xml:space="preserve">Evidence trust</w:t>
            </w:r>
          </w:p>
        </w:tc>
        <w:tc>
          <w:tcPr>
            <w:tcW w:type="dxa" w:w="2520"/>
            <w:shd w:fill="F8F8F8" w:color="auto" w:val="clear"/>
          </w:tcPr>
          <w:p>
            <w:r>
              <w:rPr>
                <w:b w:val="false"/>
                <w:bCs w:val="false"/>
                <w:color w:val="222222"/>
                <w:sz w:val="20"/>
                <w:szCs w:val="20"/>
              </w:rPr>
              <w:t xml:space="preserve">Correcting the record (shared frustration)</w:t>
            </w:r>
          </w:p>
        </w:tc>
        <w:tc>
          <w:tcPr>
            <w:tcW w:type="dxa" w:w="2520"/>
            <w:shd w:fill="F8F8F8" w:color="auto" w:val="clear"/>
          </w:tcPr>
          <w:p>
            <w:r>
              <w:rPr>
                <w:b w:val="false"/>
                <w:bCs w:val="false"/>
                <w:color w:val="222222"/>
                <w:sz w:val="20"/>
                <w:szCs w:val="20"/>
              </w:rPr>
              <w:t xml:space="preserve">Scientific arbitrage (alienating)</w:t>
            </w:r>
          </w:p>
        </w:tc>
      </w:tr>
      <w:tr>
        <w:trPr>
          <w:tblHeader w:val="false"/>
        </w:trPr>
        <w:tc>
          <w:tcPr>
            <w:tcW w:type="dxa" w:w="1800"/>
            <w:shd w:fill="FFFFFF" w:color="auto" w:val="clear"/>
          </w:tcPr>
          <w:p>
            <w:r>
              <w:rPr>
                <w:b w:val="false"/>
                <w:bCs w:val="false"/>
                <w:color w:val="222222"/>
                <w:sz w:val="20"/>
                <w:szCs w:val="20"/>
              </w:rPr>
              <w:t xml:space="preserve">Patient-advocacy organization</w:t>
            </w:r>
          </w:p>
        </w:tc>
        <w:tc>
          <w:tcPr>
            <w:tcW w:type="dxa" w:w="2520"/>
            <w:shd w:fill="FFFFFF" w:color="auto" w:val="clear"/>
          </w:tcPr>
          <w:p>
            <w:r>
              <w:rPr>
                <w:b w:val="false"/>
                <w:bCs w:val="false"/>
                <w:color w:val="222222"/>
                <w:sz w:val="20"/>
                <w:szCs w:val="20"/>
              </w:rPr>
              <w:t xml:space="preserve">Correcting the record</w:t>
            </w:r>
          </w:p>
        </w:tc>
        <w:tc>
          <w:tcPr>
            <w:tcW w:type="dxa" w:w="2520"/>
            <w:shd w:fill="FFFFFF" w:color="auto" w:val="clear"/>
          </w:tcPr>
          <w:p>
            <w:r>
              <w:rPr>
                <w:b w:val="false"/>
                <w:bCs w:val="false"/>
                <w:color w:val="222222"/>
                <w:sz w:val="20"/>
                <w:szCs w:val="20"/>
              </w:rPr>
              <w:t xml:space="preserve">Evidence trust (we will treat the signal seriously)</w:t>
            </w:r>
          </w:p>
        </w:tc>
        <w:tc>
          <w:tcPr>
            <w:tcW w:type="dxa" w:w="2520"/>
            <w:shd w:fill="FFFFFF" w:color="auto" w:val="clear"/>
          </w:tcPr>
          <w:p>
            <w:r>
              <w:rPr>
                <w:b w:val="false"/>
                <w:bCs w:val="false"/>
                <w:color w:val="222222"/>
                <w:sz w:val="20"/>
                <w:szCs w:val="20"/>
              </w:rPr>
              <w:t xml:space="preserve">Scientific arbitrage (off-putting)</w:t>
            </w:r>
          </w:p>
        </w:tc>
      </w:tr>
    </w:tbl>
    <w:p>
      <w:pPr>
        <w:pStyle w:val="Heading1"/>
        <w:pageBreakBefore/>
      </w:pPr>
      <w:r>
        <w:t xml:space="preserve">Part IV. The Pitch</w:t>
      </w:r>
    </w:p>
    <w:p>
      <w:pPr>
        <w:spacing w:after="200"/>
      </w:pPr>
      <w:r>
        <w:rPr>
          <w:i/>
          <w:iCs/>
          <w:color w:val="555555"/>
          <w:sz w:val="22"/>
          <w:szCs w:val="22"/>
        </w:rPr>
        <w:t xml:space="preserve">Canonical pitch language at four lengths: the one-liner, the 30-second, the problem statement (long form), and the solution statement (long form). Plus the explicit non-claims — the things we are not saying.</w:t>
      </w:r>
    </w:p>
    <w:p>
      <w:pPr>
        <w:pStyle w:val="Heading2"/>
      </w:pPr>
      <w:r>
        <w:t xml:space="preserve">4.1 The one-liner</w:t>
      </w:r>
    </w:p>
    <w:p>
      <w:r>
        <w:t xml:space="preserve">Lead with the product, not the substrate. Pick one of the two depending on context:</w:t>
      </w:r>
    </w:p>
    <w:p>
      <w:pPr>
        <w:shd w:fill="F4E4EC" w:color="auto" w:val="clear"/>
        <w:spacing w:after="200" w:before="200"/>
        <w:ind w:left="360" w:right="360"/>
      </w:pPr>
      <w:r>
        <w:rPr>
          <w:b/>
          <w:bCs/>
          <w:color w:val="7A1F3D"/>
        </w:rPr>
        <w:t xml:space="preserve">PRIMARY ONE-LINER  </w:t>
      </w:r>
      <w:r>
        <w:t xml:space="preserve">Whel finds the approved drugs that already work for women's health conditions — and proves it rigorously enough for pharma to act.</w:t>
      </w:r>
    </w:p>
    <w:p>
      <w:pPr>
        <w:shd w:fill="F4E4EC" w:color="auto" w:val="clear"/>
        <w:spacing w:after="200" w:before="200"/>
        <w:ind w:left="360" w:right="360"/>
      </w:pPr>
      <w:r>
        <w:rPr>
          <w:b/>
          <w:bCs/>
          <w:color w:val="7A1F3D"/>
        </w:rPr>
        <w:t xml:space="preserve">PLATFORM ONE-LINER (for technical / investor audiences)  </w:t>
      </w:r>
      <w:r>
        <w:t xml:space="preserve">The drug repurposing platform for female biology — built on a corrected knowledge graph that captures sex-specific pharmacokinetics, cyclical hormonal state, and the off-label evidence general-purpose AI platforms miss.</w:t>
      </w:r>
    </w:p>
    <w:p>
      <w:pPr>
        <w:pStyle w:val="Heading2"/>
      </w:pPr>
      <w:r>
        <w:t xml:space="preserve">4.2 The 30-second pitch</w:t>
      </w:r>
    </w:p>
    <w:p>
      <w:r>
        <w:t xml:space="preserve">The version to memorize. Lead with off-label use because it is concrete, immediately credible, and frames the company as a drug-finder, not infrastructure.</w:t>
      </w:r>
    </w:p>
    <w:p>
      <w:pPr>
        <w:shd w:fill="F4E4EC" w:color="auto" w:val="clear"/>
        <w:spacing w:after="200" w:before="200"/>
        <w:ind w:left="360" w:right="360"/>
      </w:pPr>
      <w:r>
        <w:rPr>
          <w:b/>
          <w:bCs/>
          <w:color w:val="7A1F3D"/>
        </w:rPr>
        <w:t xml:space="preserve">30-SECOND PITCH  </w:t>
      </w:r>
      <w:r>
        <w:t xml:space="preserve">Women's health has the highest rate of off-label drug use in medicine. Metformin for PCOS, spironolactone for hormonal acne, GnRH antagonists from prostate cancer for endometriosis — every one was discovered through decades of ad hoc prescribing, not systematic drug development. Right now, patient communities are surfacing the next generation of these signals, and no platform exists to validate them. We are building the drug repurposing engine for female biology. Our knowledge graph models sex-specific pharmacokinetics, cyclical hormonal state, and cross-condition mechanisms that general platforms miss because they were built on male-default data. We validate patient-community hypotheses against mechanistic and clinical evidence and produce 505(b)(2)-ready candidates that pharma women's health teams can act on. We start with endometriosis, PCOS, PMDD, and perimenopause — and expand to every therapeutic area where sex-specific drug response matters. The white space is real, the biology is defensible, and the drugs are already out there.</w:t>
      </w:r>
    </w:p>
    <w:p>
      <w:pPr>
        <w:pStyle w:val="Heading2"/>
      </w:pPr>
      <w:r>
        <w:t xml:space="preserve">4.3 The problem statement (long form)</w:t>
      </w:r>
    </w:p>
    <w:p>
      <w:r>
        <w:t xml:space="preserve">For the website 'about' page, the deck problem slide, the grant application problem section, the long-form essay we will eventually write.</w:t>
      </w:r>
    </w:p>
    <w:p>
      <w:r>
        <w:t xml:space="preserve">Every AI drug discovery platform — Causaly, BenevolentAI, Recursion, Insilico — reasons over knowledge graphs built from biomedical research that used male-only animal models 88% of the time, that excluded women from clinical trials until 1993, and that still does not analyze outcomes by sex in over half of published studies. These platforms are not biased by choice. They are biased by inheritance.</w:t>
      </w:r>
    </w:p>
    <w:p>
      <w:r>
        <w:t xml:space="preserve">The result: drugs that behave differently in female biology go undetected as repurposing candidates. Conditions like endometriosis and PCOS — affecting roughly 10% of the female population each, the same prevalence as diabetes in the general population — remain therapeutically stagnant despite affecting more than 500 million women combined. And the AI systems meant to accelerate drug discovery are actively widening the gap through model collapse on male-default data.</w:t>
      </w:r>
    </w:p>
    <w:p>
      <w:r>
        <w:t xml:space="preserve">Meanwhile, the drugs that work for these conditions already exist. They are approved, prescribed off-label every day, and validated in millions of uncontrolled patient experiments that the institutional system refuses to read as evidence. Metformin for PCOS. Spironolactone for hormonal acne. GnRH antagonists, developed for prostate cancer, now the standard of care for endometriosis. SSRIs for PMDD through a neurosteroid-modulation mechanism that has nothing to do with serotonin reuptake — a mechanism nobody understood when the drugs were first prescribed off-label. Letrozole for PCOS-related infertility. Each of these took decades to surface and longer to formalize. Most never have been.</w:t>
      </w:r>
    </w:p>
    <w:p>
      <w:r>
        <w:t xml:space="preserve">No platform has built the corrected version. We are.</w:t>
      </w:r>
    </w:p>
    <w:p>
      <w:pPr>
        <w:pStyle w:val="Heading2"/>
      </w:pPr>
      <w:r>
        <w:t xml:space="preserve">4.4 The solution statement (long form)</w:t>
      </w:r>
    </w:p>
    <w:p>
      <w:r>
        <w:t xml:space="preserve">Whel is the drug repurposing platform for female biology. We operate on three layers.</w:t>
      </w:r>
    </w:p>
    <w:p>
      <w:r>
        <w:t xml:space="preserve">The substrate layer is a corrected knowledge graph — Postgres-native, ontology-grounded — that captures sex-specific pharmacokinetics, cyclical hormonal state, and the cross-condition mechanistic relationships general platforms miss because they were trained on male-default data. We seed it from PrimeKG and CTKG, ground it in MONDO, HPO, RxNorm, and ChEMBL, and enrich it with female-specific ontology extensions that no existing biomedical ontology adequately covers.</w:t>
      </w:r>
    </w:p>
    <w:p>
      <w:r>
        <w:t xml:space="preserve">The retrieval and validation layer uses provenance-preserving extraction patterns tuned for biomedical literature — every claim ties to a verbatim source span, every synthesis is marked as a synthesis, every contradiction in the underlying literature is surfaced explicitly rather than averaged. This is what the §3060 research-support exemption requires and what clinicians need to trust the output.</w:t>
      </w:r>
    </w:p>
    <w:p>
      <w:r>
        <w:t xml:space="preserve">The hypothesis layer integrates patient-community signal — off-label prescribing patterns, advocacy-organization registries, structured patient reports — as hypothesis generation, validated downstream against mechanistic and clinical evidence. Patient signal is not equated with RCT evidence. It is the input that surfaces hypotheses worth checking.</w:t>
      </w:r>
    </w:p>
    <w:p>
      <w:r>
        <w:t xml:space="preserve">The output is specific drug-repurposing candidates with full evidence trails: which drug, for which condition, with what mechanistic rationale, and what regulatory pathway through 505(b)(2). Pharma women's health teams use this to make go/no-go decisions on which candidates to take forward. Research groups use it to design the next trial. Advocacy organizations use it to direct funding to the most promising leads.</w:t>
      </w:r>
    </w:p>
    <w:p>
      <w:pPr>
        <w:pStyle w:val="Heading2"/>
      </w:pPr>
      <w:r>
        <w:t xml:space="preserve">4.5 What we are not claiming</w:t>
      </w:r>
    </w:p>
    <w:p>
      <w:r>
        <w:t xml:space="preserve">Equally important. The things we explicitly do not say, and why.</w:t>
      </w:r>
    </w:p>
    <w:p>
      <w:pPr>
        <w:pStyle w:val="ListParagraph"/>
        <w:numPr>
          <w:ilvl w:val="0"/>
          <w:numId w:val="2"/>
        </w:numPr>
      </w:pPr>
      <w:r>
        <w:t xml:space="preserve">We are not a drug-discovery company doing de novo molecular design. The substrate enables that eventually; we do not lead with it.</w:t>
      </w:r>
    </w:p>
    <w:p>
      <w:pPr>
        <w:pStyle w:val="ListParagraph"/>
        <w:numPr>
          <w:ilvl w:val="0"/>
          <w:numId w:val="2"/>
        </w:numPr>
      </w:pPr>
      <w:r>
        <w:t xml:space="preserve">We are not an FDA-regulated clinical decision support tool. We position deliberately under the 21st Century Cures Act §3060 research-support exemption. Our output goes to researchers and clinician-researchers, not directly to patient-care decisions.</w:t>
      </w:r>
    </w:p>
    <w:p>
      <w:pPr>
        <w:pStyle w:val="ListParagraph"/>
        <w:numPr>
          <w:ilvl w:val="0"/>
          <w:numId w:val="2"/>
        </w:numPr>
      </w:pPr>
      <w:r>
        <w:t xml:space="preserve">We are not claiming patient-community signal is equal in evidence weight to RCTs. It is a hypothesis-generation input to a validation pipeline.</w:t>
      </w:r>
    </w:p>
    <w:p>
      <w:pPr>
        <w:pStyle w:val="ListParagraph"/>
        <w:numPr>
          <w:ilvl w:val="0"/>
          <w:numId w:val="2"/>
        </w:numPr>
      </w:pPr>
      <w:r>
        <w:t xml:space="preserve">We are not claiming the LLM is the moat. The moat is the corrected substrate.</w:t>
      </w:r>
    </w:p>
    <w:p>
      <w:pPr>
        <w:pStyle w:val="ListParagraph"/>
        <w:numPr>
          <w:ilvl w:val="0"/>
          <w:numId w:val="2"/>
        </w:numPr>
      </w:pPr>
      <w:r>
        <w:t xml:space="preserve">We are not 'Healx for women's health' — although in early conversations the comparison may be useful as a quick reference, retire it as soon as the audience has the substrate framing. Healx and its peers cannot become Whel without first building the corrected knowledge graph we are building.</w:t>
      </w:r>
    </w:p>
    <w:p>
      <w:pPr>
        <w:pStyle w:val="ListParagraph"/>
        <w:numPr>
          <w:ilvl w:val="0"/>
          <w:numId w:val="2"/>
        </w:numPr>
      </w:pPr>
      <w:r>
        <w:t xml:space="preserve">We are not closing a gap, filtering existing data, or adding women's health on top of someone else's platform. We are building the corrected version from the substrate up.</w:t>
      </w:r>
    </w:p>
    <w:p>
      <w:pPr>
        <w:pStyle w:val="Heading1"/>
        <w:pageBreakBefore/>
      </w:pPr>
      <w:r>
        <w:t xml:space="preserve">Part V. Framing Devices</w:t>
      </w:r>
    </w:p>
    <w:p>
      <w:pPr>
        <w:spacing w:after="200"/>
      </w:pPr>
      <w:r>
        <w:rPr>
          <w:i/>
          <w:iCs/>
          <w:color w:val="555555"/>
          <w:sz w:val="22"/>
          <w:szCs w:val="22"/>
        </w:rPr>
        <w:t xml:space="preserve">Conceptual anchors to use repeatedly across pitch, website, publications, and conversations. These are the phrases that, once they enter circulation in a conversation, reframe everything that follows. Use them deliberately.</w:t>
      </w:r>
    </w:p>
    <w:p>
      <w:pPr>
        <w:pStyle w:val="Heading2"/>
      </w:pPr>
      <w:r>
        <w:t xml:space="preserve">The seven recurring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40"/>
        <w:gridCol w:w="3420"/>
      </w:tblGrid>
      <w:tr>
        <w:trPr>
          <w:tblHeader/>
        </w:trPr>
        <w:tc>
          <w:tcPr>
            <w:tcW w:type="dxa" w:w="2700"/>
            <w:shd w:fill="7A1F3D" w:color="auto" w:val="clear"/>
          </w:tcPr>
          <w:p>
            <w:r>
              <w:rPr>
                <w:b/>
                <w:bCs/>
                <w:color w:val="FFFFFF"/>
                <w:sz w:val="20"/>
                <w:szCs w:val="20"/>
              </w:rPr>
              <w:t xml:space="preserve">Device</w:t>
            </w:r>
          </w:p>
        </w:tc>
        <w:tc>
          <w:tcPr>
            <w:tcW w:type="dxa" w:w="3240"/>
            <w:shd w:fill="7A1F3D" w:color="auto" w:val="clear"/>
          </w:tcPr>
          <w:p>
            <w:r>
              <w:rPr>
                <w:b/>
                <w:bCs/>
                <w:color w:val="FFFFFF"/>
                <w:sz w:val="20"/>
                <w:szCs w:val="20"/>
              </w:rPr>
              <w:t xml:space="preserve">What it communicates</w:t>
            </w:r>
          </w:p>
        </w:tc>
        <w:tc>
          <w:tcPr>
            <w:tcW w:type="dxa" w:w="3420"/>
            <w:shd w:fill="7A1F3D" w:color="auto" w:val="clear"/>
          </w:tcPr>
          <w:p>
            <w:r>
              <w:rPr>
                <w:b/>
                <w:bCs/>
                <w:color w:val="FFFFFF"/>
                <w:sz w:val="20"/>
                <w:szCs w:val="20"/>
              </w:rPr>
              <w:t xml:space="preserve">Where to use</w:t>
            </w:r>
          </w:p>
        </w:tc>
      </w:tr>
      <w:tr>
        <w:trPr>
          <w:tblHeader w:val="false"/>
        </w:trPr>
        <w:tc>
          <w:tcPr>
            <w:tcW w:type="dxa" w:w="2700"/>
            <w:shd w:fill="F8F8F8" w:color="auto" w:val="clear"/>
          </w:tcPr>
          <w:p>
            <w:r>
              <w:rPr>
                <w:b w:val="false"/>
                <w:bCs w:val="false"/>
                <w:color w:val="222222"/>
                <w:sz w:val="20"/>
                <w:szCs w:val="20"/>
              </w:rPr>
              <w:t xml:space="preserve">"Male-default knowledge graph"</w:t>
            </w:r>
          </w:p>
        </w:tc>
        <w:tc>
          <w:tcPr>
            <w:tcW w:type="dxa" w:w="3240"/>
            <w:shd w:fill="F8F8F8" w:color="auto" w:val="clear"/>
          </w:tcPr>
          <w:p>
            <w:r>
              <w:rPr>
                <w:b w:val="false"/>
                <w:bCs w:val="false"/>
                <w:color w:val="222222"/>
                <w:sz w:val="20"/>
                <w:szCs w:val="20"/>
              </w:rPr>
              <w:t xml:space="preserve">The technical problem in one phrase — every competitor's foundation is biologically biased.</w:t>
            </w:r>
          </w:p>
        </w:tc>
        <w:tc>
          <w:tcPr>
            <w:tcW w:type="dxa" w:w="3420"/>
            <w:shd w:fill="F8F8F8" w:color="auto" w:val="clear"/>
          </w:tcPr>
          <w:p>
            <w:r>
              <w:rPr>
                <w:b w:val="false"/>
                <w:bCs w:val="false"/>
                <w:color w:val="222222"/>
                <w:sz w:val="20"/>
                <w:szCs w:val="20"/>
              </w:rPr>
              <w:t xml:space="preserve">Everywhere. This is our 'Intel Inside' — the phrase that reframes the entire market.</w:t>
            </w:r>
          </w:p>
        </w:tc>
      </w:tr>
      <w:tr>
        <w:trPr>
          <w:tblHeader w:val="false"/>
        </w:trPr>
        <w:tc>
          <w:tcPr>
            <w:tcW w:type="dxa" w:w="2700"/>
            <w:shd w:fill="FFFFFF" w:color="auto" w:val="clear"/>
          </w:tcPr>
          <w:p>
            <w:r>
              <w:rPr>
                <w:b w:val="false"/>
                <w:bCs w:val="false"/>
                <w:color w:val="222222"/>
                <w:sz w:val="20"/>
                <w:szCs w:val="20"/>
              </w:rPr>
              <w:t xml:space="preserve">"Corrected, not filtered"</w:t>
            </w:r>
          </w:p>
        </w:tc>
        <w:tc>
          <w:tcPr>
            <w:tcW w:type="dxa" w:w="3240"/>
            <w:shd w:fill="FFFFFF" w:color="auto" w:val="clear"/>
          </w:tcPr>
          <w:p>
            <w:r>
              <w:rPr>
                <w:b w:val="false"/>
                <w:bCs w:val="false"/>
                <w:color w:val="222222"/>
                <w:sz w:val="20"/>
                <w:szCs w:val="20"/>
              </w:rPr>
              <w:t xml:space="preserve">We are not adding a women's health filter to existing data. We are rebuilding the substrate.</w:t>
            </w:r>
          </w:p>
        </w:tc>
        <w:tc>
          <w:tcPr>
            <w:tcW w:type="dxa" w:w="3420"/>
            <w:shd w:fill="FFFFFF" w:color="auto" w:val="clear"/>
          </w:tcPr>
          <w:p>
            <w:r>
              <w:rPr>
                <w:b w:val="false"/>
                <w:bCs w:val="false"/>
                <w:color w:val="222222"/>
                <w:sz w:val="20"/>
                <w:szCs w:val="20"/>
              </w:rPr>
              <w:t xml:space="preserve">Investor pitch, competitive differentiation conversations.</w:t>
            </w:r>
          </w:p>
        </w:tc>
      </w:tr>
      <w:tr>
        <w:trPr>
          <w:tblHeader w:val="false"/>
        </w:trPr>
        <w:tc>
          <w:tcPr>
            <w:tcW w:type="dxa" w:w="2700"/>
            <w:shd w:fill="F8F8F8" w:color="auto" w:val="clear"/>
          </w:tcPr>
          <w:p>
            <w:r>
              <w:rPr>
                <w:b w:val="false"/>
                <w:bCs w:val="false"/>
                <w:color w:val="222222"/>
                <w:sz w:val="20"/>
                <w:szCs w:val="20"/>
              </w:rPr>
              <w:t xml:space="preserve">"Scientific arbitrage"</w:t>
            </w:r>
          </w:p>
        </w:tc>
        <w:tc>
          <w:tcPr>
            <w:tcW w:type="dxa" w:w="3240"/>
            <w:shd w:fill="F8F8F8" w:color="auto" w:val="clear"/>
          </w:tcPr>
          <w:p>
            <w:r>
              <w:rPr>
                <w:b w:val="false"/>
                <w:bCs w:val="false"/>
                <w:color w:val="222222"/>
                <w:sz w:val="20"/>
                <w:szCs w:val="20"/>
              </w:rPr>
              <w:t xml:space="preserve">The investment thesis in two words — there is alpha in the sex-specific pharmacology gap.</w:t>
            </w:r>
          </w:p>
        </w:tc>
        <w:tc>
          <w:tcPr>
            <w:tcW w:type="dxa" w:w="3420"/>
            <w:shd w:fill="F8F8F8" w:color="auto" w:val="clear"/>
          </w:tcPr>
          <w:p>
            <w:r>
              <w:rPr>
                <w:b w:val="false"/>
                <w:bCs w:val="false"/>
                <w:color w:val="222222"/>
                <w:sz w:val="20"/>
                <w:szCs w:val="20"/>
              </w:rPr>
              <w:t xml:space="preserve">Investor conversations exclusively. Do not use with pharma or media.</w:t>
            </w:r>
          </w:p>
        </w:tc>
      </w:tr>
      <w:tr>
        <w:trPr>
          <w:tblHeader w:val="false"/>
        </w:trPr>
        <w:tc>
          <w:tcPr>
            <w:tcW w:type="dxa" w:w="2700"/>
            <w:shd w:fill="FFFFFF" w:color="auto" w:val="clear"/>
          </w:tcPr>
          <w:p>
            <w:r>
              <w:rPr>
                <w:b w:val="false"/>
                <w:bCs w:val="false"/>
                <w:color w:val="222222"/>
                <w:sz w:val="20"/>
                <w:szCs w:val="20"/>
              </w:rPr>
              <w:t xml:space="preserve">"Contradictions, not consensus"</w:t>
            </w:r>
          </w:p>
        </w:tc>
        <w:tc>
          <w:tcPr>
            <w:tcW w:type="dxa" w:w="3240"/>
            <w:shd w:fill="FFFFFF" w:color="auto" w:val="clear"/>
          </w:tcPr>
          <w:p>
            <w:r>
              <w:rPr>
                <w:b w:val="false"/>
                <w:bCs w:val="false"/>
                <w:color w:val="222222"/>
                <w:sz w:val="20"/>
                <w:szCs w:val="20"/>
              </w:rPr>
              <w:t xml:space="preserve">Our epistemic standard as a product feature — we surface disagreement in the evidence.</w:t>
            </w:r>
          </w:p>
        </w:tc>
        <w:tc>
          <w:tcPr>
            <w:tcW w:type="dxa" w:w="3420"/>
            <w:shd w:fill="FFFFFF" w:color="auto" w:val="clear"/>
          </w:tcPr>
          <w:p>
            <w:r>
              <w:rPr>
                <w:b w:val="false"/>
                <w:bCs w:val="false"/>
                <w:color w:val="222222"/>
                <w:sz w:val="20"/>
                <w:szCs w:val="20"/>
              </w:rPr>
              <w:t xml:space="preserve">Pharma sales, product demos, publications, clinician-research conversations.</w:t>
            </w:r>
          </w:p>
        </w:tc>
      </w:tr>
      <w:tr>
        <w:trPr>
          <w:tblHeader w:val="false"/>
        </w:trPr>
        <w:tc>
          <w:tcPr>
            <w:tcW w:type="dxa" w:w="2700"/>
            <w:shd w:fill="F8F8F8" w:color="auto" w:val="clear"/>
          </w:tcPr>
          <w:p>
            <w:r>
              <w:rPr>
                <w:b w:val="false"/>
                <w:bCs w:val="false"/>
                <w:color w:val="222222"/>
                <w:sz w:val="20"/>
                <w:szCs w:val="20"/>
              </w:rPr>
              <w:t xml:space="preserve">"Hypothesis generation from patient signal, validated by institutional evidence"</w:t>
            </w:r>
          </w:p>
        </w:tc>
        <w:tc>
          <w:tcPr>
            <w:tcW w:type="dxa" w:w="3240"/>
            <w:shd w:fill="F8F8F8" w:color="auto" w:val="clear"/>
          </w:tcPr>
          <w:p>
            <w:r>
              <w:rPr>
                <w:b w:val="false"/>
                <w:bCs w:val="false"/>
                <w:color w:val="222222"/>
                <w:sz w:val="20"/>
                <w:szCs w:val="20"/>
              </w:rPr>
              <w:t xml:space="preserve">The patient-community data integration, properly framed.</w:t>
            </w:r>
          </w:p>
        </w:tc>
        <w:tc>
          <w:tcPr>
            <w:tcW w:type="dxa" w:w="3420"/>
            <w:shd w:fill="F8F8F8" w:color="auto" w:val="clear"/>
          </w:tcPr>
          <w:p>
            <w:r>
              <w:rPr>
                <w:b w:val="false"/>
                <w:bCs w:val="false"/>
                <w:color w:val="222222"/>
                <w:sz w:val="20"/>
                <w:szCs w:val="20"/>
              </w:rPr>
              <w:t xml:space="preserve">Everywhere patient data comes up. Especially advocacy and grant contexts.</w:t>
            </w:r>
          </w:p>
        </w:tc>
      </w:tr>
      <w:tr>
        <w:trPr>
          <w:tblHeader w:val="false"/>
        </w:trPr>
        <w:tc>
          <w:tcPr>
            <w:tcW w:type="dxa" w:w="2700"/>
            <w:shd w:fill="FFFFFF" w:color="auto" w:val="clear"/>
          </w:tcPr>
          <w:p>
            <w:r>
              <w:rPr>
                <w:b w:val="false"/>
                <w:bCs w:val="false"/>
                <w:color w:val="222222"/>
                <w:sz w:val="20"/>
                <w:szCs w:val="20"/>
              </w:rPr>
              <w:t xml:space="preserve">"Cyclical biology, not static targets"</w:t>
            </w:r>
          </w:p>
        </w:tc>
        <w:tc>
          <w:tcPr>
            <w:tcW w:type="dxa" w:w="3240"/>
            <w:shd w:fill="FFFFFF" w:color="auto" w:val="clear"/>
          </w:tcPr>
          <w:p>
            <w:r>
              <w:rPr>
                <w:b w:val="false"/>
                <w:bCs w:val="false"/>
                <w:color w:val="222222"/>
                <w:sz w:val="20"/>
                <w:szCs w:val="20"/>
              </w:rPr>
              <w:t xml:space="preserve">Why female pharmacology requires different architecture.</w:t>
            </w:r>
          </w:p>
        </w:tc>
        <w:tc>
          <w:tcPr>
            <w:tcW w:type="dxa" w:w="3420"/>
            <w:shd w:fill="FFFFFF" w:color="auto" w:val="clear"/>
          </w:tcPr>
          <w:p>
            <w:r>
              <w:rPr>
                <w:b w:val="false"/>
                <w:bCs w:val="false"/>
                <w:color w:val="222222"/>
                <w:sz w:val="20"/>
                <w:szCs w:val="20"/>
              </w:rPr>
              <w:t xml:space="preserve">Technical audiences, domain advisors, grant applications.</w:t>
            </w:r>
          </w:p>
        </w:tc>
      </w:tr>
      <w:tr>
        <w:trPr>
          <w:tblHeader w:val="false"/>
        </w:trPr>
        <w:tc>
          <w:tcPr>
            <w:tcW w:type="dxa" w:w="2700"/>
            <w:shd w:fill="F8F8F8" w:color="auto" w:val="clear"/>
          </w:tcPr>
          <w:p>
            <w:r>
              <w:rPr>
                <w:b w:val="false"/>
                <w:bCs w:val="false"/>
                <w:color w:val="222222"/>
                <w:sz w:val="20"/>
                <w:szCs w:val="20"/>
              </w:rPr>
              <w:t xml:space="preserve">"The drugs already exist"</w:t>
            </w:r>
          </w:p>
        </w:tc>
        <w:tc>
          <w:tcPr>
            <w:tcW w:type="dxa" w:w="3240"/>
            <w:shd w:fill="F8F8F8" w:color="auto" w:val="clear"/>
          </w:tcPr>
          <w:p>
            <w:r>
              <w:rPr>
                <w:b w:val="false"/>
                <w:bCs w:val="false"/>
                <w:color w:val="222222"/>
                <w:sz w:val="20"/>
                <w:szCs w:val="20"/>
              </w:rPr>
              <w:t xml:space="preserve">The repurposing thesis in four words — the hook that earns the next sentence.</w:t>
            </w:r>
          </w:p>
        </w:tc>
        <w:tc>
          <w:tcPr>
            <w:tcW w:type="dxa" w:w="3420"/>
            <w:shd w:fill="F8F8F8" w:color="auto" w:val="clear"/>
          </w:tcPr>
          <w:p>
            <w:r>
              <w:rPr>
                <w:b w:val="false"/>
                <w:bCs w:val="false"/>
                <w:color w:val="222222"/>
                <w:sz w:val="20"/>
                <w:szCs w:val="20"/>
              </w:rPr>
              <w:t xml:space="preserve">Almost every audience. The opening line of most pitches.</w:t>
            </w:r>
          </w:p>
        </w:tc>
      </w:tr>
    </w:tbl>
    <w:p>
      <w:pPr>
        <w:pStyle w:val="Heading2"/>
      </w:pPr>
      <w:r>
        <w:t xml:space="preserve">Why "corrected, not filtered" is the spine</w:t>
      </w:r>
    </w:p>
    <w:p>
      <w:r>
        <w:t xml:space="preserve">If you must remember one framing device, remember this one. It does the most strategic work. Saying 'corrected' implies the existing version is wrong — which it is. Saying 'not filtered' rejects the obvious competitive response (a pan-disease platform claiming it can add women's health as a slice). It is assertive without being aggressive, technical enough to signal substance, accessible enough for non-specialists. Every other framing device in this document traces back to this one.</w:t>
      </w:r>
    </w:p>
    <w:p>
      <w:pPr>
        <w:pStyle w:val="Heading2"/>
      </w:pPr>
      <w:r>
        <w:t xml:space="preserve">Supporting anchors (use sparingly)</w:t>
      </w:r>
    </w:p>
    <w:p>
      <w:pPr>
        <w:pStyle w:val="ListParagraph"/>
        <w:numPr>
          <w:ilvl w:val="0"/>
          <w:numId w:val="2"/>
        </w:numPr>
      </w:pPr>
      <w:r>
        <w:t xml:space="preserve">"500 million women" — for scale. Endometriosis + PCOS + PMDD + perimenopause combined.</w:t>
      </w:r>
    </w:p>
    <w:p>
      <w:pPr>
        <w:pStyle w:val="ListParagraph"/>
        <w:numPr>
          <w:ilvl w:val="0"/>
          <w:numId w:val="2"/>
        </w:numPr>
      </w:pPr>
      <w:r>
        <w:t xml:space="preserve">"The $360B ghost market" — investor pitches only, when discussing TAM.</w:t>
      </w:r>
    </w:p>
    <w:p>
      <w:pPr>
        <w:pStyle w:val="ListParagraph"/>
        <w:numPr>
          <w:ilvl w:val="0"/>
          <w:numId w:val="2"/>
        </w:numPr>
      </w:pPr>
      <w:r>
        <w:t xml:space="preserve">"What women's health already knows but hasn't proven" — the platform mission in one phrase.</w:t>
      </w:r>
    </w:p>
    <w:p>
      <w:pPr>
        <w:pStyle w:val="ListParagraph"/>
        <w:numPr>
          <w:ilvl w:val="0"/>
          <w:numId w:val="2"/>
        </w:numPr>
      </w:pPr>
      <w:r>
        <w:t xml:space="preserve">"Off-label use is the largest uncontrolled clinical trial in women's health" — for media and advocacy.</w:t>
      </w:r>
    </w:p>
    <w:p>
      <w:pPr>
        <w:pStyle w:val="ListParagraph"/>
        <w:numPr>
          <w:ilvl w:val="0"/>
          <w:numId w:val="2"/>
        </w:numPr>
      </w:pPr>
      <w:r>
        <w:t xml:space="preserve">"From Reddit threads to regulatory filings — the evidence trail that connects them" — for the patient-signal-to-505(b)(2) story.</w:t>
      </w:r>
    </w:p>
    <w:p>
      <w:pPr>
        <w:pStyle w:val="ListParagraph"/>
        <w:numPr>
          <w:ilvl w:val="0"/>
          <w:numId w:val="2"/>
        </w:numPr>
      </w:pPr>
      <w:r>
        <w:t xml:space="preserve">"Sex-specific PK, cyclical state, cross-condition reasoning — first-class variables, not footnotes" — technical-audience differentiation.</w:t>
      </w:r>
    </w:p>
    <w:p>
      <w:pPr>
        <w:pStyle w:val="Heading1"/>
        <w:pageBreakBefore/>
      </w:pPr>
      <w:r>
        <w:t xml:space="preserve">Part VI. Taglines</w:t>
      </w:r>
    </w:p>
    <w:p>
      <w:pPr>
        <w:spacing w:after="200"/>
      </w:pPr>
      <w:r>
        <w:rPr>
          <w:i/>
          <w:iCs/>
          <w:color w:val="555555"/>
          <w:sz w:val="22"/>
          <w:szCs w:val="22"/>
        </w:rPr>
        <w:t xml:space="preserve">Three tiers, with rationale. Pick the primary based on context; rotate the secondaries to keep the brand surface alive without diluting the spine.</w:t>
      </w:r>
    </w:p>
    <w:p>
      <w:pPr>
        <w:pStyle w:val="Heading2"/>
      </w:pPr>
      <w:r>
        <w:t xml:space="preserve">Recommended primary</w:t>
      </w:r>
    </w:p>
    <w:p>
      <w:pPr>
        <w:shd w:fill="F4E4EC" w:color="auto" w:val="clear"/>
        <w:spacing w:after="200" w:before="200"/>
        <w:ind w:left="360" w:right="360"/>
      </w:pPr>
      <w:r>
        <w:rPr>
          <w:b/>
          <w:bCs/>
          <w:color w:val="7A1F3D"/>
        </w:rPr>
        <w:t xml:space="preserve">PRIMARY TAGLINE  </w:t>
      </w:r>
      <w:r>
        <w:t xml:space="preserve">The drugs already exist. The evidence is hiding in plain sight.</w:t>
      </w:r>
    </w:p>
    <w:p>
      <w:r>
        <w:t xml:space="preserve">Why this is the primary: it immediately communicates the repurposing thesis. It creates intrigue — what drugs, hiding where? It makes the listener want to hear the next sentence. It works for investors, pharma, media, and grants equally. The two-sentence rhythm is memorable and it survives translation across channels (homepage hero, deck cover, conference banner, LinkedIn header, press one-liner).</w:t>
      </w:r>
    </w:p>
    <w:p>
      <w:pPr>
        <w:pStyle w:val="Heading2"/>
      </w:pPr>
      <w:r>
        <w:t xml:space="preserve">Tier 1 — Could define the company</w:t>
      </w:r>
    </w:p>
    <w:p>
      <w:r>
        <w:t xml:space="preserve">Any of these can carry the brand. Pick one as primary, rotate the others as secondary.</w:t>
      </w:r>
    </w:p>
    <w:p>
      <w:pPr>
        <w:pStyle w:val="Heading3"/>
      </w:pPr>
      <w:r>
        <w:t xml:space="preserve">1.A — "The drugs already exist. The evidence is hiding in plain sight."</w:t>
      </w:r>
    </w:p>
    <w:p>
      <w:r>
        <w:t xml:space="preserve">Recommended primary, per above. Repurposing-forward, intrigue-generating, audience-neutral.</w:t>
      </w:r>
    </w:p>
    <w:p>
      <w:pPr>
        <w:pStyle w:val="Heading3"/>
      </w:pPr>
      <w:r>
        <w:t xml:space="preserve">1.B — "Finding what already works for women."</w:t>
      </w:r>
    </w:p>
    <w:p>
      <w:r>
        <w:t xml:space="preserve">Five words capturing the entire company. 'Finding' implies systematic discovery. 'Already works' signals repurposing, not de novo. 'For women' signals the vertical. Clean enough for a homepage hero. Human enough for a conference talk. Use when the audience needs warmth alongside substance.</w:t>
      </w:r>
    </w:p>
    <w:p>
      <w:pPr>
        <w:pStyle w:val="Heading3"/>
      </w:pPr>
      <w:r>
        <w:t xml:space="preserve">1.C — "Drug discovery was built on male biology. We're rebuilding it."</w:t>
      </w:r>
    </w:p>
    <w:p>
      <w:r>
        <w:t xml:space="preserve">States the problem and the solution in one breath. The moral urgency of the public narrative without being preachy. The word 'rebuilding' implies structural work, not a patch. Use for media, grants, and any context where the moral framing is welcome.</w:t>
      </w:r>
    </w:p>
    <w:p>
      <w:pPr>
        <w:pStyle w:val="Heading3"/>
      </w:pPr>
      <w:r>
        <w:t xml:space="preserve">1.D — "The corrected knowledge graph for female biology."</w:t>
      </w:r>
    </w:p>
    <w:p>
      <w:r>
        <w:t xml:space="preserve">Implies everyone else's is wrong, which is true. Positions us as the fix, not the alternative. Technical enough to signal substance, accessible enough for non-specialists. Use for technical / investor audiences where the substrate framing leads.</w:t>
      </w:r>
    </w:p>
    <w:p>
      <w:pPr>
        <w:pStyle w:val="Heading2"/>
      </w:pPr>
      <w:r>
        <w:t xml:space="preserve">Tier 2 — Strong but more situational</w:t>
      </w:r>
    </w:p>
    <w:p>
      <w:r>
        <w:t xml:space="preserve">Better fit for specific audiences or specific channels. Not strong enough to define the company alone.</w:t>
      </w:r>
    </w:p>
    <w:p>
      <w:pPr>
        <w:pStyle w:val="Heading3"/>
      </w:pPr>
      <w:r>
        <w:t xml:space="preserve">2.A — "The drug repurposing platform for female biology."</w:t>
      </w:r>
    </w:p>
    <w:p>
      <w:r>
        <w:t xml:space="preserve">Direct, unambiguous, professional. You know exactly what the company does in seven words. Best for pharma sales contexts, partnership outreach, and B2B website pages where ambiguity is a cost.</w:t>
      </w:r>
    </w:p>
    <w:p>
      <w:pPr>
        <w:pStyle w:val="Heading3"/>
      </w:pPr>
      <w:r>
        <w:t xml:space="preserve">2.B — "Systematizing what women's health already knows but hasn't proven."</w:t>
      </w:r>
    </w:p>
    <w:p>
      <w:r>
        <w:t xml:space="preserve">Captures both the off-label/patient-community signal and the validation mission. Slightly long but very precise. Good for the public-credibility register — grant applications, advocacy partnerships, op-eds.</w:t>
      </w:r>
    </w:p>
    <w:p>
      <w:pPr>
        <w:pStyle w:val="Heading3"/>
      </w:pPr>
      <w:r>
        <w:t xml:space="preserve">2.C — "From off-label evidence to formal development — for conditions pharma forgot."</w:t>
      </w:r>
    </w:p>
    <w:p>
      <w:r>
        <w:t xml:space="preserve">Explicitly names the off-label → formal pathway. 'Conditions pharma forgot' has edge without being aggressive. Strong for media and grant audiences. Avoid with pharma buyers — they are 'pharma' and you do not want them in the 'forgot' bucket of the sentence.</w:t>
      </w:r>
    </w:p>
    <w:p>
      <w:pPr>
        <w:pStyle w:val="Heading3"/>
      </w:pPr>
      <w:r>
        <w:t xml:space="preserve">2.D — "Every off-label prescription is a signal. We validate them."</w:t>
      </w:r>
    </w:p>
    <w:p>
      <w:r>
        <w:t xml:space="preserve">Reframes the off-label problem as an opportunity. The second sentence positions Whel as the validation layer. Works for technical investor audiences and for clinician-researcher outreach.</w:t>
      </w:r>
    </w:p>
    <w:p>
      <w:pPr>
        <w:pStyle w:val="Heading3"/>
      </w:pPr>
      <w:r>
        <w:t xml:space="preserve">2.E — "Patient signal meets institutional rigor."</w:t>
      </w:r>
    </w:p>
    <w:p>
      <w:r>
        <w:t xml:space="preserve">Captures the unique data integration angle. Works as a sub-tagline or section header. Signals that we take both sources seriously without equating them.</w:t>
      </w:r>
    </w:p>
    <w:p>
      <w:pPr>
        <w:pStyle w:val="Heading3"/>
      </w:pPr>
      <w:r>
        <w:t xml:space="preserve">2.F — "Mining the gap in half the population's pharmacology."</w:t>
      </w:r>
    </w:p>
    <w:p>
      <w:r>
        <w:t xml:space="preserve">The scientific-arbitrage narrative compressed into one line. Works for investor decks and Twitter/X. Provocative without being inflammatory. Do not use with pharma or grant audiences.</w:t>
      </w:r>
    </w:p>
    <w:p>
      <w:pPr>
        <w:pStyle w:val="Heading2"/>
      </w:pPr>
      <w:r>
        <w:t xml:space="preserve">Tier 3 — Supporting language (section headers, not company taglines)</w:t>
      </w:r>
    </w:p>
    <w:p>
      <w:r>
        <w:t xml:space="preserve">These are not taglines for the brand. They are headers for sections of decks, website pages, grant applications, op-eds.</w:t>
      </w:r>
    </w:p>
    <w:p>
      <w:pPr>
        <w:pStyle w:val="ListParagraph"/>
        <w:numPr>
          <w:ilvl w:val="0"/>
          <w:numId w:val="2"/>
        </w:numPr>
      </w:pPr>
      <w:r>
        <w:t xml:space="preserve">"500 million women. Zero dedicated AI platforms. Until now."</w:t>
      </w:r>
    </w:p>
    <w:p>
      <w:pPr>
        <w:pStyle w:val="ListParagraph"/>
        <w:numPr>
          <w:ilvl w:val="0"/>
          <w:numId w:val="2"/>
        </w:numPr>
      </w:pPr>
      <w:r>
        <w:t xml:space="preserve">"Contradictions surfaced. Not smoothed."</w:t>
      </w:r>
    </w:p>
    <w:p>
      <w:pPr>
        <w:pStyle w:val="ListParagraph"/>
        <w:numPr>
          <w:ilvl w:val="0"/>
          <w:numId w:val="2"/>
        </w:numPr>
      </w:pPr>
      <w:r>
        <w:t xml:space="preserve">"From Reddit threads to regulatory filings — the evidence trail that connects them."</w:t>
      </w:r>
    </w:p>
    <w:p>
      <w:pPr>
        <w:pStyle w:val="ListParagraph"/>
        <w:numPr>
          <w:ilvl w:val="0"/>
          <w:numId w:val="2"/>
        </w:numPr>
      </w:pPr>
      <w:r>
        <w:t xml:space="preserve">"Sex-specific PK. Cyclical state. Cross-condition reasoning. First-class variables, not footnotes."</w:t>
      </w:r>
    </w:p>
    <w:p>
      <w:pPr>
        <w:pStyle w:val="ListParagraph"/>
        <w:numPr>
          <w:ilvl w:val="0"/>
          <w:numId w:val="2"/>
        </w:numPr>
      </w:pPr>
      <w:r>
        <w:t xml:space="preserve">"The platform pharma's women's health divisions have been waiting for."</w:t>
      </w:r>
    </w:p>
    <w:p>
      <w:pPr>
        <w:pStyle w:val="ListParagraph"/>
        <w:numPr>
          <w:ilvl w:val="0"/>
          <w:numId w:val="2"/>
        </w:numPr>
      </w:pPr>
      <w:r>
        <w:t xml:space="preserve">"Metformin for PCOS took 20 years of ad hoc prescribing. The next one shouldn't."</w:t>
      </w:r>
    </w:p>
    <w:p>
      <w:pPr>
        <w:pStyle w:val="ListParagraph"/>
        <w:numPr>
          <w:ilvl w:val="0"/>
          <w:numId w:val="2"/>
        </w:numPr>
      </w:pPr>
      <w:r>
        <w:t xml:space="preserve">"Patient communities have been running the experiments. We bring the evidence."</w:t>
      </w:r>
    </w:p>
    <w:p>
      <w:pPr>
        <w:pStyle w:val="ListParagraph"/>
        <w:numPr>
          <w:ilvl w:val="0"/>
          <w:numId w:val="2"/>
        </w:numPr>
      </w:pPr>
      <w:r>
        <w:t xml:space="preserve">"Off-label use is the largest uncontrolled clinical trial in women's health. We're reading the results."</w:t>
      </w:r>
    </w:p>
    <w:p>
      <w:pPr>
        <w:pStyle w:val="ListParagraph"/>
        <w:numPr>
          <w:ilvl w:val="0"/>
          <w:numId w:val="2"/>
        </w:numPr>
      </w:pPr>
      <w:r>
        <w:t xml:space="preserve">"505(b)(2)-ready candidates from signals the system overlooked."</w:t>
      </w:r>
    </w:p>
    <w:p>
      <w:pPr>
        <w:pStyle w:val="Heading2"/>
      </w:pPr>
      <w:r>
        <w:t xml:space="preserve">Tagline operating rules</w:t>
      </w:r>
    </w:p>
    <w:p>
      <w:pPr>
        <w:pStyle w:val="ListParagraph"/>
        <w:numPr>
          <w:ilvl w:val="0"/>
          <w:numId w:val="2"/>
        </w:numPr>
      </w:pPr>
      <w:r>
        <w:t xml:space="preserve">Lock the primary across the canonical surfaces (homepage hero, deck cover, email signature) for at least six months before considering rotation.</w:t>
      </w:r>
    </w:p>
    <w:p>
      <w:pPr>
        <w:pStyle w:val="ListParagraph"/>
        <w:numPr>
          <w:ilvl w:val="0"/>
          <w:numId w:val="2"/>
        </w:numPr>
      </w:pPr>
      <w:r>
        <w:t xml:space="preserve">Use secondaries as section headers, deck slide titles, social posts, and grant section openers — not as the company's primary self-description.</w:t>
      </w:r>
    </w:p>
    <w:p>
      <w:pPr>
        <w:pStyle w:val="ListParagraph"/>
        <w:numPr>
          <w:ilvl w:val="0"/>
          <w:numId w:val="2"/>
        </w:numPr>
      </w:pPr>
      <w:r>
        <w:t xml:space="preserve">Never use a Tier 1 tagline and a Tier 2 tagline in the same paragraph. Drift the register, not the spine.</w:t>
      </w:r>
    </w:p>
    <w:p>
      <w:pPr>
        <w:pStyle w:val="ListParagraph"/>
        <w:numPr>
          <w:ilvl w:val="0"/>
          <w:numId w:val="2"/>
        </w:numPr>
      </w:pPr>
      <w:r>
        <w:t xml:space="preserve">When in doubt about whether a phrase is a tagline or a section header, default to section header. Taglines earn the upgrade.</w:t>
      </w:r>
    </w:p>
    <w:p>
      <w:pPr>
        <w:pStyle w:val="Heading1"/>
        <w:pageBreakBefore/>
      </w:pPr>
      <w:r>
        <w:t xml:space="preserve">Part VII. Language Guide</w:t>
      </w:r>
    </w:p>
    <w:p>
      <w:pPr>
        <w:spacing w:after="200"/>
      </w:pPr>
      <w:r>
        <w:rPr>
          <w:i/>
          <w:iCs/>
          <w:color w:val="555555"/>
          <w:sz w:val="22"/>
          <w:szCs w:val="22"/>
        </w:rPr>
        <w:t xml:space="preserve">Use this, not that — with the why behind each. Same energy as a brand book; consequences as serious as a regulatory submission.</w:t>
      </w:r>
    </w:p>
    <w:p>
      <w:pPr>
        <w:pStyle w:val="Heading2"/>
      </w:pPr>
      <w:r>
        <w:t xml:space="preserve">The hard avoids</w:t>
      </w:r>
    </w:p>
    <w:p>
      <w:r>
        <w:t xml:space="preserve">These words and phrases are non-negotiable retirements. Using them sets the company in a category it cannot afford.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rPr>
          <w:tblHeader/>
        </w:trPr>
        <w:tc>
          <w:tcPr>
            <w:tcW w:type="dxa" w:w="2520"/>
            <w:shd w:fill="7A1F3D" w:color="auto" w:val="clear"/>
          </w:tcPr>
          <w:p>
            <w:r>
              <w:rPr>
                <w:b/>
                <w:bCs/>
                <w:color w:val="FFFFFF"/>
                <w:sz w:val="20"/>
                <w:szCs w:val="20"/>
              </w:rPr>
              <w:t xml:space="preserve">Avoid</w:t>
            </w:r>
          </w:p>
        </w:tc>
        <w:tc>
          <w:tcPr>
            <w:tcW w:type="dxa" w:w="3420"/>
            <w:shd w:fill="7A1F3D" w:color="auto" w:val="clear"/>
          </w:tcPr>
          <w:p>
            <w:r>
              <w:rPr>
                <w:b/>
                <w:bCs/>
                <w:color w:val="FFFFFF"/>
                <w:sz w:val="20"/>
                <w:szCs w:val="20"/>
              </w:rPr>
              <w:t xml:space="preserve">Why</w:t>
            </w:r>
          </w:p>
        </w:tc>
        <w:tc>
          <w:tcPr>
            <w:tcW w:type="dxa" w:w="3420"/>
            <w:shd w:fill="7A1F3D" w:color="auto" w:val="clear"/>
          </w:tcPr>
          <w:p>
            <w:r>
              <w:rPr>
                <w:b/>
                <w:bCs/>
                <w:color w:val="FFFFFF"/>
                <w:sz w:val="20"/>
                <w:szCs w:val="20"/>
              </w:rPr>
              <w:t xml:space="preserve">Use instead</w:t>
            </w:r>
          </w:p>
        </w:tc>
      </w:tr>
      <w:tr>
        <w:trPr>
          <w:tblHeader w:val="false"/>
        </w:trPr>
        <w:tc>
          <w:tcPr>
            <w:tcW w:type="dxa" w:w="2520"/>
            <w:shd w:fill="F8F8F8" w:color="auto" w:val="clear"/>
          </w:tcPr>
          <w:p>
            <w:r>
              <w:rPr>
                <w:b w:val="false"/>
                <w:bCs w:val="false"/>
                <w:color w:val="222222"/>
                <w:sz w:val="20"/>
                <w:szCs w:val="20"/>
              </w:rPr>
              <w:t xml:space="preserve">"FemTech"</w:t>
            </w:r>
          </w:p>
        </w:tc>
        <w:tc>
          <w:tcPr>
            <w:tcW w:type="dxa" w:w="3420"/>
            <w:shd w:fill="F8F8F8" w:color="auto" w:val="clear"/>
          </w:tcPr>
          <w:p>
            <w:r>
              <w:rPr>
                <w:b w:val="false"/>
                <w:bCs w:val="false"/>
                <w:color w:val="222222"/>
                <w:sz w:val="20"/>
                <w:szCs w:val="20"/>
              </w:rPr>
              <w:t xml:space="preserve">Associated with period-tracking apps and consumer wellness. Signals low clinical seriousness and locks Whel into a category investors and pharma view as fundamentally different from drug development.</w:t>
            </w:r>
          </w:p>
        </w:tc>
        <w:tc>
          <w:tcPr>
            <w:tcW w:type="dxa" w:w="3420"/>
            <w:shd w:fill="F8F8F8" w:color="auto" w:val="clear"/>
          </w:tcPr>
          <w:p>
            <w:r>
              <w:rPr>
                <w:b w:val="false"/>
                <w:bCs w:val="false"/>
                <w:color w:val="222222"/>
                <w:sz w:val="20"/>
                <w:szCs w:val="20"/>
              </w:rPr>
              <w:t xml:space="preserve">"Female biology platform" or "drug repurposing platform for women's health"</w:t>
            </w:r>
          </w:p>
        </w:tc>
      </w:tr>
      <w:tr>
        <w:trPr>
          <w:tblHeader w:val="false"/>
        </w:trPr>
        <w:tc>
          <w:tcPr>
            <w:tcW w:type="dxa" w:w="2520"/>
            <w:shd w:fill="FFFFFF" w:color="auto" w:val="clear"/>
          </w:tcPr>
          <w:p>
            <w:r>
              <w:rPr>
                <w:b w:val="false"/>
                <w:bCs w:val="false"/>
                <w:color w:val="222222"/>
                <w:sz w:val="20"/>
                <w:szCs w:val="20"/>
              </w:rPr>
              <w:t xml:space="preserve">"Closing the gender gap"</w:t>
            </w:r>
          </w:p>
        </w:tc>
        <w:tc>
          <w:tcPr>
            <w:tcW w:type="dxa" w:w="3420"/>
            <w:shd w:fill="FFFFFF" w:color="auto" w:val="clear"/>
          </w:tcPr>
          <w:p>
            <w:r>
              <w:rPr>
                <w:b w:val="false"/>
                <w:bCs w:val="false"/>
                <w:color w:val="222222"/>
                <w:sz w:val="20"/>
                <w:szCs w:val="20"/>
              </w:rPr>
              <w:t xml:space="preserve">Sounds like a CSR initiative, not a venture-scale company.</w:t>
            </w:r>
          </w:p>
        </w:tc>
        <w:tc>
          <w:tcPr>
            <w:tcW w:type="dxa" w:w="3420"/>
            <w:shd w:fill="FFFFFF" w:color="auto" w:val="clear"/>
          </w:tcPr>
          <w:p>
            <w:r>
              <w:rPr>
                <w:b w:val="false"/>
                <w:bCs w:val="false"/>
                <w:color w:val="222222"/>
                <w:sz w:val="20"/>
                <w:szCs w:val="20"/>
              </w:rPr>
              <w:t xml:space="preserve">"Correcting the biological knowledge base" or "scientific arbitrage"</w:t>
            </w:r>
          </w:p>
        </w:tc>
      </w:tr>
      <w:tr>
        <w:trPr>
          <w:tblHeader w:val="false"/>
        </w:trPr>
        <w:tc>
          <w:tcPr>
            <w:tcW w:type="dxa" w:w="2520"/>
            <w:shd w:fill="F8F8F8" w:color="auto" w:val="clear"/>
          </w:tcPr>
          <w:p>
            <w:r>
              <w:rPr>
                <w:b w:val="false"/>
                <w:bCs w:val="false"/>
                <w:color w:val="222222"/>
                <w:sz w:val="20"/>
                <w:szCs w:val="20"/>
              </w:rPr>
              <w:t xml:space="preserve">"Empowering women"</w:t>
            </w:r>
          </w:p>
        </w:tc>
        <w:tc>
          <w:tcPr>
            <w:tcW w:type="dxa" w:w="3420"/>
            <w:shd w:fill="F8F8F8" w:color="auto" w:val="clear"/>
          </w:tcPr>
          <w:p>
            <w:r>
              <w:rPr>
                <w:b w:val="false"/>
                <w:bCs w:val="false"/>
                <w:color w:val="222222"/>
                <w:sz w:val="20"/>
                <w:szCs w:val="20"/>
              </w:rPr>
              <w:t xml:space="preserve">Generic, overused, and triggers skepticism in investors and pharma buyers alike. The biology and the numbers carry more weight than empowerment language.</w:t>
            </w:r>
          </w:p>
        </w:tc>
        <w:tc>
          <w:tcPr>
            <w:tcW w:type="dxa" w:w="3420"/>
            <w:shd w:fill="F8F8F8" w:color="auto" w:val="clear"/>
          </w:tcPr>
          <w:p>
            <w:r>
              <w:rPr>
                <w:b w:val="false"/>
                <w:bCs w:val="false"/>
                <w:color w:val="222222"/>
                <w:sz w:val="20"/>
                <w:szCs w:val="20"/>
              </w:rPr>
              <w:t xml:space="preserve">Lead with the facts. The empowerment is implicit when the facts are right.</w:t>
            </w:r>
          </w:p>
        </w:tc>
      </w:tr>
      <w:tr>
        <w:trPr>
          <w:tblHeader w:val="false"/>
        </w:trPr>
        <w:tc>
          <w:tcPr>
            <w:tcW w:type="dxa" w:w="2520"/>
            <w:shd w:fill="FFFFFF" w:color="auto" w:val="clear"/>
          </w:tcPr>
          <w:p>
            <w:r>
              <w:rPr>
                <w:b w:val="false"/>
                <w:bCs w:val="false"/>
                <w:color w:val="222222"/>
                <w:sz w:val="20"/>
                <w:szCs w:val="20"/>
              </w:rPr>
              <w:t xml:space="preserve">"AI-powered" as a leading descriptor</w:t>
            </w:r>
          </w:p>
        </w:tc>
        <w:tc>
          <w:tcPr>
            <w:tcW w:type="dxa" w:w="3420"/>
            <w:shd w:fill="FFFFFF" w:color="auto" w:val="clear"/>
          </w:tcPr>
          <w:p>
            <w:r>
              <w:rPr>
                <w:b w:val="false"/>
                <w:bCs w:val="false"/>
                <w:color w:val="222222"/>
                <w:sz w:val="20"/>
                <w:szCs w:val="20"/>
              </w:rPr>
              <w:t xml:space="preserve">Commoditized. Every company says this. The AI is plumbing; the substrate is the product.</w:t>
            </w:r>
          </w:p>
        </w:tc>
        <w:tc>
          <w:tcPr>
            <w:tcW w:type="dxa" w:w="3420"/>
            <w:shd w:fill="FFFFFF" w:color="auto" w:val="clear"/>
          </w:tcPr>
          <w:p>
            <w:r>
              <w:rPr>
                <w:b w:val="false"/>
                <w:bCs w:val="false"/>
                <w:color w:val="222222"/>
                <w:sz w:val="20"/>
                <w:szCs w:val="20"/>
              </w:rPr>
              <w:t xml:space="preserve">Lead with the domain (female biology, drug repurposing), not the technology (AI).</w:t>
            </w:r>
          </w:p>
        </w:tc>
      </w:tr>
      <w:tr>
        <w:trPr>
          <w:tblHeader w:val="false"/>
        </w:trPr>
        <w:tc>
          <w:tcPr>
            <w:tcW w:type="dxa" w:w="2520"/>
            <w:shd w:fill="F8F8F8" w:color="auto" w:val="clear"/>
          </w:tcPr>
          <w:p>
            <w:r>
              <w:rPr>
                <w:b w:val="false"/>
                <w:bCs w:val="false"/>
                <w:color w:val="222222"/>
                <w:sz w:val="20"/>
                <w:szCs w:val="20"/>
              </w:rPr>
              <w:t xml:space="preserve">"Disrupting"</w:t>
            </w:r>
          </w:p>
        </w:tc>
        <w:tc>
          <w:tcPr>
            <w:tcW w:type="dxa" w:w="3420"/>
            <w:shd w:fill="F8F8F8" w:color="auto" w:val="clear"/>
          </w:tcPr>
          <w:p>
            <w:r>
              <w:rPr>
                <w:b w:val="false"/>
                <w:bCs w:val="false"/>
                <w:color w:val="222222"/>
                <w:sz w:val="20"/>
                <w:szCs w:val="20"/>
              </w:rPr>
              <w:t xml:space="preserve">Exhausted startup vocabulary. Reads as performative and unserious.</w:t>
            </w:r>
          </w:p>
        </w:tc>
        <w:tc>
          <w:tcPr>
            <w:tcW w:type="dxa" w:w="3420"/>
            <w:shd w:fill="F8F8F8" w:color="auto" w:val="clear"/>
          </w:tcPr>
          <w:p>
            <w:r>
              <w:rPr>
                <w:b w:val="false"/>
                <w:bCs w:val="false"/>
                <w:color w:val="222222"/>
                <w:sz w:val="20"/>
                <w:szCs w:val="20"/>
              </w:rPr>
              <w:t xml:space="preserve">"Rebuilding" — implies the same ambition with more substance.</w:t>
            </w:r>
          </w:p>
        </w:tc>
      </w:tr>
      <w:tr>
        <w:trPr>
          <w:tblHeader w:val="false"/>
        </w:trPr>
        <w:tc>
          <w:tcPr>
            <w:tcW w:type="dxa" w:w="2520"/>
            <w:shd w:fill="FFFFFF" w:color="auto" w:val="clear"/>
          </w:tcPr>
          <w:p>
            <w:r>
              <w:rPr>
                <w:b w:val="false"/>
                <w:bCs w:val="false"/>
                <w:color w:val="222222"/>
                <w:sz w:val="20"/>
                <w:szCs w:val="20"/>
              </w:rPr>
              <w:t xml:space="preserve">"Democratizing"</w:t>
            </w:r>
          </w:p>
        </w:tc>
        <w:tc>
          <w:tcPr>
            <w:tcW w:type="dxa" w:w="3420"/>
            <w:shd w:fill="FFFFFF" w:color="auto" w:val="clear"/>
          </w:tcPr>
          <w:p>
            <w:r>
              <w:rPr>
                <w:b w:val="false"/>
                <w:bCs w:val="false"/>
                <w:color w:val="222222"/>
                <w:sz w:val="20"/>
                <w:szCs w:val="20"/>
              </w:rPr>
              <w:t xml:space="preserve">Vague and overused. Often used to obscure what is actually being sold.</w:t>
            </w:r>
          </w:p>
        </w:tc>
        <w:tc>
          <w:tcPr>
            <w:tcW w:type="dxa" w:w="3420"/>
            <w:shd w:fill="FFFFFF" w:color="auto" w:val="clear"/>
          </w:tcPr>
          <w:p>
            <w:r>
              <w:rPr>
                <w:b w:val="false"/>
                <w:bCs w:val="false"/>
                <w:color w:val="222222"/>
                <w:sz w:val="20"/>
                <w:szCs w:val="20"/>
              </w:rPr>
              <w:t xml:space="preserve">Be specific about who you serve and what they get.</w:t>
            </w:r>
          </w:p>
        </w:tc>
      </w:tr>
      <w:tr>
        <w:trPr>
          <w:tblHeader w:val="false"/>
        </w:trPr>
        <w:tc>
          <w:tcPr>
            <w:tcW w:type="dxa" w:w="2520"/>
            <w:shd w:fill="F8F8F8" w:color="auto" w:val="clear"/>
          </w:tcPr>
          <w:p>
            <w:r>
              <w:rPr>
                <w:b w:val="false"/>
                <w:bCs w:val="false"/>
                <w:color w:val="222222"/>
                <w:sz w:val="20"/>
                <w:szCs w:val="20"/>
              </w:rPr>
              <w:t xml:space="preserve">"Comprehensive"</w:t>
            </w:r>
          </w:p>
        </w:tc>
        <w:tc>
          <w:tcPr>
            <w:tcW w:type="dxa" w:w="3420"/>
            <w:shd w:fill="F8F8F8" w:color="auto" w:val="clear"/>
          </w:tcPr>
          <w:p>
            <w:r>
              <w:rPr>
                <w:b w:val="false"/>
                <w:bCs w:val="false"/>
                <w:color w:val="222222"/>
                <w:sz w:val="20"/>
                <w:szCs w:val="20"/>
              </w:rPr>
              <w:t xml:space="preserve">Claims completeness we cannot prove. Triggers correctly skeptical readers.</w:t>
            </w:r>
          </w:p>
        </w:tc>
        <w:tc>
          <w:tcPr>
            <w:tcW w:type="dxa" w:w="3420"/>
            <w:shd w:fill="F8F8F8" w:color="auto" w:val="clear"/>
          </w:tcPr>
          <w:p>
            <w:r>
              <w:rPr>
                <w:b w:val="false"/>
                <w:bCs w:val="false"/>
                <w:color w:val="222222"/>
                <w:sz w:val="20"/>
                <w:szCs w:val="20"/>
              </w:rPr>
              <w:t xml:space="preserve">"The specific dimensions we cover", listed.</w:t>
            </w:r>
          </w:p>
        </w:tc>
      </w:tr>
      <w:tr>
        <w:trPr>
          <w:tblHeader w:val="false"/>
        </w:trPr>
        <w:tc>
          <w:tcPr>
            <w:tcW w:type="dxa" w:w="2520"/>
            <w:shd w:fill="FFFFFF" w:color="auto" w:val="clear"/>
          </w:tcPr>
          <w:p>
            <w:r>
              <w:rPr>
                <w:b w:val="false"/>
                <w:bCs w:val="false"/>
                <w:color w:val="222222"/>
                <w:sz w:val="20"/>
                <w:szCs w:val="20"/>
              </w:rPr>
              <w:t xml:space="preserve">"Cutting-edge / state-of-the-art / world-class"</w:t>
            </w:r>
          </w:p>
        </w:tc>
        <w:tc>
          <w:tcPr>
            <w:tcW w:type="dxa" w:w="3420"/>
            <w:shd w:fill="FFFFFF" w:color="auto" w:val="clear"/>
          </w:tcPr>
          <w:p>
            <w:r>
              <w:rPr>
                <w:b w:val="false"/>
                <w:bCs w:val="false"/>
                <w:color w:val="222222"/>
                <w:sz w:val="20"/>
                <w:szCs w:val="20"/>
              </w:rPr>
              <w:t xml:space="preserve">Empty intensifiers. They are evidence that we did not have the specific claim we wished we had.</w:t>
            </w:r>
          </w:p>
        </w:tc>
        <w:tc>
          <w:tcPr>
            <w:tcW w:type="dxa" w:w="3420"/>
            <w:shd w:fill="FFFFFF" w:color="auto" w:val="clear"/>
          </w:tcPr>
          <w:p>
            <w:r>
              <w:rPr>
                <w:b w:val="false"/>
                <w:bCs w:val="false"/>
                <w:color w:val="222222"/>
                <w:sz w:val="20"/>
                <w:szCs w:val="20"/>
              </w:rPr>
              <w:t xml:space="preserve">Just state the claim. If the claim is good, the intensifier is unnecessary.</w:t>
            </w:r>
          </w:p>
        </w:tc>
      </w:tr>
      <w:tr>
        <w:trPr>
          <w:tblHeader w:val="false"/>
        </w:trPr>
        <w:tc>
          <w:tcPr>
            <w:tcW w:type="dxa" w:w="2520"/>
            <w:shd w:fill="F8F8F8" w:color="auto" w:val="clear"/>
          </w:tcPr>
          <w:p>
            <w:r>
              <w:rPr>
                <w:b w:val="false"/>
                <w:bCs w:val="false"/>
                <w:color w:val="222222"/>
                <w:sz w:val="20"/>
                <w:szCs w:val="20"/>
              </w:rPr>
              <w:t xml:space="preserve">"Revolutionary / transformative / game-changing"</w:t>
            </w:r>
          </w:p>
        </w:tc>
        <w:tc>
          <w:tcPr>
            <w:tcW w:type="dxa" w:w="3420"/>
            <w:shd w:fill="F8F8F8" w:color="auto" w:val="clear"/>
          </w:tcPr>
          <w:p>
            <w:r>
              <w:rPr>
                <w:b w:val="false"/>
                <w:bCs w:val="false"/>
                <w:color w:val="222222"/>
                <w:sz w:val="20"/>
                <w:szCs w:val="20"/>
              </w:rPr>
              <w:t xml:space="preserve">Same problem. Investors read these as a tell that the substance is thin.</w:t>
            </w:r>
          </w:p>
        </w:tc>
        <w:tc>
          <w:tcPr>
            <w:tcW w:type="dxa" w:w="3420"/>
            <w:shd w:fill="F8F8F8" w:color="auto" w:val="clear"/>
          </w:tcPr>
          <w:p>
            <w:r>
              <w:rPr>
                <w:b w:val="false"/>
                <w:bCs w:val="false"/>
                <w:color w:val="222222"/>
                <w:sz w:val="20"/>
                <w:szCs w:val="20"/>
              </w:rPr>
              <w:t xml:space="preserve">State the specific shift the platform produces.</w:t>
            </w:r>
          </w:p>
        </w:tc>
      </w:tr>
      <w:tr>
        <w:trPr>
          <w:tblHeader w:val="false"/>
        </w:trPr>
        <w:tc>
          <w:tcPr>
            <w:tcW w:type="dxa" w:w="2520"/>
            <w:shd w:fill="FFFFFF" w:color="auto" w:val="clear"/>
          </w:tcPr>
          <w:p>
            <w:r>
              <w:rPr>
                <w:b w:val="false"/>
                <w:bCs w:val="false"/>
                <w:color w:val="222222"/>
                <w:sz w:val="20"/>
                <w:szCs w:val="20"/>
              </w:rPr>
              <w:t xml:space="preserve">"For women like me"</w:t>
            </w:r>
          </w:p>
        </w:tc>
        <w:tc>
          <w:tcPr>
            <w:tcW w:type="dxa" w:w="3420"/>
            <w:shd w:fill="FFFFFF" w:color="auto" w:val="clear"/>
          </w:tcPr>
          <w:p>
            <w:r>
              <w:rPr>
                <w:b w:val="false"/>
                <w:bCs w:val="false"/>
                <w:color w:val="222222"/>
                <w:sz w:val="20"/>
                <w:szCs w:val="20"/>
              </w:rPr>
              <w:t xml:space="preserve">Patient-centered language belongs in advocacy contexts. In platform contexts, it implies a consumer wellness app.</w:t>
            </w:r>
          </w:p>
        </w:tc>
        <w:tc>
          <w:tcPr>
            <w:tcW w:type="dxa" w:w="3420"/>
            <w:shd w:fill="FFFFFF" w:color="auto" w:val="clear"/>
          </w:tcPr>
          <w:p>
            <w:r>
              <w:rPr>
                <w:b w:val="false"/>
                <w:bCs w:val="false"/>
                <w:color w:val="222222"/>
                <w:sz w:val="20"/>
                <w:szCs w:val="20"/>
              </w:rPr>
              <w:t xml:space="preserve">Position by audience: 'for clinician-researchers,' 'for pharma R&amp;D teams,' etc.</w:t>
            </w:r>
          </w:p>
        </w:tc>
      </w:tr>
      <w:tr>
        <w:trPr>
          <w:tblHeader w:val="false"/>
        </w:trPr>
        <w:tc>
          <w:tcPr>
            <w:tcW w:type="dxa" w:w="2520"/>
            <w:shd w:fill="F8F8F8" w:color="auto" w:val="clear"/>
          </w:tcPr>
          <w:p>
            <w:r>
              <w:rPr>
                <w:b w:val="false"/>
                <w:bCs w:val="false"/>
                <w:color w:val="222222"/>
                <w:sz w:val="20"/>
                <w:szCs w:val="20"/>
              </w:rPr>
              <w:t xml:space="preserve">"Trustworthy AI"</w:t>
            </w:r>
          </w:p>
        </w:tc>
        <w:tc>
          <w:tcPr>
            <w:tcW w:type="dxa" w:w="3420"/>
            <w:shd w:fill="F8F8F8" w:color="auto" w:val="clear"/>
          </w:tcPr>
          <w:p>
            <w:r>
              <w:rPr>
                <w:b w:val="false"/>
                <w:bCs w:val="false"/>
                <w:color w:val="222222"/>
                <w:sz w:val="20"/>
                <w:szCs w:val="20"/>
              </w:rPr>
              <w:t xml:space="preserve">Too generic. Replaced by the specific mechanism: per-claim provenance with contradiction surfacing.</w:t>
            </w:r>
          </w:p>
        </w:tc>
        <w:tc>
          <w:tcPr>
            <w:tcW w:type="dxa" w:w="3420"/>
            <w:shd w:fill="F8F8F8" w:color="auto" w:val="clear"/>
          </w:tcPr>
          <w:p>
            <w:r>
              <w:rPr>
                <w:b w:val="false"/>
                <w:bCs w:val="false"/>
                <w:color w:val="222222"/>
                <w:sz w:val="20"/>
                <w:szCs w:val="20"/>
              </w:rPr>
              <w:t xml:space="preserve">Name the specific mechanism.</w:t>
            </w:r>
          </w:p>
        </w:tc>
      </w:tr>
      <w:tr>
        <w:trPr>
          <w:tblHeader w:val="false"/>
        </w:trPr>
        <w:tc>
          <w:tcPr>
            <w:tcW w:type="dxa" w:w="2520"/>
            <w:shd w:fill="FFFFFF" w:color="auto" w:val="clear"/>
          </w:tcPr>
          <w:p>
            <w:r>
              <w:rPr>
                <w:b w:val="false"/>
                <w:bCs w:val="false"/>
                <w:color w:val="222222"/>
                <w:sz w:val="20"/>
                <w:szCs w:val="20"/>
              </w:rPr>
              <w:t xml:space="preserve">"Personalized medicine"</w:t>
            </w:r>
          </w:p>
        </w:tc>
        <w:tc>
          <w:tcPr>
            <w:tcW w:type="dxa" w:w="3420"/>
            <w:shd w:fill="FFFFFF" w:color="auto" w:val="clear"/>
          </w:tcPr>
          <w:p>
            <w:r>
              <w:rPr>
                <w:b w:val="false"/>
                <w:bCs w:val="false"/>
                <w:color w:val="222222"/>
                <w:sz w:val="20"/>
                <w:szCs w:val="20"/>
              </w:rPr>
              <w:t xml:space="preserve">Reads as consumer-genomics. Whel is not 23andMe.</w:t>
            </w:r>
          </w:p>
        </w:tc>
        <w:tc>
          <w:tcPr>
            <w:tcW w:type="dxa" w:w="3420"/>
            <w:shd w:fill="FFFFFF" w:color="auto" w:val="clear"/>
          </w:tcPr>
          <w:p>
            <w:r>
              <w:rPr>
                <w:b w:val="false"/>
                <w:bCs w:val="false"/>
                <w:color w:val="222222"/>
                <w:sz w:val="20"/>
                <w:szCs w:val="20"/>
              </w:rPr>
              <w:t xml:space="preserve">"Sex-stratified" or "subtype-specific" where applicable.</w:t>
            </w:r>
          </w:p>
        </w:tc>
      </w:tr>
    </w:tbl>
    <w:p>
      <w:pPr>
        <w:pStyle w:val="Heading2"/>
      </w:pPr>
      <w:r>
        <w:t xml:space="preserve">The preferred terms</w:t>
      </w:r>
    </w:p>
    <w:p>
      <w:r>
        <w:t xml:space="preserve">Where the previous table covered what not to do, this one covers what to do — the specific phrases that carry the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060"/>
        <w:gridCol w:w="3780"/>
      </w:tblGrid>
      <w:tr>
        <w:trPr>
          <w:tblHeader/>
        </w:trPr>
        <w:tc>
          <w:tcPr>
            <w:tcW w:type="dxa" w:w="2520"/>
            <w:shd w:fill="7A1F3D" w:color="auto" w:val="clear"/>
          </w:tcPr>
          <w:p>
            <w:r>
              <w:rPr>
                <w:b/>
                <w:bCs/>
                <w:color w:val="FFFFFF"/>
                <w:sz w:val="20"/>
                <w:szCs w:val="20"/>
              </w:rPr>
              <w:t xml:space="preserve">Use</w:t>
            </w:r>
          </w:p>
        </w:tc>
        <w:tc>
          <w:tcPr>
            <w:tcW w:type="dxa" w:w="3060"/>
            <w:shd w:fill="7A1F3D" w:color="auto" w:val="clear"/>
          </w:tcPr>
          <w:p>
            <w:r>
              <w:rPr>
                <w:b/>
                <w:bCs/>
                <w:color w:val="FFFFFF"/>
                <w:sz w:val="20"/>
                <w:szCs w:val="20"/>
              </w:rPr>
              <w:t xml:space="preserve">Instead of</w:t>
            </w:r>
          </w:p>
        </w:tc>
        <w:tc>
          <w:tcPr>
            <w:tcW w:type="dxa" w:w="3780"/>
            <w:shd w:fill="7A1F3D" w:color="auto" w:val="clear"/>
          </w:tcPr>
          <w:p>
            <w:r>
              <w:rPr>
                <w:b/>
                <w:bCs/>
                <w:color w:val="FFFFFF"/>
                <w:sz w:val="20"/>
                <w:szCs w:val="20"/>
              </w:rPr>
              <w:t xml:space="preserve">Why</w:t>
            </w:r>
          </w:p>
        </w:tc>
      </w:tr>
      <w:tr>
        <w:trPr>
          <w:tblHeader w:val="false"/>
        </w:trPr>
        <w:tc>
          <w:tcPr>
            <w:tcW w:type="dxa" w:w="2520"/>
            <w:shd w:fill="F8F8F8" w:color="auto" w:val="clear"/>
          </w:tcPr>
          <w:p>
            <w:r>
              <w:rPr>
                <w:b w:val="false"/>
                <w:bCs w:val="false"/>
                <w:color w:val="222222"/>
                <w:sz w:val="20"/>
                <w:szCs w:val="20"/>
              </w:rPr>
              <w:t xml:space="preserve">"corrected, not filtered"</w:t>
            </w:r>
          </w:p>
        </w:tc>
        <w:tc>
          <w:tcPr>
            <w:tcW w:type="dxa" w:w="3060"/>
            <w:shd w:fill="F8F8F8" w:color="auto" w:val="clear"/>
          </w:tcPr>
          <w:p>
            <w:r>
              <w:rPr>
                <w:b w:val="false"/>
                <w:bCs w:val="false"/>
                <w:color w:val="222222"/>
                <w:sz w:val="20"/>
                <w:szCs w:val="20"/>
              </w:rPr>
              <w:t xml:space="preserve">"comprehensive coverage"</w:t>
            </w:r>
          </w:p>
        </w:tc>
        <w:tc>
          <w:tcPr>
            <w:tcW w:type="dxa" w:w="3780"/>
            <w:shd w:fill="F8F8F8" w:color="auto" w:val="clear"/>
          </w:tcPr>
          <w:p>
            <w:r>
              <w:rPr>
                <w:b w:val="false"/>
                <w:bCs w:val="false"/>
                <w:color w:val="222222"/>
                <w:sz w:val="20"/>
                <w:szCs w:val="20"/>
              </w:rPr>
              <w:t xml:space="preserve">Rejects the obvious competitive response (slap a women's-health filter on existing data) before it lands.</w:t>
            </w:r>
          </w:p>
        </w:tc>
      </w:tr>
      <w:tr>
        <w:trPr>
          <w:tblHeader w:val="false"/>
        </w:trPr>
        <w:tc>
          <w:tcPr>
            <w:tcW w:type="dxa" w:w="2520"/>
            <w:shd w:fill="FFFFFF" w:color="auto" w:val="clear"/>
          </w:tcPr>
          <w:p>
            <w:r>
              <w:rPr>
                <w:b w:val="false"/>
                <w:bCs w:val="false"/>
                <w:color w:val="222222"/>
                <w:sz w:val="20"/>
                <w:szCs w:val="20"/>
              </w:rPr>
              <w:t xml:space="preserve">"the drugs already exist"</w:t>
            </w:r>
          </w:p>
        </w:tc>
        <w:tc>
          <w:tcPr>
            <w:tcW w:type="dxa" w:w="3060"/>
            <w:shd w:fill="FFFFFF" w:color="auto" w:val="clear"/>
          </w:tcPr>
          <w:p>
            <w:r>
              <w:rPr>
                <w:b w:val="false"/>
                <w:bCs w:val="false"/>
                <w:color w:val="222222"/>
                <w:sz w:val="20"/>
                <w:szCs w:val="20"/>
              </w:rPr>
              <w:t xml:space="preserve">"unmet need" or "new therapies"</w:t>
            </w:r>
          </w:p>
        </w:tc>
        <w:tc>
          <w:tcPr>
            <w:tcW w:type="dxa" w:w="3780"/>
            <w:shd w:fill="FFFFFF" w:color="auto" w:val="clear"/>
          </w:tcPr>
          <w:p>
            <w:r>
              <w:rPr>
                <w:b w:val="false"/>
                <w:bCs w:val="false"/>
                <w:color w:val="222222"/>
                <w:sz w:val="20"/>
                <w:szCs w:val="20"/>
              </w:rPr>
              <w:t xml:space="preserve">Repurposing-forward. Concrete. Immediately credible.</w:t>
            </w:r>
          </w:p>
        </w:tc>
      </w:tr>
      <w:tr>
        <w:trPr>
          <w:tblHeader w:val="false"/>
        </w:trPr>
        <w:tc>
          <w:tcPr>
            <w:tcW w:type="dxa" w:w="2520"/>
            <w:shd w:fill="F8F8F8" w:color="auto" w:val="clear"/>
          </w:tcPr>
          <w:p>
            <w:r>
              <w:rPr>
                <w:b w:val="false"/>
                <w:bCs w:val="false"/>
                <w:color w:val="222222"/>
                <w:sz w:val="20"/>
                <w:szCs w:val="20"/>
              </w:rPr>
              <w:t xml:space="preserve">"evidence substrate"</w:t>
            </w:r>
          </w:p>
        </w:tc>
        <w:tc>
          <w:tcPr>
            <w:tcW w:type="dxa" w:w="3060"/>
            <w:shd w:fill="F8F8F8" w:color="auto" w:val="clear"/>
          </w:tcPr>
          <w:p>
            <w:r>
              <w:rPr>
                <w:b w:val="false"/>
                <w:bCs w:val="false"/>
                <w:color w:val="222222"/>
                <w:sz w:val="20"/>
                <w:szCs w:val="20"/>
              </w:rPr>
              <w:t xml:space="preserve">"database" or "platform"</w:t>
            </w:r>
          </w:p>
        </w:tc>
        <w:tc>
          <w:tcPr>
            <w:tcW w:type="dxa" w:w="3780"/>
            <w:shd w:fill="F8F8F8" w:color="auto" w:val="clear"/>
          </w:tcPr>
          <w:p>
            <w:r>
              <w:rPr>
                <w:b w:val="false"/>
                <w:bCs w:val="false"/>
                <w:color w:val="222222"/>
                <w:sz w:val="20"/>
                <w:szCs w:val="20"/>
              </w:rPr>
              <w:t xml:space="preserve">Substrate conveys graph + provenance + ontology, not flat table.</w:t>
            </w:r>
          </w:p>
        </w:tc>
      </w:tr>
      <w:tr>
        <w:trPr>
          <w:tblHeader w:val="false"/>
        </w:trPr>
        <w:tc>
          <w:tcPr>
            <w:tcW w:type="dxa" w:w="2520"/>
            <w:shd w:fill="FFFFFF" w:color="auto" w:val="clear"/>
          </w:tcPr>
          <w:p>
            <w:r>
              <w:rPr>
                <w:b w:val="false"/>
                <w:bCs w:val="false"/>
                <w:color w:val="222222"/>
                <w:sz w:val="20"/>
                <w:szCs w:val="20"/>
              </w:rPr>
              <w:t xml:space="preserve">"signal"</w:t>
            </w:r>
          </w:p>
        </w:tc>
        <w:tc>
          <w:tcPr>
            <w:tcW w:type="dxa" w:w="3060"/>
            <w:shd w:fill="FFFFFF" w:color="auto" w:val="clear"/>
          </w:tcPr>
          <w:p>
            <w:r>
              <w:rPr>
                <w:b w:val="false"/>
                <w:bCs w:val="false"/>
                <w:color w:val="222222"/>
                <w:sz w:val="20"/>
                <w:szCs w:val="20"/>
              </w:rPr>
              <w:t xml:space="preserve">"finding" or "result"</w:t>
            </w:r>
          </w:p>
        </w:tc>
        <w:tc>
          <w:tcPr>
            <w:tcW w:type="dxa" w:w="3780"/>
            <w:shd w:fill="FFFFFF" w:color="auto" w:val="clear"/>
          </w:tcPr>
          <w:p>
            <w:r>
              <w:rPr>
                <w:b w:val="false"/>
                <w:bCs w:val="false"/>
                <w:color w:val="222222"/>
                <w:sz w:val="20"/>
                <w:szCs w:val="20"/>
              </w:rPr>
              <w:t xml:space="preserve">Finding implies established truth; signal preserves uncertainty.</w:t>
            </w:r>
          </w:p>
        </w:tc>
      </w:tr>
      <w:tr>
        <w:trPr>
          <w:tblHeader w:val="false"/>
        </w:trPr>
        <w:tc>
          <w:tcPr>
            <w:tcW w:type="dxa" w:w="2520"/>
            <w:shd w:fill="F8F8F8" w:color="auto" w:val="clear"/>
          </w:tcPr>
          <w:p>
            <w:r>
              <w:rPr>
                <w:b w:val="false"/>
                <w:bCs w:val="false"/>
                <w:color w:val="222222"/>
                <w:sz w:val="20"/>
                <w:szCs w:val="20"/>
              </w:rPr>
              <w:t xml:space="preserve">"contradiction surfacing"</w:t>
            </w:r>
          </w:p>
        </w:tc>
        <w:tc>
          <w:tcPr>
            <w:tcW w:type="dxa" w:w="3060"/>
            <w:shd w:fill="F8F8F8" w:color="auto" w:val="clear"/>
          </w:tcPr>
          <w:p>
            <w:r>
              <w:rPr>
                <w:b w:val="false"/>
                <w:bCs w:val="false"/>
                <w:color w:val="222222"/>
                <w:sz w:val="20"/>
                <w:szCs w:val="20"/>
              </w:rPr>
              <w:t xml:space="preserve">"consensus" or "consolidated evidence"</w:t>
            </w:r>
          </w:p>
        </w:tc>
        <w:tc>
          <w:tcPr>
            <w:tcW w:type="dxa" w:w="3780"/>
            <w:shd w:fill="F8F8F8" w:color="auto" w:val="clear"/>
          </w:tcPr>
          <w:p>
            <w:r>
              <w:rPr>
                <w:b w:val="false"/>
                <w:bCs w:val="false"/>
                <w:color w:val="222222"/>
                <w:sz w:val="20"/>
                <w:szCs w:val="20"/>
              </w:rPr>
              <w:t xml:space="preserve">We do not collapse disagreement; we expose it.</w:t>
            </w:r>
          </w:p>
        </w:tc>
      </w:tr>
      <w:tr>
        <w:trPr>
          <w:tblHeader w:val="false"/>
        </w:trPr>
        <w:tc>
          <w:tcPr>
            <w:tcW w:type="dxa" w:w="2520"/>
            <w:shd w:fill="FFFFFF" w:color="auto" w:val="clear"/>
          </w:tcPr>
          <w:p>
            <w:r>
              <w:rPr>
                <w:b w:val="false"/>
                <w:bCs w:val="false"/>
                <w:color w:val="222222"/>
                <w:sz w:val="20"/>
                <w:szCs w:val="20"/>
              </w:rPr>
              <w:t xml:space="preserve">"per-claim provenance"</w:t>
            </w:r>
          </w:p>
        </w:tc>
        <w:tc>
          <w:tcPr>
            <w:tcW w:type="dxa" w:w="3060"/>
            <w:shd w:fill="FFFFFF" w:color="auto" w:val="clear"/>
          </w:tcPr>
          <w:p>
            <w:r>
              <w:rPr>
                <w:b w:val="false"/>
                <w:bCs w:val="false"/>
                <w:color w:val="222222"/>
                <w:sz w:val="20"/>
                <w:szCs w:val="20"/>
              </w:rPr>
              <w:t xml:space="preserve">"citations"</w:t>
            </w:r>
          </w:p>
        </w:tc>
        <w:tc>
          <w:tcPr>
            <w:tcW w:type="dxa" w:w="3780"/>
            <w:shd w:fill="FFFFFF" w:color="auto" w:val="clear"/>
          </w:tcPr>
          <w:p>
            <w:r>
              <w:rPr>
                <w:b w:val="false"/>
                <w:bCs w:val="false"/>
                <w:color w:val="222222"/>
                <w:sz w:val="20"/>
                <w:szCs w:val="20"/>
              </w:rPr>
              <w:t xml:space="preserve">Citations can hide which sentence comes from where; per-claim ties one source to one claim.</w:t>
            </w:r>
          </w:p>
        </w:tc>
      </w:tr>
      <w:tr>
        <w:trPr>
          <w:tblHeader w:val="false"/>
        </w:trPr>
        <w:tc>
          <w:tcPr>
            <w:tcW w:type="dxa" w:w="2520"/>
            <w:shd w:fill="F8F8F8" w:color="auto" w:val="clear"/>
          </w:tcPr>
          <w:p>
            <w:r>
              <w:rPr>
                <w:b w:val="false"/>
                <w:bCs w:val="false"/>
                <w:color w:val="222222"/>
                <w:sz w:val="20"/>
                <w:szCs w:val="20"/>
              </w:rPr>
              <w:t xml:space="preserve">"instrumented synthesis"</w:t>
            </w:r>
          </w:p>
        </w:tc>
        <w:tc>
          <w:tcPr>
            <w:tcW w:type="dxa" w:w="3060"/>
            <w:shd w:fill="F8F8F8" w:color="auto" w:val="clear"/>
          </w:tcPr>
          <w:p>
            <w:r>
              <w:rPr>
                <w:b w:val="false"/>
                <w:bCs w:val="false"/>
                <w:color w:val="222222"/>
                <w:sz w:val="20"/>
                <w:szCs w:val="20"/>
              </w:rPr>
              <w:t xml:space="preserve">"AI summary"</w:t>
            </w:r>
          </w:p>
        </w:tc>
        <w:tc>
          <w:tcPr>
            <w:tcW w:type="dxa" w:w="3780"/>
            <w:shd w:fill="F8F8F8" w:color="auto" w:val="clear"/>
          </w:tcPr>
          <w:p>
            <w:r>
              <w:rPr>
                <w:b w:val="false"/>
                <w:bCs w:val="false"/>
                <w:color w:val="222222"/>
                <w:sz w:val="20"/>
                <w:szCs w:val="20"/>
              </w:rPr>
              <w:t xml:space="preserve">Synthesis is marked, traceable, and reproducible.</w:t>
            </w:r>
          </w:p>
        </w:tc>
      </w:tr>
      <w:tr>
        <w:trPr>
          <w:tblHeader w:val="false"/>
        </w:trPr>
        <w:tc>
          <w:tcPr>
            <w:tcW w:type="dxa" w:w="2520"/>
            <w:shd w:fill="FFFFFF" w:color="auto" w:val="clear"/>
          </w:tcPr>
          <w:p>
            <w:r>
              <w:rPr>
                <w:b w:val="false"/>
                <w:bCs w:val="false"/>
                <w:color w:val="222222"/>
                <w:sz w:val="20"/>
                <w:szCs w:val="20"/>
              </w:rPr>
              <w:t xml:space="preserve">"cyclical PK model" or "cyclical hormonal state"</w:t>
            </w:r>
          </w:p>
        </w:tc>
        <w:tc>
          <w:tcPr>
            <w:tcW w:type="dxa" w:w="3060"/>
            <w:shd w:fill="FFFFFF" w:color="auto" w:val="clear"/>
          </w:tcPr>
          <w:p>
            <w:r>
              <w:rPr>
                <w:b w:val="false"/>
                <w:bCs w:val="false"/>
                <w:color w:val="222222"/>
                <w:sz w:val="20"/>
                <w:szCs w:val="20"/>
              </w:rPr>
              <w:t xml:space="preserve">"menstrual cycle"</w:t>
            </w:r>
          </w:p>
        </w:tc>
        <w:tc>
          <w:tcPr>
            <w:tcW w:type="dxa" w:w="3780"/>
            <w:shd w:fill="FFFFFF" w:color="auto" w:val="clear"/>
          </w:tcPr>
          <w:p>
            <w:r>
              <w:rPr>
                <w:b w:val="false"/>
                <w:bCs w:val="false"/>
                <w:color w:val="222222"/>
                <w:sz w:val="20"/>
                <w:szCs w:val="20"/>
              </w:rPr>
              <w:t xml:space="preserve">Frames hormonal state as pharmacokinetically structured data, not anecdote.</w:t>
            </w:r>
          </w:p>
        </w:tc>
      </w:tr>
      <w:tr>
        <w:trPr>
          <w:tblHeader w:val="false"/>
        </w:trPr>
        <w:tc>
          <w:tcPr>
            <w:tcW w:type="dxa" w:w="2520"/>
            <w:shd w:fill="F8F8F8" w:color="auto" w:val="clear"/>
          </w:tcPr>
          <w:p>
            <w:r>
              <w:rPr>
                <w:b w:val="false"/>
                <w:bCs w:val="false"/>
                <w:color w:val="222222"/>
                <w:sz w:val="20"/>
                <w:szCs w:val="20"/>
              </w:rPr>
              <w:t xml:space="preserve">"hypothesis generation from patient signal"</w:t>
            </w:r>
          </w:p>
        </w:tc>
        <w:tc>
          <w:tcPr>
            <w:tcW w:type="dxa" w:w="3060"/>
            <w:shd w:fill="F8F8F8" w:color="auto" w:val="clear"/>
          </w:tcPr>
          <w:p>
            <w:r>
              <w:rPr>
                <w:b w:val="false"/>
                <w:bCs w:val="false"/>
                <w:color w:val="222222"/>
                <w:sz w:val="20"/>
                <w:szCs w:val="20"/>
              </w:rPr>
              <w:t xml:space="preserve">"community-sourced data" or "Reddit data"</w:t>
            </w:r>
          </w:p>
        </w:tc>
        <w:tc>
          <w:tcPr>
            <w:tcW w:type="dxa" w:w="3780"/>
            <w:shd w:fill="F8F8F8" w:color="auto" w:val="clear"/>
          </w:tcPr>
          <w:p>
            <w:r>
              <w:rPr>
                <w:b w:val="false"/>
                <w:bCs w:val="false"/>
                <w:color w:val="222222"/>
                <w:sz w:val="20"/>
                <w:szCs w:val="20"/>
              </w:rPr>
              <w:t xml:space="preserve">Positions patient signal as input to validation, not as standalone evidence.</w:t>
            </w:r>
          </w:p>
        </w:tc>
      </w:tr>
      <w:tr>
        <w:trPr>
          <w:tblHeader w:val="false"/>
        </w:trPr>
        <w:tc>
          <w:tcPr>
            <w:tcW w:type="dxa" w:w="2520"/>
            <w:shd w:fill="FFFFFF" w:color="auto" w:val="clear"/>
          </w:tcPr>
          <w:p>
            <w:r>
              <w:rPr>
                <w:b w:val="false"/>
                <w:bCs w:val="false"/>
                <w:color w:val="222222"/>
                <w:sz w:val="20"/>
                <w:szCs w:val="20"/>
              </w:rPr>
              <w:t xml:space="preserve">"research-support tool"</w:t>
            </w:r>
          </w:p>
        </w:tc>
        <w:tc>
          <w:tcPr>
            <w:tcW w:type="dxa" w:w="3060"/>
            <w:shd w:fill="FFFFFF" w:color="auto" w:val="clear"/>
          </w:tcPr>
          <w:p>
            <w:r>
              <w:rPr>
                <w:b w:val="false"/>
                <w:bCs w:val="false"/>
                <w:color w:val="222222"/>
                <w:sz w:val="20"/>
                <w:szCs w:val="20"/>
              </w:rPr>
              <w:t xml:space="preserve">"clinical tool"</w:t>
            </w:r>
          </w:p>
        </w:tc>
        <w:tc>
          <w:tcPr>
            <w:tcW w:type="dxa" w:w="3780"/>
            <w:shd w:fill="FFFFFF" w:color="auto" w:val="clear"/>
          </w:tcPr>
          <w:p>
            <w:r>
              <w:rPr>
                <w:b w:val="false"/>
                <w:bCs w:val="false"/>
                <w:color w:val="222222"/>
                <w:sz w:val="20"/>
                <w:szCs w:val="20"/>
              </w:rPr>
              <w:t xml:space="preserve">Aligns with 21st Century Cures §3060 exemption.</w:t>
            </w:r>
          </w:p>
        </w:tc>
      </w:tr>
      <w:tr>
        <w:trPr>
          <w:tblHeader w:val="false"/>
        </w:trPr>
        <w:tc>
          <w:tcPr>
            <w:tcW w:type="dxa" w:w="2520"/>
            <w:shd w:fill="F8F8F8" w:color="auto" w:val="clear"/>
          </w:tcPr>
          <w:p>
            <w:r>
              <w:rPr>
                <w:b w:val="false"/>
                <w:bCs w:val="false"/>
                <w:color w:val="222222"/>
                <w:sz w:val="20"/>
                <w:szCs w:val="20"/>
              </w:rPr>
              <w:t xml:space="preserve">"under-studied"</w:t>
            </w:r>
          </w:p>
        </w:tc>
        <w:tc>
          <w:tcPr>
            <w:tcW w:type="dxa" w:w="3060"/>
            <w:shd w:fill="F8F8F8" w:color="auto" w:val="clear"/>
          </w:tcPr>
          <w:p>
            <w:r>
              <w:rPr>
                <w:b w:val="false"/>
                <w:bCs w:val="false"/>
                <w:color w:val="222222"/>
                <w:sz w:val="20"/>
                <w:szCs w:val="20"/>
              </w:rPr>
              <w:t xml:space="preserve">"ignored" or "neglected"</w:t>
            </w:r>
          </w:p>
        </w:tc>
        <w:tc>
          <w:tcPr>
            <w:tcW w:type="dxa" w:w="3780"/>
            <w:shd w:fill="F8F8F8" w:color="auto" w:val="clear"/>
          </w:tcPr>
          <w:p>
            <w:r>
              <w:rPr>
                <w:b w:val="false"/>
                <w:bCs w:val="false"/>
                <w:color w:val="222222"/>
                <w:sz w:val="20"/>
                <w:szCs w:val="20"/>
              </w:rPr>
              <w:t xml:space="preserve">Quantifiable, professional, accurate.</w:t>
            </w:r>
          </w:p>
        </w:tc>
      </w:tr>
      <w:tr>
        <w:trPr>
          <w:tblHeader w:val="false"/>
        </w:trPr>
        <w:tc>
          <w:tcPr>
            <w:tcW w:type="dxa" w:w="2520"/>
            <w:shd w:fill="FFFFFF" w:color="auto" w:val="clear"/>
          </w:tcPr>
          <w:p>
            <w:r>
              <w:rPr>
                <w:b w:val="false"/>
                <w:bCs w:val="false"/>
                <w:color w:val="222222"/>
                <w:sz w:val="20"/>
                <w:szCs w:val="20"/>
              </w:rPr>
              <w:t xml:space="preserve">"505(b)(2)-ready evidence"</w:t>
            </w:r>
          </w:p>
        </w:tc>
        <w:tc>
          <w:tcPr>
            <w:tcW w:type="dxa" w:w="3060"/>
            <w:shd w:fill="FFFFFF" w:color="auto" w:val="clear"/>
          </w:tcPr>
          <w:p>
            <w:r>
              <w:rPr>
                <w:b w:val="false"/>
                <w:bCs w:val="false"/>
                <w:color w:val="222222"/>
                <w:sz w:val="20"/>
                <w:szCs w:val="20"/>
              </w:rPr>
              <w:t xml:space="preserve">"ready for trials"</w:t>
            </w:r>
          </w:p>
        </w:tc>
        <w:tc>
          <w:tcPr>
            <w:tcW w:type="dxa" w:w="3780"/>
            <w:shd w:fill="FFFFFF" w:color="auto" w:val="clear"/>
          </w:tcPr>
          <w:p>
            <w:r>
              <w:rPr>
                <w:b w:val="false"/>
                <w:bCs w:val="false"/>
                <w:color w:val="222222"/>
                <w:sz w:val="20"/>
                <w:szCs w:val="20"/>
              </w:rPr>
              <w:t xml:space="preserve">Names the regulatory pathway repurposing actually uses.</w:t>
            </w:r>
          </w:p>
        </w:tc>
      </w:tr>
      <w:tr>
        <w:trPr>
          <w:tblHeader w:val="false"/>
        </w:trPr>
        <w:tc>
          <w:tcPr>
            <w:tcW w:type="dxa" w:w="2520"/>
            <w:shd w:fill="F8F8F8" w:color="auto" w:val="clear"/>
          </w:tcPr>
          <w:p>
            <w:r>
              <w:rPr>
                <w:b w:val="false"/>
                <w:bCs w:val="false"/>
                <w:color w:val="222222"/>
                <w:sz w:val="20"/>
                <w:szCs w:val="20"/>
              </w:rPr>
              <w:t xml:space="preserve">"sex-specific pharmacokinetics"</w:t>
            </w:r>
          </w:p>
        </w:tc>
        <w:tc>
          <w:tcPr>
            <w:tcW w:type="dxa" w:w="3060"/>
            <w:shd w:fill="F8F8F8" w:color="auto" w:val="clear"/>
          </w:tcPr>
          <w:p>
            <w:r>
              <w:rPr>
                <w:b w:val="false"/>
                <w:bCs w:val="false"/>
                <w:color w:val="222222"/>
                <w:sz w:val="20"/>
                <w:szCs w:val="20"/>
              </w:rPr>
              <w:t xml:space="preserve">"women's metabolism"</w:t>
            </w:r>
          </w:p>
        </w:tc>
        <w:tc>
          <w:tcPr>
            <w:tcW w:type="dxa" w:w="3780"/>
            <w:shd w:fill="F8F8F8" w:color="auto" w:val="clear"/>
          </w:tcPr>
          <w:p>
            <w:r>
              <w:rPr>
                <w:b w:val="false"/>
                <w:bCs w:val="false"/>
                <w:color w:val="222222"/>
                <w:sz w:val="20"/>
                <w:szCs w:val="20"/>
              </w:rPr>
              <w:t xml:space="preserve">Technically precise; survives clinical-audience scrutiny.</w:t>
            </w:r>
          </w:p>
        </w:tc>
      </w:tr>
      <w:tr>
        <w:trPr>
          <w:tblHeader w:val="false"/>
        </w:trPr>
        <w:tc>
          <w:tcPr>
            <w:tcW w:type="dxa" w:w="2520"/>
            <w:shd w:fill="FFFFFF" w:color="auto" w:val="clear"/>
          </w:tcPr>
          <w:p>
            <w:r>
              <w:rPr>
                <w:b w:val="false"/>
                <w:bCs w:val="false"/>
                <w:color w:val="222222"/>
                <w:sz w:val="20"/>
                <w:szCs w:val="20"/>
              </w:rPr>
              <w:t xml:space="preserve">"the corrected knowledge graph"</w:t>
            </w:r>
          </w:p>
        </w:tc>
        <w:tc>
          <w:tcPr>
            <w:tcW w:type="dxa" w:w="3060"/>
            <w:shd w:fill="FFFFFF" w:color="auto" w:val="clear"/>
          </w:tcPr>
          <w:p>
            <w:r>
              <w:rPr>
                <w:b w:val="false"/>
                <w:bCs w:val="false"/>
                <w:color w:val="222222"/>
                <w:sz w:val="20"/>
                <w:szCs w:val="20"/>
              </w:rPr>
              <w:t xml:space="preserve">"our knowledge graph"</w:t>
            </w:r>
          </w:p>
        </w:tc>
        <w:tc>
          <w:tcPr>
            <w:tcW w:type="dxa" w:w="3780"/>
            <w:shd w:fill="FFFFFF" w:color="auto" w:val="clear"/>
          </w:tcPr>
          <w:p>
            <w:r>
              <w:rPr>
                <w:b w:val="false"/>
                <w:bCs w:val="false"/>
                <w:color w:val="222222"/>
                <w:sz w:val="20"/>
                <w:szCs w:val="20"/>
              </w:rPr>
              <w:t xml:space="preserve">Frames the competitive position implicitly.</w:t>
            </w:r>
          </w:p>
        </w:tc>
      </w:tr>
    </w:tbl>
    <w:p>
      <w:pPr>
        <w:pStyle w:val="Heading2"/>
      </w:pPr>
      <w:r>
        <w:t xml:space="preserve">Numbers we use</w:t>
      </w:r>
    </w:p>
    <w:p>
      <w:r>
        <w:t xml:space="preserve">When citing the headline statistics, use these phrasings exactly. Drift in numbers reads as carelessness.</w:t>
      </w:r>
    </w:p>
    <w:p>
      <w:pPr>
        <w:pStyle w:val="ListParagraph"/>
        <w:numPr>
          <w:ilvl w:val="0"/>
          <w:numId w:val="2"/>
        </w:numPr>
      </w:pPr>
      <w:r>
        <w:t xml:space="preserve">88% of preclinical biomedical research uses male-only animal models.</w:t>
      </w:r>
    </w:p>
    <w:p>
      <w:pPr>
        <w:pStyle w:val="ListParagraph"/>
        <w:numPr>
          <w:ilvl w:val="0"/>
          <w:numId w:val="2"/>
        </w:numPr>
      </w:pPr>
      <w:r>
        <w:t xml:space="preserve">Women were excluded from most Phase I and II clinical trials in the US through 1993.</w:t>
      </w:r>
    </w:p>
    <w:p>
      <w:pPr>
        <w:pStyle w:val="ListParagraph"/>
        <w:numPr>
          <w:ilvl w:val="0"/>
          <w:numId w:val="2"/>
        </w:numPr>
      </w:pPr>
      <w:r>
        <w:t xml:space="preserve">Female sex is reported as a covariate in fewer than half of pharmacokinetic studies. Cyclical hormonal state in fewer than 10%.</w:t>
      </w:r>
    </w:p>
    <w:p>
      <w:pPr>
        <w:pStyle w:val="ListParagraph"/>
        <w:numPr>
          <w:ilvl w:val="0"/>
          <w:numId w:val="2"/>
        </w:numPr>
      </w:pPr>
      <w:r>
        <w:t xml:space="preserve">Women experience adverse drug reactions at 1.5–1.7 times the rate of men.</w:t>
      </w:r>
    </w:p>
    <w:p>
      <w:pPr>
        <w:pStyle w:val="ListParagraph"/>
        <w:numPr>
          <w:ilvl w:val="0"/>
          <w:numId w:val="2"/>
        </w:numPr>
      </w:pPr>
      <w:r>
        <w:t xml:space="preserve">Endometriosis and PCOS each affect roughly 10% of the female population — the same prevalence as diabetes in the general population.</w:t>
      </w:r>
    </w:p>
    <w:p>
      <w:pPr>
        <w:pStyle w:val="ListParagraph"/>
        <w:numPr>
          <w:ilvl w:val="0"/>
          <w:numId w:val="2"/>
        </w:numPr>
      </w:pPr>
      <w:r>
        <w:t xml:space="preserve">Approximately 500 million women combined are affected by endometriosis, PCOS, PMDD, and perimenopausal mood disorders.</w:t>
      </w:r>
    </w:p>
    <w:p>
      <w:pPr>
        <w:pStyle w:val="ListParagraph"/>
        <w:numPr>
          <w:ilvl w:val="0"/>
          <w:numId w:val="2"/>
        </w:numPr>
      </w:pPr>
      <w:r>
        <w:t xml:space="preserve">PMDD affects approximately 5–8% of menstruating individuals.</w:t>
      </w:r>
    </w:p>
    <w:p>
      <w:pPr>
        <w:pStyle w:val="ListParagraph"/>
        <w:numPr>
          <w:ilvl w:val="0"/>
          <w:numId w:val="2"/>
        </w:numPr>
      </w:pPr>
      <w:r>
        <w:t xml:space="preserve">The repurposing pathway through 505(b)(2) typically runs $5–200M and 3–8 years, versus $1B+ and 10–15 years for de novo development through 505(b)(1).</w:t>
      </w:r>
    </w:p>
    <w:p>
      <w:pPr>
        <w:pStyle w:val="Heading1"/>
        <w:pageBreakBefore/>
      </w:pPr>
      <w:r>
        <w:t xml:space="preserve">Part VIII. Voice &amp; Tone</w:t>
      </w:r>
    </w:p>
    <w:p>
      <w:pPr>
        <w:spacing w:after="200"/>
      </w:pPr>
      <w:r>
        <w:rPr>
          <w:i/>
          <w:iCs/>
          <w:color w:val="555555"/>
          <w:sz w:val="22"/>
          <w:szCs w:val="22"/>
        </w:rPr>
        <w:t xml:space="preserve">How the company speaks. The attributes that make a piece of writing recognizably Whel and not generic AI-biology.</w:t>
      </w:r>
    </w:p>
    <w:p>
      <w:pPr>
        <w:pStyle w:val="Heading2"/>
      </w:pPr>
      <w:r>
        <w:t xml:space="preserve">Voice attributes</w:t>
      </w:r>
    </w:p>
    <w:p>
      <w:pPr>
        <w:pStyle w:val="Heading3"/>
      </w:pPr>
      <w:r>
        <w:t xml:space="preserve">Confident without preachy</w:t>
      </w:r>
    </w:p>
    <w:p>
      <w:r>
        <w:t xml:space="preserve">The biology is on our side. The numbers are on our side. We do not need to raise our voice. The moral force comes from the facts, not from indignation. When a sentence starts to sound activist, cut it back until it sounds clinical.</w:t>
      </w:r>
    </w:p>
    <w:p>
      <w:pPr>
        <w:pStyle w:val="Heading3"/>
      </w:pPr>
      <w:r>
        <w:t xml:space="preserve">Factual without dry</w:t>
      </w:r>
    </w:p>
    <w:p>
      <w:r>
        <w:t xml:space="preserve">Specifics are more interesting than generalities. 'Metformin for PCOS' is more compelling than 'off-label use is common.' Lead with the named drug, the named condition, the named mechanism. Generalities only after the specifics have done the work.</w:t>
      </w:r>
    </w:p>
    <w:p>
      <w:pPr>
        <w:pStyle w:val="Heading3"/>
      </w:pPr>
      <w:r>
        <w:t xml:space="preserve">First-person plural, present tense</w:t>
      </w:r>
    </w:p>
    <w:p>
      <w:r>
        <w:t xml:space="preserve">The company speaks as a company. 'Whel surfaces' or 'we preserve provenance,' never 'I built' or 'I noticed.' Even when there is one founder, the voice is plural and the tense is present. The work is ongoing; the company is alive; the past tense is for the manifesto's opening (the institutional history) and the appendix (the audit log).</w:t>
      </w:r>
    </w:p>
    <w:p>
      <w:pPr>
        <w:pStyle w:val="Heading3"/>
      </w:pPr>
      <w:r>
        <w:t xml:space="preserve">Claim-dense, citation-anchored</w:t>
      </w:r>
    </w:p>
    <w:p>
      <w:r>
        <w:t xml:space="preserve">Every sentence containing a factual claim should be anchorable. In published writing, anchor explicitly with a citation. In conversation, be ready to anchor if asked. The voice is the voice of someone who has done the work and can produce the receipts.</w:t>
      </w:r>
    </w:p>
    <w:p>
      <w:pPr>
        <w:pStyle w:val="Heading3"/>
      </w:pPr>
      <w:r>
        <w:t xml:space="preserve">Contradiction-respecting</w:t>
      </w:r>
    </w:p>
    <w:p>
      <w:r>
        <w:t xml:space="preserve">We do not soften disagreement. When the evidence is contested, we say so. When two experts hold opposite positions, we name both. The voice is the voice of someone whose epistemic standard prefers a useful disagreement to a confident consensus that papers over the underlying mess.</w:t>
      </w:r>
    </w:p>
    <w:p>
      <w:pPr>
        <w:pStyle w:val="Heading2"/>
      </w:pPr>
      <w:r>
        <w:t xml:space="preserve">Tonal calibration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300"/>
      </w:tblGrid>
      <w:tr>
        <w:trPr>
          <w:tblHeader/>
        </w:trPr>
        <w:tc>
          <w:tcPr>
            <w:tcW w:type="dxa" w:w="2160"/>
            <w:shd w:fill="7A1F3D" w:color="auto" w:val="clear"/>
          </w:tcPr>
          <w:p>
            <w:r>
              <w:rPr>
                <w:b/>
                <w:bCs/>
                <w:color w:val="FFFFFF"/>
                <w:sz w:val="20"/>
                <w:szCs w:val="20"/>
              </w:rPr>
              <w:t xml:space="preserve">Audience</w:t>
            </w:r>
          </w:p>
        </w:tc>
        <w:tc>
          <w:tcPr>
            <w:tcW w:type="dxa" w:w="3960"/>
            <w:shd w:fill="7A1F3D" w:color="auto" w:val="clear"/>
          </w:tcPr>
          <w:p>
            <w:r>
              <w:rPr>
                <w:b/>
                <w:bCs/>
                <w:color w:val="FFFFFF"/>
                <w:sz w:val="20"/>
                <w:szCs w:val="20"/>
              </w:rPr>
              <w:t xml:space="preserve">Tone</w:t>
            </w:r>
          </w:p>
        </w:tc>
        <w:tc>
          <w:tcPr>
            <w:tcW w:type="dxa" w:w="3300"/>
            <w:shd w:fill="7A1F3D" w:color="auto" w:val="clear"/>
          </w:tcPr>
          <w:p>
            <w:r>
              <w:rPr>
                <w:b/>
                <w:bCs/>
                <w:color w:val="FFFFFF"/>
                <w:sz w:val="20"/>
                <w:szCs w:val="20"/>
              </w:rPr>
              <w:t xml:space="preserve">Avoid</w:t>
            </w:r>
          </w:p>
        </w:tc>
      </w:tr>
      <w:tr>
        <w:trPr>
          <w:tblHeader w:val="false"/>
        </w:trPr>
        <w:tc>
          <w:tcPr>
            <w:tcW w:type="dxa" w:w="2160"/>
            <w:shd w:fill="F8F8F8" w:color="auto" w:val="clear"/>
          </w:tcPr>
          <w:p>
            <w:r>
              <w:rPr>
                <w:b w:val="false"/>
                <w:bCs w:val="false"/>
                <w:color w:val="222222"/>
                <w:sz w:val="20"/>
                <w:szCs w:val="20"/>
              </w:rPr>
              <w:t xml:space="preserve">Investor</w:t>
            </w:r>
          </w:p>
        </w:tc>
        <w:tc>
          <w:tcPr>
            <w:tcW w:type="dxa" w:w="3960"/>
            <w:shd w:fill="F8F8F8" w:color="auto" w:val="clear"/>
          </w:tcPr>
          <w:p>
            <w:r>
              <w:rPr>
                <w:b w:val="false"/>
                <w:bCs w:val="false"/>
                <w:color w:val="222222"/>
                <w:sz w:val="20"/>
                <w:szCs w:val="20"/>
              </w:rPr>
              <w:t xml:space="preserve">Crisp, financial, structural. Sentences are short. Numbers do the work.</w:t>
            </w:r>
          </w:p>
        </w:tc>
        <w:tc>
          <w:tcPr>
            <w:tcW w:type="dxa" w:w="3300"/>
            <w:shd w:fill="F8F8F8" w:color="auto" w:val="clear"/>
          </w:tcPr>
          <w:p>
            <w:r>
              <w:rPr>
                <w:b w:val="false"/>
                <w:bCs w:val="false"/>
                <w:color w:val="222222"/>
                <w:sz w:val="20"/>
                <w:szCs w:val="20"/>
              </w:rPr>
              <w:t xml:space="preserve">Mission language, hedging.</w:t>
            </w:r>
          </w:p>
        </w:tc>
      </w:tr>
      <w:tr>
        <w:trPr>
          <w:tblHeader w:val="false"/>
        </w:trPr>
        <w:tc>
          <w:tcPr>
            <w:tcW w:type="dxa" w:w="2160"/>
            <w:shd w:fill="FFFFFF" w:color="auto" w:val="clear"/>
          </w:tcPr>
          <w:p>
            <w:r>
              <w:rPr>
                <w:b w:val="false"/>
                <w:bCs w:val="false"/>
                <w:color w:val="222222"/>
                <w:sz w:val="20"/>
                <w:szCs w:val="20"/>
              </w:rPr>
              <w:t xml:space="preserve">Pharma buyer</w:t>
            </w:r>
          </w:p>
        </w:tc>
        <w:tc>
          <w:tcPr>
            <w:tcW w:type="dxa" w:w="3960"/>
            <w:shd w:fill="FFFFFF" w:color="auto" w:val="clear"/>
          </w:tcPr>
          <w:p>
            <w:r>
              <w:rPr>
                <w:b w:val="false"/>
                <w:bCs w:val="false"/>
                <w:color w:val="222222"/>
                <w:sz w:val="20"/>
                <w:szCs w:val="20"/>
              </w:rPr>
              <w:t xml:space="preserve">Operational, specific, demo-ready. Lead with the workflow pain.</w:t>
            </w:r>
          </w:p>
        </w:tc>
        <w:tc>
          <w:tcPr>
            <w:tcW w:type="dxa" w:w="3300"/>
            <w:shd w:fill="FFFFFF" w:color="auto" w:val="clear"/>
          </w:tcPr>
          <w:p>
            <w:r>
              <w:rPr>
                <w:b w:val="false"/>
                <w:bCs w:val="false"/>
                <w:color w:val="222222"/>
                <w:sz w:val="20"/>
                <w:szCs w:val="20"/>
              </w:rPr>
              <w:t xml:space="preserve">Investor metaphors ('alpha,' 'mispricing').</w:t>
            </w:r>
          </w:p>
        </w:tc>
      </w:tr>
      <w:tr>
        <w:trPr>
          <w:tblHeader w:val="false"/>
        </w:trPr>
        <w:tc>
          <w:tcPr>
            <w:tcW w:type="dxa" w:w="2160"/>
            <w:shd w:fill="F8F8F8" w:color="auto" w:val="clear"/>
          </w:tcPr>
          <w:p>
            <w:r>
              <w:rPr>
                <w:b w:val="false"/>
                <w:bCs w:val="false"/>
                <w:color w:val="222222"/>
                <w:sz w:val="20"/>
                <w:szCs w:val="20"/>
              </w:rPr>
              <w:t xml:space="preserve">Grant officer</w:t>
            </w:r>
          </w:p>
        </w:tc>
        <w:tc>
          <w:tcPr>
            <w:tcW w:type="dxa" w:w="3960"/>
            <w:shd w:fill="F8F8F8" w:color="auto" w:val="clear"/>
          </w:tcPr>
          <w:p>
            <w:r>
              <w:rPr>
                <w:b w:val="false"/>
                <w:bCs w:val="false"/>
                <w:color w:val="222222"/>
                <w:sz w:val="20"/>
                <w:szCs w:val="20"/>
              </w:rPr>
              <w:t xml:space="preserve">Mission-and-method. The moral case sits next to the regulatory specificity.</w:t>
            </w:r>
          </w:p>
        </w:tc>
        <w:tc>
          <w:tcPr>
            <w:tcW w:type="dxa" w:w="3300"/>
            <w:shd w:fill="F8F8F8" w:color="auto" w:val="clear"/>
          </w:tcPr>
          <w:p>
            <w:r>
              <w:rPr>
                <w:b w:val="false"/>
                <w:bCs w:val="false"/>
                <w:color w:val="222222"/>
                <w:sz w:val="20"/>
                <w:szCs w:val="20"/>
              </w:rPr>
              <w:t xml:space="preserve">Investor language, consumer-product language.</w:t>
            </w:r>
          </w:p>
        </w:tc>
      </w:tr>
      <w:tr>
        <w:trPr>
          <w:tblHeader w:val="false"/>
        </w:trPr>
        <w:tc>
          <w:tcPr>
            <w:tcW w:type="dxa" w:w="2160"/>
            <w:shd w:fill="FFFFFF" w:color="auto" w:val="clear"/>
          </w:tcPr>
          <w:p>
            <w:r>
              <w:rPr>
                <w:b w:val="false"/>
                <w:bCs w:val="false"/>
                <w:color w:val="222222"/>
                <w:sz w:val="20"/>
                <w:szCs w:val="20"/>
              </w:rPr>
              <w:t xml:space="preserve">Clinician-researcher / advisor</w:t>
            </w:r>
          </w:p>
        </w:tc>
        <w:tc>
          <w:tcPr>
            <w:tcW w:type="dxa" w:w="3960"/>
            <w:shd w:fill="FFFFFF" w:color="auto" w:val="clear"/>
          </w:tcPr>
          <w:p>
            <w:r>
              <w:rPr>
                <w:b w:val="false"/>
                <w:bCs w:val="false"/>
                <w:color w:val="222222"/>
                <w:sz w:val="20"/>
                <w:szCs w:val="20"/>
              </w:rPr>
              <w:t xml:space="preserve">Peer-to-peer, technically precise, contradiction-tolerant.</w:t>
            </w:r>
          </w:p>
        </w:tc>
        <w:tc>
          <w:tcPr>
            <w:tcW w:type="dxa" w:w="3300"/>
            <w:shd w:fill="FFFFFF" w:color="auto" w:val="clear"/>
          </w:tcPr>
          <w:p>
            <w:r>
              <w:rPr>
                <w:b w:val="false"/>
                <w:bCs w:val="false"/>
                <w:color w:val="222222"/>
                <w:sz w:val="20"/>
                <w:szCs w:val="20"/>
              </w:rPr>
              <w:t xml:space="preserve">Marketing language, over-claiming.</w:t>
            </w:r>
          </w:p>
        </w:tc>
      </w:tr>
      <w:tr>
        <w:trPr>
          <w:tblHeader w:val="false"/>
        </w:trPr>
        <w:tc>
          <w:tcPr>
            <w:tcW w:type="dxa" w:w="2160"/>
            <w:shd w:fill="F8F8F8" w:color="auto" w:val="clear"/>
          </w:tcPr>
          <w:p>
            <w:r>
              <w:rPr>
                <w:b w:val="false"/>
                <w:bCs w:val="false"/>
                <w:color w:val="222222"/>
                <w:sz w:val="20"/>
                <w:szCs w:val="20"/>
              </w:rPr>
              <w:t xml:space="preserve">Patient-advocacy partner</w:t>
            </w:r>
          </w:p>
        </w:tc>
        <w:tc>
          <w:tcPr>
            <w:tcW w:type="dxa" w:w="3960"/>
            <w:shd w:fill="F8F8F8" w:color="auto" w:val="clear"/>
          </w:tcPr>
          <w:p>
            <w:r>
              <w:rPr>
                <w:b w:val="false"/>
                <w:bCs w:val="false"/>
                <w:color w:val="222222"/>
                <w:sz w:val="20"/>
                <w:szCs w:val="20"/>
              </w:rPr>
              <w:t xml:space="preserve">Respect-first, specific about the partnership ask, never speaking for the patient community.</w:t>
            </w:r>
          </w:p>
        </w:tc>
        <w:tc>
          <w:tcPr>
            <w:tcW w:type="dxa" w:w="3300"/>
            <w:shd w:fill="F8F8F8" w:color="auto" w:val="clear"/>
          </w:tcPr>
          <w:p>
            <w:r>
              <w:rPr>
                <w:b w:val="false"/>
                <w:bCs w:val="false"/>
                <w:color w:val="222222"/>
                <w:sz w:val="20"/>
                <w:szCs w:val="20"/>
              </w:rPr>
              <w:t xml:space="preserve">Voice-of-the-patient phrasing.</w:t>
            </w:r>
          </w:p>
        </w:tc>
      </w:tr>
      <w:tr>
        <w:trPr>
          <w:tblHeader w:val="false"/>
        </w:trPr>
        <w:tc>
          <w:tcPr>
            <w:tcW w:type="dxa" w:w="2160"/>
            <w:shd w:fill="FFFFFF" w:color="auto" w:val="clear"/>
          </w:tcPr>
          <w:p>
            <w:r>
              <w:rPr>
                <w:b w:val="false"/>
                <w:bCs w:val="false"/>
                <w:color w:val="222222"/>
                <w:sz w:val="20"/>
                <w:szCs w:val="20"/>
              </w:rPr>
              <w:t xml:space="preserve">Media</w:t>
            </w:r>
          </w:p>
        </w:tc>
        <w:tc>
          <w:tcPr>
            <w:tcW w:type="dxa" w:w="3960"/>
            <w:shd w:fill="FFFFFF" w:color="auto" w:val="clear"/>
          </w:tcPr>
          <w:p>
            <w:r>
              <w:rPr>
                <w:b w:val="false"/>
                <w:bCs w:val="false"/>
                <w:color w:val="222222"/>
                <w:sz w:val="20"/>
                <w:szCs w:val="20"/>
              </w:rPr>
              <w:t xml:space="preserve">Specific, anecdote-anchored, with one headline number per paragraph.</w:t>
            </w:r>
          </w:p>
        </w:tc>
        <w:tc>
          <w:tcPr>
            <w:tcW w:type="dxa" w:w="3300"/>
            <w:shd w:fill="FFFFFF" w:color="auto" w:val="clear"/>
          </w:tcPr>
          <w:p>
            <w:r>
              <w:rPr>
                <w:b w:val="false"/>
                <w:bCs w:val="false"/>
                <w:color w:val="222222"/>
                <w:sz w:val="20"/>
                <w:szCs w:val="20"/>
              </w:rPr>
              <w:t xml:space="preserve">Jargon, hedging, false modesty.</w:t>
            </w:r>
          </w:p>
        </w:tc>
      </w:tr>
    </w:tbl>
    <w:p>
      <w:pPr>
        <w:pStyle w:val="Heading2"/>
      </w:pPr>
      <w:r>
        <w:t xml:space="preserve">Sentence shapes that recur</w:t>
      </w:r>
    </w:p>
    <w:p>
      <w:pPr>
        <w:pStyle w:val="Heading3"/>
      </w:pPr>
      <w:r>
        <w:t xml:space="preserve">The two-clause reframe</w:t>
      </w:r>
    </w:p>
    <w:p>
      <w:r>
        <w:t xml:space="preserve">Statement of conventional view, then the corrective. 'Drug discovery is general-purpose. It isn't — it's male-default with a name change.' The structure draws attention to the reframe rather than sneaking it in.</w:t>
      </w:r>
    </w:p>
    <w:p>
      <w:pPr>
        <w:pStyle w:val="Heading3"/>
      </w:pPr>
      <w:r>
        <w:t xml:space="preserve">The named example</w:t>
      </w:r>
    </w:p>
    <w:p>
      <w:r>
        <w:t xml:space="preserve">Generic claim, then a named drug-condition pair as proof. 'The drugs already exist — metformin for PCOS, spironolactone for hormonal acne, SSRIs for PMDD through a mechanism nobody understood.' Specifics earn the right to the generality.</w:t>
      </w:r>
    </w:p>
    <w:p>
      <w:pPr>
        <w:pStyle w:val="Heading3"/>
      </w:pPr>
      <w:r>
        <w:t xml:space="preserve">The numbered fact</w:t>
      </w:r>
    </w:p>
    <w:p>
      <w:r>
        <w:t xml:space="preserve">Wherever possible, lead with a number. 'Women experience adverse drug reactions at 1.5–1.7 times the rate of men.' The number is the hook; the sentence after it is the explanation.</w:t>
      </w:r>
    </w:p>
    <w:p>
      <w:pPr>
        <w:pStyle w:val="Heading3"/>
      </w:pPr>
      <w:r>
        <w:t xml:space="preserve">The short declarative</w:t>
      </w:r>
    </w:p>
    <w:p>
      <w:r>
        <w:t xml:space="preserve">Four to seven words. Periods. 'The drugs already exist.' 'That is unacceptable.' 'We are building it.' These work as section closers, paragraph closers, and slide titles. Use sparingly; overuse turns the voice into a manifesto reading itself aloud.</w:t>
      </w:r>
    </w:p>
    <w:p>
      <w:pPr>
        <w:pStyle w:val="Heading2"/>
      </w:pPr>
      <w:r>
        <w:t xml:space="preserve">What the voice never does</w:t>
      </w:r>
    </w:p>
    <w:p>
      <w:pPr>
        <w:pStyle w:val="ListParagraph"/>
        <w:numPr>
          <w:ilvl w:val="0"/>
          <w:numId w:val="2"/>
        </w:numPr>
      </w:pPr>
      <w:r>
        <w:t xml:space="preserve">Apologize for being a women's health company.</w:t>
      </w:r>
    </w:p>
    <w:p>
      <w:pPr>
        <w:pStyle w:val="ListParagraph"/>
        <w:numPr>
          <w:ilvl w:val="0"/>
          <w:numId w:val="2"/>
        </w:numPr>
      </w:pPr>
      <w:r>
        <w:t xml:space="preserve">Compare itself to consumer-wellness brands.</w:t>
      </w:r>
    </w:p>
    <w:p>
      <w:pPr>
        <w:pStyle w:val="ListParagraph"/>
        <w:numPr>
          <w:ilvl w:val="0"/>
          <w:numId w:val="2"/>
        </w:numPr>
      </w:pPr>
      <w:r>
        <w:t xml:space="preserve">Speak for the patient community.</w:t>
      </w:r>
    </w:p>
    <w:p>
      <w:pPr>
        <w:pStyle w:val="ListParagraph"/>
        <w:numPr>
          <w:ilvl w:val="0"/>
          <w:numId w:val="2"/>
        </w:numPr>
      </w:pPr>
      <w:r>
        <w:t xml:space="preserve">Promise outcomes the evidence does not support.</w:t>
      </w:r>
    </w:p>
    <w:p>
      <w:pPr>
        <w:pStyle w:val="ListParagraph"/>
        <w:numPr>
          <w:ilvl w:val="0"/>
          <w:numId w:val="2"/>
        </w:numPr>
      </w:pPr>
      <w:r>
        <w:t xml:space="preserve">Soften contradictions into consensus to sound more confident.</w:t>
      </w:r>
    </w:p>
    <w:p>
      <w:pPr>
        <w:pStyle w:val="ListParagraph"/>
        <w:numPr>
          <w:ilvl w:val="0"/>
          <w:numId w:val="2"/>
        </w:numPr>
      </w:pPr>
      <w:r>
        <w:t xml:space="preserve">Use AI as the lead descriptor or AI as the moat.</w:t>
      </w:r>
    </w:p>
    <w:p>
      <w:pPr>
        <w:pStyle w:val="ListParagraph"/>
        <w:numPr>
          <w:ilvl w:val="0"/>
          <w:numId w:val="2"/>
        </w:numPr>
      </w:pPr>
      <w:r>
        <w:t xml:space="preserve">Call the work "exciting," "amazing," "incredible," or any equivalent intensifier. The work is the work; intensifiers are filler.</w:t>
      </w:r>
    </w:p>
    <w:p>
      <w:pPr>
        <w:pStyle w:val="Heading1"/>
        <w:pageBreakBefore/>
      </w:pPr>
      <w:r>
        <w:t xml:space="preserve">Part IX. Worked Examples</w:t>
      </w:r>
    </w:p>
    <w:p>
      <w:pPr>
        <w:spacing w:after="200"/>
      </w:pPr>
      <w:r>
        <w:rPr>
          <w:i/>
          <w:iCs/>
          <w:color w:val="555555"/>
          <w:sz w:val="22"/>
          <w:szCs w:val="22"/>
        </w:rPr>
        <w:t xml:space="preserve">The voice and the framing devices applied to specific channels. Pick the closest match when you need to draft something new; deviate where the situation calls for it, but anchor in these as the reference.</w:t>
      </w:r>
    </w:p>
    <w:p>
      <w:pPr>
        <w:pStyle w:val="Heading2"/>
      </w:pPr>
      <w:r>
        <w:t xml:space="preserve">9.1 Website hero (whel.bio homepage)</w:t>
      </w:r>
    </w:p>
    <w:p>
      <w:pPr>
        <w:shd w:fill="F4E4EC" w:color="auto" w:val="clear"/>
        <w:spacing w:after="200" w:before="200"/>
        <w:ind w:left="360" w:right="360"/>
      </w:pPr>
      <w:r>
        <w:rPr>
          <w:b/>
          <w:bCs/>
          <w:color w:val="7A1F3D"/>
        </w:rPr>
        <w:t xml:space="preserve">HEADLINE  </w:t>
      </w:r>
      <w:r>
        <w:t xml:space="preserve">The drugs already exist. The evidence is hiding in plain sight.</w:t>
      </w:r>
    </w:p>
    <w:p>
      <w:pPr>
        <w:shd w:fill="F4E4EC" w:color="auto" w:val="clear"/>
        <w:spacing w:after="200" w:before="200"/>
        <w:ind w:left="360" w:right="360"/>
      </w:pPr>
      <w:r>
        <w:rPr>
          <w:b/>
          <w:bCs/>
          <w:color w:val="7A1F3D"/>
        </w:rPr>
        <w:t xml:space="preserve">SUB-HEADLINE  </w:t>
      </w:r>
      <w:r>
        <w:t xml:space="preserve">Whel is the drug repurposing platform for female biology. We surface approved drugs that already work for women's health conditions, validate them against mechanistic and clinical evidence, and produce 505(b)(2)-ready candidates that pharma women's health teams can act on.</w:t>
      </w:r>
    </w:p>
    <w:p>
      <w:pPr>
        <w:shd w:fill="F4E4EC" w:color="auto" w:val="clear"/>
        <w:spacing w:after="200" w:before="200"/>
        <w:ind w:left="360" w:right="360"/>
      </w:pPr>
      <w:r>
        <w:rPr>
          <w:b/>
          <w:bCs/>
          <w:color w:val="7A1F3D"/>
        </w:rPr>
        <w:t xml:space="preserve">CTA  </w:t>
      </w:r>
      <w:r>
        <w:t xml:space="preserve">Request access · Read the manifesto · See a worked example</w:t>
      </w:r>
    </w:p>
    <w:p>
      <w:pPr>
        <w:pStyle w:val="Heading2"/>
      </w:pPr>
      <w:r>
        <w:t xml:space="preserve">9.2 Pitch deck cover slide</w:t>
      </w:r>
    </w:p>
    <w:p>
      <w:r>
        <w:t xml:space="preserve">Single dominant phrase, secondary line for context. Cover is for impression; substance starts on slide 2.</w:t>
      </w:r>
    </w:p>
    <w:p>
      <w:pPr>
        <w:shd w:fill="F4E4EC" w:color="auto" w:val="clear"/>
        <w:spacing w:after="200" w:before="200"/>
        <w:ind w:left="360" w:right="360"/>
      </w:pPr>
      <w:r>
        <w:rPr>
          <w:b/>
          <w:bCs/>
          <w:color w:val="7A1F3D"/>
        </w:rPr>
        <w:t xml:space="preserve">COVER  </w:t>
      </w:r>
      <w:r>
        <w:t xml:space="preserve">WHEL
The drugs already exist. The evidence is hiding in plain sight.
The drug repurposing platform for female biology.</w:t>
      </w:r>
    </w:p>
    <w:p>
      <w:pPr>
        <w:pStyle w:val="Heading2"/>
      </w:pPr>
      <w:r>
        <w:t xml:space="preserve">9.3 Pitch deck problem slide</w:t>
      </w:r>
    </w:p>
    <w:p>
      <w:r>
        <w:t xml:space="preserve">Three numbered facts, one named example, one sentence of takeaway.</w:t>
      </w:r>
    </w:p>
    <w:p>
      <w:pPr>
        <w:shd w:fill="F4E4EC" w:color="auto" w:val="clear"/>
        <w:spacing w:after="200" w:before="200"/>
        <w:ind w:left="360" w:right="360"/>
      </w:pPr>
      <w:r>
        <w:rPr>
          <w:b/>
          <w:bCs/>
          <w:color w:val="7A1F3D"/>
        </w:rPr>
        <w:t xml:space="preserve">PROBLEM SLIDE  </w:t>
      </w:r>
      <w:r>
        <w:t xml:space="preserve">1. 88% of preclinical research uses male-only animal models.
2. Women were excluded from most clinical trials in the US through 1993.
3. Female sex is reported as a covariate in fewer than half of pharmacokinetic studies today.
The drugs that work for women's health were never developed for them. Metformin for PCOS. Spironolactone for hormonal acne. GnRH antagonists from prostate cancer for endometriosis. Every one took decades of ad hoc prescribing to surface. Most have never been formalized.
No platform systematically validates these candidates. We are building it.</w:t>
      </w:r>
    </w:p>
    <w:p>
      <w:pPr>
        <w:pStyle w:val="Heading2"/>
      </w:pPr>
      <w:r>
        <w:t xml:space="preserve">9.4 Pitch deck solution slide</w:t>
      </w:r>
    </w:p>
    <w:p>
      <w:pPr>
        <w:shd w:fill="F4E4EC" w:color="auto" w:val="clear"/>
        <w:spacing w:after="200" w:before="200"/>
        <w:ind w:left="360" w:right="360"/>
      </w:pPr>
      <w:r>
        <w:rPr>
          <w:b/>
          <w:bCs/>
          <w:color w:val="7A1F3D"/>
        </w:rPr>
        <w:t xml:space="preserve">SOLUTION SLIDE  </w:t>
      </w:r>
      <w:r>
        <w:t xml:space="preserve">Whel is the drug repurposing engine for female biology.
• Corrected knowledge graph — sex-specific PK, cyclical hormonal state, cross-condition mechanisms as first-class variables.
• Per-claim provenance — every claim ties to a verbatim source span. Contradictions surfaced, not averaged.
• Patient signal → 505(b)(2)-ready candidates — off-label evidence and patient-community hypotheses validated against mechanistic and clinical evidence.
Start: PMDD, endometriosis, PCOS, perimenopause. Expand: every therapeutic area where sex-specific biology matters.</w:t>
      </w:r>
    </w:p>
    <w:p>
      <w:pPr>
        <w:pStyle w:val="Heading2"/>
      </w:pPr>
      <w:r>
        <w:t xml:space="preserve">9.5 Grant application opener (ARPA-H, NIH SBIR, Gates Foundation)</w:t>
      </w:r>
    </w:p>
    <w:p>
      <w:r>
        <w:t xml:space="preserve">Lead with the moral-and-factual register; anchor with the operational specificity.</w:t>
      </w:r>
    </w:p>
    <w:p>
      <w:pPr>
        <w:shd w:fill="F4E4EC" w:color="auto" w:val="clear"/>
        <w:spacing w:after="200" w:before="200"/>
        <w:ind w:left="360" w:right="360"/>
      </w:pPr>
      <w:r>
        <w:rPr>
          <w:b/>
          <w:bCs/>
          <w:color w:val="7A1F3D"/>
        </w:rPr>
        <w:t xml:space="preserve">OPENING PARAGRAPH  </w:t>
      </w:r>
      <w:r>
        <w:t xml:space="preserve">Drug development was built on male biology. Eighty-eight percent of preclinical research uses male-only animal models. Women were excluded from most clinical trials in the United States through 1993. Female sex is still reported as a covariate in fewer than half of pharmacokinetic studies. The consequences are measurable: adverse drug reactions at 1.5–1.7 times the rate of men, and conditions affecting more than 500 million women — endometriosis, PCOS, PMDD, perimenopausal mood disorders — that have seen no meaningful therapeutic progress in decades. Meanwhile, the drugs that work for these conditions already exist, validated through decades of off-label prescribing and patient experimentation that the institutional system has not yet read as evidence. Whel is the platform that systematizes this discovery.</w:t>
      </w:r>
    </w:p>
    <w:p>
      <w:pPr>
        <w:pStyle w:val="Heading2"/>
      </w:pPr>
      <w:r>
        <w:t xml:space="preserve">9.6 LinkedIn / advisor outreach (cold)</w:t>
      </w:r>
    </w:p>
    <w:p>
      <w:r>
        <w:t xml:space="preserve">Short, named, specific. The ask is for thirty minutes of thinking, not a commitment.</w:t>
      </w:r>
    </w:p>
    <w:p>
      <w:pPr>
        <w:shd w:fill="F4E4EC" w:color="auto" w:val="clear"/>
        <w:spacing w:after="200" w:before="200"/>
        <w:ind w:left="360" w:right="360"/>
      </w:pPr>
      <w:r>
        <w:rPr>
          <w:b/>
          <w:bCs/>
          <w:color w:val="7A1F3D"/>
        </w:rPr>
        <w:t xml:space="preserve">OUTREACH DRAFT  </w:t>
      </w:r>
      <w:r>
        <w:t xml:space="preserve">Hi [Name] —
I'm building Whel, a drug repurposing platform for female biology. The thesis: approved drugs like metformin for PCOS, spironolactone for hormonal acne, and GnRH antagonists for endometriosis took decades of off-label use to surface, and patient communities are generating the next generation of these signals right now — low-dose naltrexone for endometriosis pain, GLP-1s for PCOS metabolic symptoms — with no platform systematically validating them.
Your work on [specific paper / specific clinical observation / specific advocacy] is exactly the perspective I want to test our ontology direction against. Would you have thirty minutes in the next two weeks for an informal conversation? No formal advisor pitch — I'd value your thinking on what the platform should and shouldn't try to surface.
— Veronica</w:t>
      </w:r>
    </w:p>
    <w:p>
      <w:pPr>
        <w:pStyle w:val="Heading2"/>
      </w:pPr>
      <w:r>
        <w:t xml:space="preserve">9.7 Pharma sales / partnership email (warm intro)</w:t>
      </w:r>
    </w:p>
    <w:p>
      <w:r>
        <w:t xml:space="preserve">Lead with the operational pain. Anchor with the specific deliverable.</w:t>
      </w:r>
    </w:p>
    <w:p>
      <w:pPr>
        <w:shd w:fill="F4E4EC" w:color="auto" w:val="clear"/>
        <w:spacing w:after="200" w:before="200"/>
        <w:ind w:left="360" w:right="360"/>
      </w:pPr>
      <w:r>
        <w:rPr>
          <w:b/>
          <w:bCs/>
          <w:color w:val="7A1F3D"/>
        </w:rPr>
        <w:t xml:space="preserve">PHARMA EMAIL  </w:t>
      </w:r>
      <w:r>
        <w:t xml:space="preserve">Hi [Name] —
[Mutual connection] suggested I reach out. I'm the founder of Whel, the drug repurposing platform for female biology. Your team works on [specific therapeutic area]; I imagine you've felt the gap between general-purpose AI tools that weren't built for sex-specific biology and manual literature review that can't keep up.
We surface contradictions in the evidence, not consensus — so when a candidate helps endometriosis but may worsen PCOS insulin resistance, you see both, with the mechanistic reasoning and the citation trail. That's how we produce 505(b)(2)-ready candidates your team can defend in a go/no-go review.
Would a 30-minute walkthrough of how we'd approach [a specific candidate or condition relevant to their pipeline] be useful?
— Veronica</w:t>
      </w:r>
    </w:p>
    <w:p>
      <w:pPr>
        <w:pStyle w:val="Heading2"/>
      </w:pPr>
      <w:r>
        <w:t xml:space="preserve">9.8 Media one-liner (for a journalist who asks "what does Whel do?")</w:t>
      </w:r>
    </w:p>
    <w:p>
      <w:r>
        <w:t xml:space="preserve">The most-used register. Practice the rhythm; do not hedge.</w:t>
      </w:r>
    </w:p>
    <w:p>
      <w:pPr>
        <w:shd w:fill="F4E4EC" w:color="auto" w:val="clear"/>
        <w:spacing w:after="200" w:before="200"/>
        <w:ind w:left="360" w:right="360"/>
      </w:pPr>
      <w:r>
        <w:rPr>
          <w:b/>
          <w:bCs/>
          <w:color w:val="7A1F3D"/>
        </w:rPr>
        <w:t xml:space="preserve">MEDIA LINE  </w:t>
      </w:r>
      <w:r>
        <w:t xml:space="preserve">Whel finds the approved drugs that already work for women's health conditions — and proves it rigorously enough for pharma to act. The thesis is that off-label use is the largest uncontrolled clinical trial in women's health, and nobody has built the platform that reads its results.</w:t>
      </w:r>
    </w:p>
    <w:p>
      <w:pPr>
        <w:pStyle w:val="Heading2"/>
      </w:pPr>
      <w:r>
        <w:t xml:space="preserve">9.9 Twitter / X post (founder voice)</w:t>
      </w:r>
    </w:p>
    <w:p>
      <w:r>
        <w:t xml:space="preserve">One claim, one specific, one period. Resist the urge to add the second sentence.</w:t>
      </w:r>
    </w:p>
    <w:p>
      <w:pPr>
        <w:shd w:fill="F4E4EC" w:color="auto" w:val="clear"/>
        <w:spacing w:after="200" w:before="200"/>
        <w:ind w:left="360" w:right="360"/>
      </w:pPr>
      <w:r>
        <w:rPr>
          <w:b/>
          <w:bCs/>
          <w:color w:val="7A1F3D"/>
        </w:rPr>
        <w:t xml:space="preserve">TWEET  </w:t>
      </w:r>
      <w:r>
        <w:t xml:space="preserve">Drug development was built on male biology. 88% of preclinical research, male-only models, knowledge graphs trained on male-default data. The drugs that work for women's health conditions already exist — metformin, spironolactone, GnRH antagonists, SSRIs — and every one took decades of off-label use to surface. We're building the platform that doesn't make the next one wait.</w:t>
      </w:r>
    </w:p>
    <w:p>
      <w:pPr>
        <w:pStyle w:val="Heading2"/>
      </w:pPr>
      <w:r>
        <w:t xml:space="preserve">9.10 Patient-advocacy partnership pitch (IAPMD, EFA, etc.)</w:t>
      </w:r>
    </w:p>
    <w:p>
      <w:r>
        <w:t xml:space="preserve">Respect-first. The patient-community signal is theirs; the rigor is ours; the goal is shared.</w:t>
      </w:r>
    </w:p>
    <w:p>
      <w:pPr>
        <w:shd w:fill="F4E4EC" w:color="auto" w:val="clear"/>
        <w:spacing w:after="200" w:before="200"/>
        <w:ind w:left="360" w:right="360"/>
      </w:pPr>
      <w:r>
        <w:rPr>
          <w:b/>
          <w:bCs/>
          <w:color w:val="7A1F3D"/>
        </w:rPr>
        <w:t xml:space="preserve">ADVOCACY PITCH  </w:t>
      </w:r>
      <w:r>
        <w:t xml:space="preserve">Hi [Name] —
Women with PMDD have been telling each other what works for years. The IAPMD network's published surveys, the discussions on r/PMDD, the patient-reported treatment patterns that get documented in conference posters and rarely make it into the literature — that is real signal, and the institutional research system has not been reading it.
I'm building Whel, the platform that does. We treat patient-community signal as hypothesis generation, validated against mechanistic and clinical evidence, with the output going to clinician-researchers and pharma women's health teams who can act on it. We do not speak for patients; we work to make sure what they have learned does not have to be relearned every generation.
I'd love to share what we're building and ask how IAPMD's leadership would want a platform like this to engage with the community.</w:t>
      </w:r>
    </w:p>
    <w:p>
      <w:pPr>
        <w:pStyle w:val="Heading1"/>
        <w:pageBreakBefore/>
      </w:pPr>
      <w:r>
        <w:t xml:space="preserve">Part X. Change Management</w:t>
      </w:r>
    </w:p>
    <w:p>
      <w:pPr>
        <w:spacing w:after="200"/>
      </w:pPr>
      <w:r>
        <w:rPr>
          <w:i/>
          <w:iCs/>
          <w:color w:val="555555"/>
          <w:sz w:val="22"/>
          <w:szCs w:val="22"/>
        </w:rPr>
        <w:t xml:space="preserve">How this document evolves, who can change what, and how changes propagate to every downstream surface. The discipline that keeps the brand surface coherent over time.</w:t>
      </w:r>
    </w:p>
    <w:p>
      <w:pPr>
        <w:pStyle w:val="Heading2"/>
      </w:pPr>
      <w:r>
        <w:t xml:space="preserve">Why this document needs change management</w:t>
      </w:r>
    </w:p>
    <w:p>
      <w:r>
        <w:t xml:space="preserve">The previous version of the locked pitch (Blueprint §2) drifted because it lived in a document that was being edited for other reasons. A messaging artifact embedded in an architecture document gets revised when the architecture changes, even when the messaging is fine. This document is separate for that reason. Treat it as a small constitution rather than a draft.</w:t>
      </w:r>
    </w:p>
    <w:p>
      <w:pPr>
        <w:pStyle w:val="Heading2"/>
      </w:pPr>
      <w:r>
        <w:t xml:space="preserve">Versioning</w:t>
      </w:r>
    </w:p>
    <w:p>
      <w:pPr>
        <w:pStyle w:val="ListParagraph"/>
        <w:numPr>
          <w:ilvl w:val="0"/>
          <w:numId w:val="2"/>
        </w:numPr>
      </w:pPr>
      <w:r>
        <w:t xml:space="preserve">Every revision increments the version number on the cover (v1.0 → v1.1 → v2.0 for major reframes).</w:t>
      </w:r>
    </w:p>
    <w:p>
      <w:pPr>
        <w:pStyle w:val="ListParagraph"/>
        <w:numPr>
          <w:ilvl w:val="0"/>
          <w:numId w:val="2"/>
        </w:numPr>
      </w:pPr>
      <w:r>
        <w:t xml:space="preserve">A revision dated within 90 days of a major channel update (website launch, deck circulation, first pitch round) is a v1.x patch.</w:t>
      </w:r>
    </w:p>
    <w:p>
      <w:pPr>
        <w:pStyle w:val="ListParagraph"/>
        <w:numPr>
          <w:ilvl w:val="0"/>
          <w:numId w:val="2"/>
        </w:numPr>
      </w:pPr>
      <w:r>
        <w:t xml:space="preserve">A revision that changes the manifesto, the primary tagline, or the 30-second pitch is a major version. Major versions require a 24-hour cooling-off period before propagation.</w:t>
      </w:r>
    </w:p>
    <w:p>
      <w:pPr>
        <w:pStyle w:val="ListParagraph"/>
        <w:numPr>
          <w:ilvl w:val="0"/>
          <w:numId w:val="2"/>
        </w:numPr>
      </w:pPr>
      <w:r>
        <w:t xml:space="preserve">Every revision is logged in the decision log at the end of this part with date, change summary, and rationale.</w:t>
      </w:r>
    </w:p>
    <w:p>
      <w:pPr>
        <w:pStyle w:val="Heading2"/>
      </w:pPr>
      <w:r>
        <w:t xml:space="preserve">Who can change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2160"/>
        <w:gridCol w:w="2520"/>
      </w:tblGrid>
      <w:tr>
        <w:trPr>
          <w:tblHeader/>
        </w:trPr>
        <w:tc>
          <w:tcPr>
            <w:tcW w:type="dxa" w:w="2520"/>
            <w:shd w:fill="7A1F3D" w:color="auto" w:val="clear"/>
          </w:tcPr>
          <w:p>
            <w:r>
              <w:rPr>
                <w:b/>
                <w:bCs/>
                <w:color w:val="FFFFFF"/>
                <w:sz w:val="20"/>
                <w:szCs w:val="20"/>
              </w:rPr>
              <w:t xml:space="preserve">Section</w:t>
            </w:r>
          </w:p>
        </w:tc>
        <w:tc>
          <w:tcPr>
            <w:tcW w:type="dxa" w:w="2160"/>
            <w:shd w:fill="7A1F3D" w:color="auto" w:val="clear"/>
          </w:tcPr>
          <w:p>
            <w:r>
              <w:rPr>
                <w:b/>
                <w:bCs/>
                <w:color w:val="FFFFFF"/>
                <w:sz w:val="20"/>
                <w:szCs w:val="20"/>
              </w:rPr>
              <w:t xml:space="preserve">Founder</w:t>
            </w:r>
          </w:p>
        </w:tc>
        <w:tc>
          <w:tcPr>
            <w:tcW w:type="dxa" w:w="2160"/>
            <w:shd w:fill="7A1F3D" w:color="auto" w:val="clear"/>
          </w:tcPr>
          <w:p>
            <w:r>
              <w:rPr>
                <w:b/>
                <w:bCs/>
                <w:color w:val="FFFFFF"/>
                <w:sz w:val="20"/>
                <w:szCs w:val="20"/>
              </w:rPr>
              <w:t xml:space="preserve">Advisor</w:t>
            </w:r>
          </w:p>
        </w:tc>
        <w:tc>
          <w:tcPr>
            <w:tcW w:type="dxa" w:w="2520"/>
            <w:shd w:fill="7A1F3D" w:color="auto" w:val="clear"/>
          </w:tcPr>
          <w:p>
            <w:r>
              <w:rPr>
                <w:b/>
                <w:bCs/>
                <w:color w:val="FFFFFF"/>
                <w:sz w:val="20"/>
                <w:szCs w:val="20"/>
              </w:rPr>
              <w:t xml:space="preserve">Engineering/build agent</w:t>
            </w:r>
          </w:p>
        </w:tc>
      </w:tr>
      <w:tr>
        <w:trPr>
          <w:tblHeader w:val="false"/>
        </w:trPr>
        <w:tc>
          <w:tcPr>
            <w:tcW w:type="dxa" w:w="2520"/>
            <w:shd w:fill="F8F8F8" w:color="auto" w:val="clear"/>
          </w:tcPr>
          <w:p>
            <w:r>
              <w:rPr>
                <w:b w:val="false"/>
                <w:bCs w:val="false"/>
                <w:color w:val="222222"/>
                <w:sz w:val="20"/>
                <w:szCs w:val="20"/>
              </w:rPr>
              <w:t xml:space="preserve">Manifesto</w:t>
            </w:r>
          </w:p>
        </w:tc>
        <w:tc>
          <w:tcPr>
            <w:tcW w:type="dxa" w:w="2160"/>
            <w:shd w:fill="F8F8F8" w:color="auto" w:val="clear"/>
          </w:tcPr>
          <w:p>
            <w:r>
              <w:rPr>
                <w:b w:val="false"/>
                <w:bCs w:val="false"/>
                <w:color w:val="222222"/>
                <w:sz w:val="20"/>
                <w:szCs w:val="20"/>
              </w:rPr>
              <w:t xml:space="preserve">Can revise; should consult one trusted reader before publishing.</w:t>
            </w:r>
          </w:p>
        </w:tc>
        <w:tc>
          <w:tcPr>
            <w:tcW w:type="dxa" w:w="2160"/>
            <w:shd w:fill="F8F8F8" w:color="auto" w:val="clear"/>
          </w:tcPr>
          <w:p>
            <w:r>
              <w:rPr>
                <w:b w:val="false"/>
                <w:bCs w:val="false"/>
                <w:color w:val="222222"/>
                <w:sz w:val="20"/>
                <w:szCs w:val="20"/>
              </w:rPr>
              <w:t xml:space="preserve">Can suggest; not authorized to revise.</w:t>
            </w:r>
          </w:p>
        </w:tc>
        <w:tc>
          <w:tcPr>
            <w:tcW w:type="dxa" w:w="2520"/>
            <w:shd w:fill="F8F8F8" w:color="auto" w:val="clear"/>
          </w:tcPr>
          <w:p>
            <w:r>
              <w:rPr>
                <w:b w:val="false"/>
                <w:bCs w:val="false"/>
                <w:color w:val="222222"/>
                <w:sz w:val="20"/>
                <w:szCs w:val="20"/>
              </w:rPr>
              <w:t xml:space="preserve">Cannot revise.</w:t>
            </w:r>
          </w:p>
        </w:tc>
      </w:tr>
      <w:tr>
        <w:trPr>
          <w:tblHeader w:val="false"/>
        </w:trPr>
        <w:tc>
          <w:tcPr>
            <w:tcW w:type="dxa" w:w="2520"/>
            <w:shd w:fill="FFFFFF" w:color="auto" w:val="clear"/>
          </w:tcPr>
          <w:p>
            <w:r>
              <w:rPr>
                <w:b w:val="false"/>
                <w:bCs w:val="false"/>
                <w:color w:val="222222"/>
                <w:sz w:val="20"/>
                <w:szCs w:val="20"/>
              </w:rPr>
              <w:t xml:space="preserve">Reframe / repurposing-forward framing</w:t>
            </w:r>
          </w:p>
        </w:tc>
        <w:tc>
          <w:tcPr>
            <w:tcW w:type="dxa" w:w="2160"/>
            <w:shd w:fill="FFFFFF" w:color="auto" w:val="clear"/>
          </w:tcPr>
          <w:p>
            <w:r>
              <w:rPr>
                <w:b w:val="false"/>
                <w:bCs w:val="false"/>
                <w:color w:val="222222"/>
                <w:sz w:val="20"/>
                <w:szCs w:val="20"/>
              </w:rPr>
              <w:t xml:space="preserve">Can revise with rationale logged.</w:t>
            </w:r>
          </w:p>
        </w:tc>
        <w:tc>
          <w:tcPr>
            <w:tcW w:type="dxa" w:w="2160"/>
            <w:shd w:fill="FFFFFF" w:color="auto" w:val="clear"/>
          </w:tcPr>
          <w:p>
            <w:r>
              <w:rPr>
                <w:b w:val="false"/>
                <w:bCs w:val="false"/>
                <w:color w:val="222222"/>
                <w:sz w:val="20"/>
                <w:szCs w:val="20"/>
              </w:rPr>
              <w:t xml:space="preserve">Can suggest with rationale.</w:t>
            </w:r>
          </w:p>
        </w:tc>
        <w:tc>
          <w:tcPr>
            <w:tcW w:type="dxa" w:w="2520"/>
            <w:shd w:fill="FFFFFF" w:color="auto" w:val="clear"/>
          </w:tcPr>
          <w:p>
            <w:r>
              <w:rPr>
                <w:b w:val="false"/>
                <w:bCs w:val="false"/>
                <w:color w:val="222222"/>
                <w:sz w:val="20"/>
                <w:szCs w:val="20"/>
              </w:rPr>
              <w:t xml:space="preserve">Cannot revise.</w:t>
            </w:r>
          </w:p>
        </w:tc>
      </w:tr>
      <w:tr>
        <w:trPr>
          <w:tblHeader w:val="false"/>
        </w:trPr>
        <w:tc>
          <w:tcPr>
            <w:tcW w:type="dxa" w:w="2520"/>
            <w:shd w:fill="F8F8F8" w:color="auto" w:val="clear"/>
          </w:tcPr>
          <w:p>
            <w:r>
              <w:rPr>
                <w:b w:val="false"/>
                <w:bCs w:val="false"/>
                <w:color w:val="222222"/>
                <w:sz w:val="20"/>
                <w:szCs w:val="20"/>
              </w:rPr>
              <w:t xml:space="preserve">Three Narrative Registers</w:t>
            </w:r>
          </w:p>
        </w:tc>
        <w:tc>
          <w:tcPr>
            <w:tcW w:type="dxa" w:w="2160"/>
            <w:shd w:fill="F8F8F8" w:color="auto" w:val="clear"/>
          </w:tcPr>
          <w:p>
            <w:r>
              <w:rPr>
                <w:b w:val="false"/>
                <w:bCs w:val="false"/>
                <w:color w:val="222222"/>
                <w:sz w:val="20"/>
                <w:szCs w:val="20"/>
              </w:rPr>
              <w:t xml:space="preserve">Can revise per register; the three-register structure itself stays.</w:t>
            </w:r>
          </w:p>
        </w:tc>
        <w:tc>
          <w:tcPr>
            <w:tcW w:type="dxa" w:w="2160"/>
            <w:shd w:fill="F8F8F8" w:color="auto" w:val="clear"/>
          </w:tcPr>
          <w:p>
            <w:r>
              <w:rPr>
                <w:b w:val="false"/>
                <w:bCs w:val="false"/>
                <w:color w:val="222222"/>
                <w:sz w:val="20"/>
                <w:szCs w:val="20"/>
              </w:rPr>
              <w:t xml:space="preserve">Can suggest.</w:t>
            </w:r>
          </w:p>
        </w:tc>
        <w:tc>
          <w:tcPr>
            <w:tcW w:type="dxa" w:w="2520"/>
            <w:shd w:fill="F8F8F8" w:color="auto" w:val="clear"/>
          </w:tcPr>
          <w:p>
            <w:r>
              <w:rPr>
                <w:b w:val="false"/>
                <w:bCs w:val="false"/>
                <w:color w:val="222222"/>
                <w:sz w:val="20"/>
                <w:szCs w:val="20"/>
              </w:rPr>
              <w:t xml:space="preserve">Cannot revise.</w:t>
            </w:r>
          </w:p>
        </w:tc>
      </w:tr>
      <w:tr>
        <w:trPr>
          <w:tblHeader w:val="false"/>
        </w:trPr>
        <w:tc>
          <w:tcPr>
            <w:tcW w:type="dxa" w:w="2520"/>
            <w:shd w:fill="FFFFFF" w:color="auto" w:val="clear"/>
          </w:tcPr>
          <w:p>
            <w:r>
              <w:rPr>
                <w:b w:val="false"/>
                <w:bCs w:val="false"/>
                <w:color w:val="222222"/>
                <w:sz w:val="20"/>
                <w:szCs w:val="20"/>
              </w:rPr>
              <w:t xml:space="preserve">Pitch (one-liner, 30-second, problem, solution)</w:t>
            </w:r>
          </w:p>
        </w:tc>
        <w:tc>
          <w:tcPr>
            <w:tcW w:type="dxa" w:w="2160"/>
            <w:shd w:fill="FFFFFF" w:color="auto" w:val="clear"/>
          </w:tcPr>
          <w:p>
            <w:r>
              <w:rPr>
                <w:b w:val="false"/>
                <w:bCs w:val="false"/>
                <w:color w:val="222222"/>
                <w:sz w:val="20"/>
                <w:szCs w:val="20"/>
              </w:rPr>
              <w:t xml:space="preserve">Can revise; any change propagates within 5 business days to deck and website.</w:t>
            </w:r>
          </w:p>
        </w:tc>
        <w:tc>
          <w:tcPr>
            <w:tcW w:type="dxa" w:w="2160"/>
            <w:shd w:fill="FFFFFF" w:color="auto" w:val="clear"/>
          </w:tcPr>
          <w:p>
            <w:r>
              <w:rPr>
                <w:b w:val="false"/>
                <w:bCs w:val="false"/>
                <w:color w:val="222222"/>
                <w:sz w:val="20"/>
                <w:szCs w:val="20"/>
              </w:rPr>
              <w:t xml:space="preserve">Can suggest.</w:t>
            </w:r>
          </w:p>
        </w:tc>
        <w:tc>
          <w:tcPr>
            <w:tcW w:type="dxa" w:w="2520"/>
            <w:shd w:fill="FFFFFF" w:color="auto" w:val="clear"/>
          </w:tcPr>
          <w:p>
            <w:r>
              <w:rPr>
                <w:b w:val="false"/>
                <w:bCs w:val="false"/>
                <w:color w:val="222222"/>
                <w:sz w:val="20"/>
                <w:szCs w:val="20"/>
              </w:rPr>
              <w:t xml:space="preserve">May draft new variants for review but does not finalize.</w:t>
            </w:r>
          </w:p>
        </w:tc>
      </w:tr>
      <w:tr>
        <w:trPr>
          <w:tblHeader w:val="false"/>
        </w:trPr>
        <w:tc>
          <w:tcPr>
            <w:tcW w:type="dxa" w:w="2520"/>
            <w:shd w:fill="F8F8F8" w:color="auto" w:val="clear"/>
          </w:tcPr>
          <w:p>
            <w:r>
              <w:rPr>
                <w:b w:val="false"/>
                <w:bCs w:val="false"/>
                <w:color w:val="222222"/>
                <w:sz w:val="20"/>
                <w:szCs w:val="20"/>
              </w:rPr>
              <w:t xml:space="preserve">Framing devices</w:t>
            </w:r>
          </w:p>
        </w:tc>
        <w:tc>
          <w:tcPr>
            <w:tcW w:type="dxa" w:w="2160"/>
            <w:shd w:fill="F8F8F8" w:color="auto" w:val="clear"/>
          </w:tcPr>
          <w:p>
            <w:r>
              <w:rPr>
                <w:b w:val="false"/>
                <w:bCs w:val="false"/>
                <w:color w:val="222222"/>
                <w:sz w:val="20"/>
                <w:szCs w:val="20"/>
              </w:rPr>
              <w:t xml:space="preserve">Stable. Add new ones only when a new conceptual anchor proves useful in three independent conversations.</w:t>
            </w:r>
          </w:p>
        </w:tc>
        <w:tc>
          <w:tcPr>
            <w:tcW w:type="dxa" w:w="2160"/>
            <w:shd w:fill="F8F8F8" w:color="auto" w:val="clear"/>
          </w:tcPr>
          <w:p>
            <w:r>
              <w:rPr>
                <w:b w:val="false"/>
                <w:bCs w:val="false"/>
                <w:color w:val="222222"/>
                <w:sz w:val="20"/>
                <w:szCs w:val="20"/>
              </w:rPr>
              <w:t xml:space="preserve">Can suggest additions.</w:t>
            </w:r>
          </w:p>
        </w:tc>
        <w:tc>
          <w:tcPr>
            <w:tcW w:type="dxa" w:w="2520"/>
            <w:shd w:fill="F8F8F8" w:color="auto" w:val="clear"/>
          </w:tcPr>
          <w:p>
            <w:r>
              <w:rPr>
                <w:b w:val="false"/>
                <w:bCs w:val="false"/>
                <w:color w:val="222222"/>
                <w:sz w:val="20"/>
                <w:szCs w:val="20"/>
              </w:rPr>
              <w:t xml:space="preserve">Cannot revise.</w:t>
            </w:r>
          </w:p>
        </w:tc>
      </w:tr>
      <w:tr>
        <w:trPr>
          <w:tblHeader w:val="false"/>
        </w:trPr>
        <w:tc>
          <w:tcPr>
            <w:tcW w:type="dxa" w:w="2520"/>
            <w:shd w:fill="FFFFFF" w:color="auto" w:val="clear"/>
          </w:tcPr>
          <w:p>
            <w:r>
              <w:rPr>
                <w:b w:val="false"/>
                <w:bCs w:val="false"/>
                <w:color w:val="222222"/>
                <w:sz w:val="20"/>
                <w:szCs w:val="20"/>
              </w:rPr>
              <w:t xml:space="preserve">Taglines</w:t>
            </w:r>
          </w:p>
        </w:tc>
        <w:tc>
          <w:tcPr>
            <w:tcW w:type="dxa" w:w="2160"/>
            <w:shd w:fill="FFFFFF" w:color="auto" w:val="clear"/>
          </w:tcPr>
          <w:p>
            <w:r>
              <w:rPr>
                <w:b w:val="false"/>
                <w:bCs w:val="false"/>
                <w:color w:val="222222"/>
                <w:sz w:val="20"/>
                <w:szCs w:val="20"/>
              </w:rPr>
              <w:t xml:space="preserve">Tier 1 stable. Tier 2 and 3 can evolve.</w:t>
            </w:r>
          </w:p>
        </w:tc>
        <w:tc>
          <w:tcPr>
            <w:tcW w:type="dxa" w:w="2160"/>
            <w:shd w:fill="FFFFFF" w:color="auto" w:val="clear"/>
          </w:tcPr>
          <w:p>
            <w:r>
              <w:rPr>
                <w:b w:val="false"/>
                <w:bCs w:val="false"/>
                <w:color w:val="222222"/>
                <w:sz w:val="20"/>
                <w:szCs w:val="20"/>
              </w:rPr>
              <w:t xml:space="preserve">Can suggest.</w:t>
            </w:r>
          </w:p>
        </w:tc>
        <w:tc>
          <w:tcPr>
            <w:tcW w:type="dxa" w:w="2520"/>
            <w:shd w:fill="FFFFFF" w:color="auto" w:val="clear"/>
          </w:tcPr>
          <w:p>
            <w:r>
              <w:rPr>
                <w:b w:val="false"/>
                <w:bCs w:val="false"/>
                <w:color w:val="222222"/>
                <w:sz w:val="20"/>
                <w:szCs w:val="20"/>
              </w:rPr>
              <w:t xml:space="preserve">Cannot revise.</w:t>
            </w:r>
          </w:p>
        </w:tc>
      </w:tr>
      <w:tr>
        <w:trPr>
          <w:tblHeader w:val="false"/>
        </w:trPr>
        <w:tc>
          <w:tcPr>
            <w:tcW w:type="dxa" w:w="2520"/>
            <w:shd w:fill="F8F8F8" w:color="auto" w:val="clear"/>
          </w:tcPr>
          <w:p>
            <w:r>
              <w:rPr>
                <w:b w:val="false"/>
                <w:bCs w:val="false"/>
                <w:color w:val="222222"/>
                <w:sz w:val="20"/>
                <w:szCs w:val="20"/>
              </w:rPr>
              <w:t xml:space="preserve">Language guide</w:t>
            </w:r>
          </w:p>
        </w:tc>
        <w:tc>
          <w:tcPr>
            <w:tcW w:type="dxa" w:w="2160"/>
            <w:shd w:fill="F8F8F8" w:color="auto" w:val="clear"/>
          </w:tcPr>
          <w:p>
            <w:r>
              <w:rPr>
                <w:b w:val="false"/>
                <w:bCs w:val="false"/>
                <w:color w:val="222222"/>
                <w:sz w:val="20"/>
                <w:szCs w:val="20"/>
              </w:rPr>
              <w:t xml:space="preserve">Founder owns. New 'avoids' get added when a real conversation reveals one.</w:t>
            </w:r>
          </w:p>
        </w:tc>
        <w:tc>
          <w:tcPr>
            <w:tcW w:type="dxa" w:w="2160"/>
            <w:shd w:fill="F8F8F8" w:color="auto" w:val="clear"/>
          </w:tcPr>
          <w:p>
            <w:r>
              <w:rPr>
                <w:b w:val="false"/>
                <w:bCs w:val="false"/>
                <w:color w:val="222222"/>
                <w:sz w:val="20"/>
                <w:szCs w:val="20"/>
              </w:rPr>
              <w:t xml:space="preserve">Can suggest.</w:t>
            </w:r>
          </w:p>
        </w:tc>
        <w:tc>
          <w:tcPr>
            <w:tcW w:type="dxa" w:w="2520"/>
            <w:shd w:fill="F8F8F8" w:color="auto" w:val="clear"/>
          </w:tcPr>
          <w:p>
            <w:r>
              <w:rPr>
                <w:b w:val="false"/>
                <w:bCs w:val="false"/>
                <w:color w:val="222222"/>
                <w:sz w:val="20"/>
                <w:szCs w:val="20"/>
              </w:rPr>
              <w:t xml:space="preserve">May surface drift for review.</w:t>
            </w:r>
          </w:p>
        </w:tc>
      </w:tr>
      <w:tr>
        <w:trPr>
          <w:tblHeader w:val="false"/>
        </w:trPr>
        <w:tc>
          <w:tcPr>
            <w:tcW w:type="dxa" w:w="2520"/>
            <w:shd w:fill="FFFFFF" w:color="auto" w:val="clear"/>
          </w:tcPr>
          <w:p>
            <w:r>
              <w:rPr>
                <w:b w:val="false"/>
                <w:bCs w:val="false"/>
                <w:color w:val="222222"/>
                <w:sz w:val="20"/>
                <w:szCs w:val="20"/>
              </w:rPr>
              <w:t xml:space="preserve">Voice &amp; tone</w:t>
            </w:r>
          </w:p>
        </w:tc>
        <w:tc>
          <w:tcPr>
            <w:tcW w:type="dxa" w:w="2160"/>
            <w:shd w:fill="FFFFFF" w:color="auto" w:val="clear"/>
          </w:tcPr>
          <w:p>
            <w:r>
              <w:rPr>
                <w:b w:val="false"/>
                <w:bCs w:val="false"/>
                <w:color w:val="222222"/>
                <w:sz w:val="20"/>
                <w:szCs w:val="20"/>
              </w:rPr>
              <w:t xml:space="preserve">Stable.</w:t>
            </w:r>
          </w:p>
        </w:tc>
        <w:tc>
          <w:tcPr>
            <w:tcW w:type="dxa" w:w="2160"/>
            <w:shd w:fill="FFFFFF" w:color="auto" w:val="clear"/>
          </w:tcPr>
          <w:p>
            <w:r>
              <w:rPr>
                <w:b w:val="false"/>
                <w:bCs w:val="false"/>
                <w:color w:val="222222"/>
                <w:sz w:val="20"/>
                <w:szCs w:val="20"/>
              </w:rPr>
              <w:t xml:space="preserve">Can suggest.</w:t>
            </w:r>
          </w:p>
        </w:tc>
        <w:tc>
          <w:tcPr>
            <w:tcW w:type="dxa" w:w="2520"/>
            <w:shd w:fill="FFFFFF" w:color="auto" w:val="clear"/>
          </w:tcPr>
          <w:p>
            <w:r>
              <w:rPr>
                <w:b w:val="false"/>
                <w:bCs w:val="false"/>
                <w:color w:val="222222"/>
                <w:sz w:val="20"/>
                <w:szCs w:val="20"/>
              </w:rPr>
              <w:t xml:space="preserve">Reference only — do not change.</w:t>
            </w:r>
          </w:p>
        </w:tc>
      </w:tr>
      <w:tr>
        <w:trPr>
          <w:tblHeader w:val="false"/>
        </w:trPr>
        <w:tc>
          <w:tcPr>
            <w:tcW w:type="dxa" w:w="2520"/>
            <w:shd w:fill="F8F8F8" w:color="auto" w:val="clear"/>
          </w:tcPr>
          <w:p>
            <w:r>
              <w:rPr>
                <w:b w:val="false"/>
                <w:bCs w:val="false"/>
                <w:color w:val="222222"/>
                <w:sz w:val="20"/>
                <w:szCs w:val="20"/>
              </w:rPr>
              <w:t xml:space="preserve">Worked examples</w:t>
            </w:r>
          </w:p>
        </w:tc>
        <w:tc>
          <w:tcPr>
            <w:tcW w:type="dxa" w:w="2160"/>
            <w:shd w:fill="F8F8F8" w:color="auto" w:val="clear"/>
          </w:tcPr>
          <w:p>
            <w:r>
              <w:rPr>
                <w:b w:val="false"/>
                <w:bCs w:val="false"/>
                <w:color w:val="222222"/>
                <w:sz w:val="20"/>
                <w:szCs w:val="20"/>
              </w:rPr>
              <w:t xml:space="preserve">Add freely as new channels arise.</w:t>
            </w:r>
          </w:p>
        </w:tc>
        <w:tc>
          <w:tcPr>
            <w:tcW w:type="dxa" w:w="2160"/>
            <w:shd w:fill="F8F8F8" w:color="auto" w:val="clear"/>
          </w:tcPr>
          <w:p>
            <w:r>
              <w:rPr>
                <w:b w:val="false"/>
                <w:bCs w:val="false"/>
                <w:color w:val="222222"/>
                <w:sz w:val="20"/>
                <w:szCs w:val="20"/>
              </w:rPr>
              <w:t xml:space="preserve">Can draft.</w:t>
            </w:r>
          </w:p>
        </w:tc>
        <w:tc>
          <w:tcPr>
            <w:tcW w:type="dxa" w:w="2520"/>
            <w:shd w:fill="F8F8F8" w:color="auto" w:val="clear"/>
          </w:tcPr>
          <w:p>
            <w:r>
              <w:rPr>
                <w:b w:val="false"/>
                <w:bCs w:val="false"/>
                <w:color w:val="222222"/>
                <w:sz w:val="20"/>
                <w:szCs w:val="20"/>
              </w:rPr>
              <w:t xml:space="preserve">Can draft variants.</w:t>
            </w:r>
          </w:p>
        </w:tc>
      </w:tr>
    </w:tbl>
    <w:p>
      <w:pPr>
        <w:pStyle w:val="Heading2"/>
      </w:pPr>
      <w:r>
        <w:t xml:space="preserve">Propagation discipline</w:t>
      </w:r>
    </w:p>
    <w:p>
      <w:r>
        <w:t xml:space="preserve">When the primary tagline, the one-liner, the 30-second pitch, or the problem statement changes, the change propagates within five business days to: the website hero and about page, the active version of the pitch deck, all in-flight grant applications, the LinkedIn company page, and the founder's personal LinkedIn description. Within ten business days: every email signature, every active outreach template, every press kit. Within thirty days: every published version of every document the company has shipped.</w:t>
      </w:r>
    </w:p>
    <w:p>
      <w:r>
        <w:t xml:space="preserve">The discipline is not aesthetic — it is to prevent the situation where a reader compares two versions of the company's self-description and concludes the company does not know what it is.</w:t>
      </w:r>
    </w:p>
    <w:p>
      <w:pPr>
        <w:pStyle w:val="Heading2"/>
      </w:pPr>
      <w:r>
        <w:t xml:space="preserve">Relationship to the Blueprint</w:t>
      </w:r>
    </w:p>
    <w:p>
      <w:r>
        <w:t xml:space="preserve">The Whel Reframe Blueprint remains canonical for strategy, architecture, roadmap, legal posture, technical decisions, and risk register. This document supersedes Blueprint §2 (Locked Pitch) for all language and pitch matters. When the two documents disagree about how to describe Whel, this document is correct. When they disagree about what Whel is building or how it is structured, the Blueprint is correct.</w:t>
      </w:r>
    </w:p>
    <w:p>
      <w:r>
        <w:t xml:space="preserve">Both documents share an Appendix-C-equivalent decision log. When a decision affects both — for example, a strategic shift that requires both a new architecture choice and a new pitch — log it in both, with a cross-reference.</w:t>
      </w:r>
    </w:p>
    <w:p>
      <w:pPr>
        <w:pStyle w:val="Heading2"/>
      </w:pPr>
      <w:r>
        <w:t xml:space="preserve">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shd w:fill="7A1F3D" w:color="auto" w:val="clear"/>
          </w:tcPr>
          <w:p>
            <w:r>
              <w:rPr>
                <w:b/>
                <w:bCs/>
                <w:color w:val="FFFFFF"/>
                <w:sz w:val="20"/>
                <w:szCs w:val="20"/>
              </w:rPr>
              <w:t xml:space="preserve">Date</w:t>
            </w:r>
          </w:p>
        </w:tc>
        <w:tc>
          <w:tcPr>
            <w:tcW w:type="dxa" w:w="3600"/>
            <w:shd w:fill="7A1F3D" w:color="auto" w:val="clear"/>
          </w:tcPr>
          <w:p>
            <w:r>
              <w:rPr>
                <w:b/>
                <w:bCs/>
                <w:color w:val="FFFFFF"/>
                <w:sz w:val="20"/>
                <w:szCs w:val="20"/>
              </w:rPr>
              <w:t xml:space="preserve">Change</w:t>
            </w:r>
          </w:p>
        </w:tc>
        <w:tc>
          <w:tcPr>
            <w:tcW w:type="dxa" w:w="4560"/>
            <w:shd w:fill="7A1F3D" w:color="auto" w:val="clear"/>
          </w:tcPr>
          <w:p>
            <w:r>
              <w:rPr>
                <w:b/>
                <w:bCs/>
                <w:color w:val="FFFFFF"/>
                <w:sz w:val="20"/>
                <w:szCs w:val="20"/>
              </w:rPr>
              <w:t xml:space="preserve">Rationale</w:t>
            </w:r>
          </w:p>
        </w:tc>
      </w:tr>
      <w:tr>
        <w:trPr>
          <w:tblHeader w:val="false"/>
        </w:trPr>
        <w:tc>
          <w:tcPr>
            <w:tcW w:type="dxa" w:w="1200"/>
            <w:shd w:fill="F8F8F8" w:color="auto" w:val="clear"/>
          </w:tcPr>
          <w:p>
            <w:r>
              <w:rPr>
                <w:b w:val="false"/>
                <w:bCs w:val="false"/>
                <w:color w:val="222222"/>
                <w:sz w:val="20"/>
                <w:szCs w:val="20"/>
              </w:rPr>
              <w:t xml:space="preserve">June 2026</w:t>
            </w:r>
          </w:p>
        </w:tc>
        <w:tc>
          <w:tcPr>
            <w:tcW w:type="dxa" w:w="3600"/>
            <w:shd w:fill="F8F8F8" w:color="auto" w:val="clear"/>
          </w:tcPr>
          <w:p>
            <w:r>
              <w:rPr>
                <w:b w:val="false"/>
                <w:bCs w:val="false"/>
                <w:color w:val="222222"/>
                <w:sz w:val="20"/>
                <w:szCs w:val="20"/>
              </w:rPr>
              <w:t xml:space="preserve">Created this document; superseded Blueprint §2 for messaging.</w:t>
            </w:r>
          </w:p>
        </w:tc>
        <w:tc>
          <w:tcPr>
            <w:tcW w:type="dxa" w:w="4560"/>
            <w:shd w:fill="F8F8F8" w:color="auto" w:val="clear"/>
          </w:tcPr>
          <w:p>
            <w:r>
              <w:rPr>
                <w:b w:val="false"/>
                <w:bCs w:val="false"/>
                <w:color w:val="222222"/>
                <w:sz w:val="20"/>
                <w:szCs w:val="20"/>
              </w:rPr>
              <w:t xml:space="preserve">The Harmonic strategic review correctly identified that the Blueprint led with the knowledge graph and treated repurposing as a sub-clause. The fix is structural enough to warrant separating messaging from architecture.</w:t>
            </w:r>
          </w:p>
        </w:tc>
      </w:tr>
      <w:tr>
        <w:trPr>
          <w:tblHeader w:val="false"/>
        </w:trPr>
        <w:tc>
          <w:tcPr>
            <w:tcW w:type="dxa" w:w="1200"/>
            <w:shd w:fill="FFFFFF" w:color="auto" w:val="clear"/>
          </w:tcPr>
          <w:p>
            <w:r>
              <w:rPr>
                <w:b w:val="false"/>
                <w:bCs w:val="false"/>
                <w:color w:val="222222"/>
                <w:sz w:val="20"/>
                <w:szCs w:val="20"/>
              </w:rPr>
              <w:t xml:space="preserve">June 2026</w:t>
            </w:r>
          </w:p>
        </w:tc>
        <w:tc>
          <w:tcPr>
            <w:tcW w:type="dxa" w:w="3600"/>
            <w:shd w:fill="FFFFFF" w:color="auto" w:val="clear"/>
          </w:tcPr>
          <w:p>
            <w:r>
              <w:rPr>
                <w:b w:val="false"/>
                <w:bCs w:val="false"/>
                <w:color w:val="222222"/>
                <w:sz w:val="20"/>
                <w:szCs w:val="20"/>
              </w:rPr>
              <w:t xml:space="preserve">Adopted 'The drugs already exist. The evidence is hiding in plain sight.' as the primary tagline.</w:t>
            </w:r>
          </w:p>
        </w:tc>
        <w:tc>
          <w:tcPr>
            <w:tcW w:type="dxa" w:w="4560"/>
            <w:shd w:fill="FFFFFF" w:color="auto" w:val="clear"/>
          </w:tcPr>
          <w:p>
            <w:r>
              <w:rPr>
                <w:b w:val="false"/>
                <w:bCs w:val="false"/>
                <w:color w:val="222222"/>
                <w:sz w:val="20"/>
                <w:szCs w:val="20"/>
              </w:rPr>
              <w:t xml:space="preserve">Repurposing-forward, intrigue-generating, audience-neutral. Replaces the Blueprint's substrate-forward language.</w:t>
            </w:r>
          </w:p>
        </w:tc>
      </w:tr>
      <w:tr>
        <w:trPr>
          <w:tblHeader w:val="false"/>
        </w:trPr>
        <w:tc>
          <w:tcPr>
            <w:tcW w:type="dxa" w:w="1200"/>
            <w:shd w:fill="F8F8F8" w:color="auto" w:val="clear"/>
          </w:tcPr>
          <w:p>
            <w:r>
              <w:rPr>
                <w:b w:val="false"/>
                <w:bCs w:val="false"/>
                <w:color w:val="222222"/>
                <w:sz w:val="20"/>
                <w:szCs w:val="20"/>
              </w:rPr>
              <w:t xml:space="preserve">June 2026</w:t>
            </w:r>
          </w:p>
        </w:tc>
        <w:tc>
          <w:tcPr>
            <w:tcW w:type="dxa" w:w="3600"/>
            <w:shd w:fill="F8F8F8" w:color="auto" w:val="clear"/>
          </w:tcPr>
          <w:p>
            <w:r>
              <w:rPr>
                <w:b w:val="false"/>
                <w:bCs w:val="false"/>
                <w:color w:val="222222"/>
                <w:sz w:val="20"/>
                <w:szCs w:val="20"/>
              </w:rPr>
              <w:t xml:space="preserve">Adopted the three-register structure (scientific arbitrage / evidence trust / correcting the record) as the canonical narrative architecture.</w:t>
            </w:r>
          </w:p>
        </w:tc>
        <w:tc>
          <w:tcPr>
            <w:tcW w:type="dxa" w:w="4560"/>
            <w:shd w:fill="F8F8F8" w:color="auto" w:val="clear"/>
          </w:tcPr>
          <w:p>
            <w:r>
              <w:rPr>
                <w:b w:val="false"/>
                <w:bCs w:val="false"/>
                <w:color w:val="222222"/>
                <w:sz w:val="20"/>
                <w:szCs w:val="20"/>
              </w:rPr>
              <w:t xml:space="preserve">Different audiences need different registers; the same spine across all three keeps the company coherent.</w:t>
            </w:r>
          </w:p>
        </w:tc>
      </w:tr>
      <w:tr>
        <w:trPr>
          <w:tblHeader w:val="false"/>
        </w:trPr>
        <w:tc>
          <w:tcPr>
            <w:tcW w:type="dxa" w:w="1200"/>
            <w:shd w:fill="FFFFFF" w:color="auto" w:val="clear"/>
          </w:tcPr>
          <w:p>
            <w:r>
              <w:rPr>
                <w:b w:val="false"/>
                <w:bCs w:val="false"/>
                <w:color w:val="222222"/>
                <w:sz w:val="20"/>
                <w:szCs w:val="20"/>
              </w:rPr>
              <w:t xml:space="preserve">June 2026</w:t>
            </w:r>
          </w:p>
        </w:tc>
        <w:tc>
          <w:tcPr>
            <w:tcW w:type="dxa" w:w="3600"/>
            <w:shd w:fill="FFFFFF" w:color="auto" w:val="clear"/>
          </w:tcPr>
          <w:p>
            <w:r>
              <w:rPr>
                <w:b w:val="false"/>
                <w:bCs w:val="false"/>
                <w:color w:val="222222"/>
                <w:sz w:val="20"/>
                <w:szCs w:val="20"/>
              </w:rPr>
              <w:t xml:space="preserve">Locked the seven framing devices with 'corrected, not filtered' as the conceptual spine.</w:t>
            </w:r>
          </w:p>
        </w:tc>
        <w:tc>
          <w:tcPr>
            <w:tcW w:type="dxa" w:w="4560"/>
            <w:shd w:fill="FFFFFF" w:color="auto" w:val="clear"/>
          </w:tcPr>
          <w:p>
            <w:r>
              <w:rPr>
                <w:b w:val="false"/>
                <w:bCs w:val="false"/>
                <w:color w:val="222222"/>
                <w:sz w:val="20"/>
                <w:szCs w:val="20"/>
              </w:rPr>
              <w:t xml:space="preserve">These are the recurring anchors that reframe whatever conversation they enter.</w:t>
            </w:r>
          </w:p>
        </w:tc>
      </w:tr>
      <w:tr>
        <w:trPr>
          <w:tblHeader w:val="false"/>
        </w:trPr>
        <w:tc>
          <w:tcPr>
            <w:tcW w:type="dxa" w:w="1200"/>
            <w:shd w:fill="F8F8F8" w:color="auto" w:val="clear"/>
          </w:tcPr>
          <w:p>
            <w:r>
              <w:rPr>
                <w:b w:val="false"/>
                <w:bCs w:val="false"/>
                <w:color w:val="222222"/>
                <w:sz w:val="20"/>
                <w:szCs w:val="20"/>
              </w:rPr>
              <w:t xml:space="preserve">June 2026</w:t>
            </w:r>
          </w:p>
        </w:tc>
        <w:tc>
          <w:tcPr>
            <w:tcW w:type="dxa" w:w="3600"/>
            <w:shd w:fill="F8F8F8" w:color="auto" w:val="clear"/>
          </w:tcPr>
          <w:p>
            <w:r>
              <w:rPr>
                <w:b w:val="false"/>
                <w:bCs w:val="false"/>
                <w:color w:val="222222"/>
                <w:sz w:val="20"/>
                <w:szCs w:val="20"/>
              </w:rPr>
              <w:t xml:space="preserve">Retired FemTech, empowering, AI-powered (as lead descriptor), disrupting, democratizing, and similar language.</w:t>
            </w:r>
          </w:p>
        </w:tc>
        <w:tc>
          <w:tcPr>
            <w:tcW w:type="dxa" w:w="4560"/>
            <w:shd w:fill="F8F8F8" w:color="auto" w:val="clear"/>
          </w:tcPr>
          <w:p>
            <w:r>
              <w:rPr>
                <w:b w:val="false"/>
                <w:bCs w:val="false"/>
                <w:color w:val="222222"/>
                <w:sz w:val="20"/>
                <w:szCs w:val="20"/>
              </w:rPr>
              <w:t xml:space="preserve">Each one categorically sets Whel in a category it cannot afford.</w:t>
            </w:r>
          </w:p>
        </w:tc>
      </w:tr>
      <w:tr>
        <w:trPr>
          <w:tblHeader w:val="false"/>
        </w:trPr>
        <w:tc>
          <w:tcPr>
            <w:tcW w:type="dxa" w:w="1200"/>
            <w:shd w:fill="FFFFFF" w:color="auto" w:val="clear"/>
          </w:tcPr>
          <w:p>
            <w:r>
              <w:rPr>
                <w:b w:val="false"/>
                <w:bCs w:val="false"/>
                <w:color w:val="222222"/>
                <w:sz w:val="20"/>
                <w:szCs w:val="20"/>
              </w:rPr>
              <w:t xml:space="preserve">June 2026</w:t>
            </w:r>
          </w:p>
        </w:tc>
        <w:tc>
          <w:tcPr>
            <w:tcW w:type="dxa" w:w="3600"/>
            <w:shd w:fill="FFFFFF" w:color="auto" w:val="clear"/>
          </w:tcPr>
          <w:p>
            <w:r>
              <w:rPr>
                <w:b w:val="false"/>
                <w:bCs w:val="false"/>
                <w:color w:val="222222"/>
                <w:sz w:val="20"/>
                <w:szCs w:val="20"/>
              </w:rPr>
              <w:t xml:space="preserve">Confirmed drug repurposing as the lead beachhead with planned expansion into sex-divergent conditions (Phase 2) and broader discovery (Phase 3).</w:t>
            </w:r>
          </w:p>
        </w:tc>
        <w:tc>
          <w:tcPr>
            <w:tcW w:type="dxa" w:w="4560"/>
            <w:shd w:fill="FFFFFF" w:color="auto" w:val="clear"/>
          </w:tcPr>
          <w:p>
            <w:r>
              <w:rPr>
                <w:b w:val="false"/>
                <w:bCs w:val="false"/>
                <w:color w:val="222222"/>
                <w:sz w:val="20"/>
                <w:szCs w:val="20"/>
              </w:rPr>
              <w:t xml:space="preserve">Precedent across Recursion, BenevolentAI, Healx, Insilico validates repurposing-first as the optimal sequencing for AI biology companies.</w:t>
            </w:r>
          </w:p>
        </w:tc>
      </w:tr>
    </w:tbl>
    <w:p>
      <w:pPr>
        <w:pStyle w:val="Heading2"/>
      </w:pPr>
      <w:r>
        <w:t xml:space="preserve">Closing</w:t>
      </w:r>
    </w:p>
    <w:p>
      <w:r>
        <w:t xml:space="preserve">If you have read this far, you have what the company says about itself. Use it. When you draft something new, anchor in the worked examples in Part IX. When you are tempted to drift the language, return to the framing devices in Part V and the language guide in Part VII. When you forget what the company is for, read the manifesto in Part I again.</w:t>
      </w:r>
    </w:p>
    <w:p>
      <w:r>
        <w:t xml:space="preserve">The work that justifies this document is the work the platform is doing — finding the drugs that already work for women's health, anchoring every claim, surfacing every contradiction. Everything in this document is in service of that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line="320"/>
    </w:pPr>
    <w:rPr>
      <w:rFonts w:ascii="Calibri" w:cs="Calibri" w:eastAsia="Calibri" w:hAnsi="Calibri"/>
      <w:b/>
      <w:bCs/>
      <w:color w:val="7A1F3D"/>
      <w:sz w:val="64"/>
      <w:szCs w:val="64"/>
    </w:rPr>
  </w:style>
  <w:style w:type="paragraph" w:styleId="Heading1">
    <w:name w:val="Heading 1"/>
    <w:basedOn w:val="Normal"/>
    <w:next w:val="Normal"/>
    <w:pPr>
      <w:spacing w:after="200" w:before="480" w:line="300"/>
    </w:pPr>
    <w:rPr>
      <w:rFonts w:ascii="Calibri" w:cs="Calibri" w:eastAsia="Calibri" w:hAnsi="Calibri"/>
      <w:b/>
      <w:bCs/>
      <w:color w:val="7A1F3D"/>
      <w:sz w:val="36"/>
      <w:szCs w:val="36"/>
    </w:rPr>
  </w:style>
  <w:style w:type="paragraph" w:styleId="Heading2">
    <w:name w:val="Heading 2"/>
    <w:basedOn w:val="Normal"/>
    <w:next w:val="Normal"/>
    <w:pPr>
      <w:spacing w:after="140" w:before="320" w:line="300"/>
    </w:pPr>
    <w:rPr>
      <w:rFonts w:ascii="Calibri" w:cs="Calibri" w:eastAsia="Calibri" w:hAnsi="Calibri"/>
      <w:b/>
      <w:bCs/>
      <w:color w:val="111111"/>
      <w:sz w:val="28"/>
      <w:szCs w:val="28"/>
    </w:rPr>
  </w:style>
  <w:style w:type="paragraph" w:styleId="Heading3">
    <w:name w:val="Heading 3"/>
    <w:basedOn w:val="Normal"/>
    <w:next w:val="Normal"/>
    <w:pPr>
      <w:spacing w:after="100" w:before="240" w:line="280"/>
    </w:pPr>
    <w:rPr>
      <w:rFonts w:ascii="Calibri" w:cs="Calibri" w:eastAsia="Calibri" w:hAnsi="Calibri"/>
      <w:b/>
      <w:bCs/>
      <w:color w:val="222222"/>
      <w:sz w:val="24"/>
      <w:szCs w:val="24"/>
    </w:rPr>
  </w:style>
  <w:style w:type="paragraph" w:styleId="Heading4">
    <w:name w:val="Heading 4"/>
    <w:basedOn w:val="Normal"/>
    <w:next w:val="Normal"/>
    <w:pPr>
      <w:spacing w:after="80" w:before="180" w:line="280"/>
    </w:pPr>
    <w:rPr>
      <w:rFonts w:ascii="Calibri" w:cs="Calibri" w:eastAsia="Calibri" w:hAnsi="Calibri"/>
      <w:b/>
      <w:bCs/>
      <w:i/>
      <w:iCs/>
      <w:color w:val="222222"/>
      <w:sz w:val="22"/>
      <w:szCs w:val="22"/>
    </w:rPr>
  </w:style>
  <w:style w:type="paragraph" w:styleId="Normal">
    <w:name w:val="Normal"/>
    <w:pPr>
      <w:spacing w:after="120" w:line="300"/>
    </w:pPr>
    <w:rPr>
      <w:rFonts w:ascii="Calibri" w:cs="Calibri" w:eastAsia="Calibri" w:hAnsi="Calibri"/>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Whel Narrative &amp; Voice Guide</dc:title>
  <dc:creator>Whel, Inc.</dc:creator>
  <dc:description>Manifesto, narrative architecture, language, and the canonical pitch for every channel and every audience</dc:description>
  <cp:lastModifiedBy>Un-named</cp:lastModifiedBy>
  <cp:revision>1</cp:revision>
  <dcterms:created xsi:type="dcterms:W3CDTF">2026-06-11T14:35:30.080Z</dcterms:created>
  <dcterms:modified xsi:type="dcterms:W3CDTF">2026-06-11T14:35:30.080Z</dcterms:modified>
</cp:coreProperties>
</file>

<file path=docProps/custom.xml><?xml version="1.0" encoding="utf-8"?>
<Properties xmlns="http://schemas.openxmlformats.org/officeDocument/2006/custom-properties" xmlns:vt="http://schemas.openxmlformats.org/officeDocument/2006/docPropsVTypes"/>
</file>