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F118" w14:textId="05065657" w:rsidR="00A116CE" w:rsidRPr="00A116CE" w:rsidRDefault="00A116CE" w:rsidP="003654BE">
      <w:pPr>
        <w:rPr>
          <w:rFonts w:ascii="Arial" w:hAnsi="Arial" w:cs="Arial"/>
          <w:b/>
          <w:bCs/>
          <w:sz w:val="36"/>
          <w:szCs w:val="36"/>
        </w:rPr>
      </w:pPr>
      <w:r w:rsidRPr="00A116CE">
        <w:rPr>
          <w:rFonts w:ascii="Arial" w:hAnsi="Arial" w:cs="Arial"/>
          <w:b/>
          <w:bCs/>
          <w:sz w:val="36"/>
          <w:szCs w:val="36"/>
        </w:rPr>
        <w:t>1)</w:t>
      </w:r>
    </w:p>
    <w:p w14:paraId="2583E435" w14:textId="7B60305A" w:rsidR="00A116CE" w:rsidRDefault="00A116CE" w:rsidP="003654BE">
      <w:pPr>
        <w:rPr>
          <w:rFonts w:ascii="Arial" w:hAnsi="Arial" w:cs="Arial"/>
        </w:rPr>
      </w:pPr>
      <w:r w:rsidRPr="00A116CE">
        <w:rPr>
          <w:rFonts w:ascii="Arial" w:hAnsi="Arial" w:cs="Arial"/>
        </w:rPr>
        <w:t xml:space="preserve">Tracking key metrics is essential for evaluating the performance of a platform like </w:t>
      </w:r>
      <w:proofErr w:type="spellStart"/>
      <w:r w:rsidRPr="00A116CE">
        <w:rPr>
          <w:rFonts w:ascii="Arial" w:hAnsi="Arial" w:cs="Arial"/>
        </w:rPr>
        <w:t>Codacy</w:t>
      </w:r>
      <w:proofErr w:type="spellEnd"/>
      <w:r w:rsidRPr="00A116CE">
        <w:rPr>
          <w:rFonts w:ascii="Arial" w:hAnsi="Arial" w:cs="Arial"/>
        </w:rPr>
        <w:t xml:space="preserve"> Quality and identifying areas for improvement. A focused set of key performance indicators (KPIs) provides a clear view of business health, covering growth, revenue, operational efficiency and customer satisfaction. </w:t>
      </w:r>
    </w:p>
    <w:p w14:paraId="534CF702" w14:textId="49B45093" w:rsidR="003654BE" w:rsidRPr="003654BE" w:rsidRDefault="00A116CE" w:rsidP="003654BE">
      <w:pPr>
        <w:rPr>
          <w:rFonts w:ascii="Arial" w:hAnsi="Arial" w:cs="Arial"/>
        </w:rPr>
      </w:pPr>
      <w:r w:rsidRPr="00A116CE">
        <w:rPr>
          <w:rFonts w:ascii="Arial" w:hAnsi="Arial" w:cs="Arial"/>
        </w:rPr>
        <w:t>Here’s a streamlined list of essential metrics, grouped by category:</w:t>
      </w:r>
    </w:p>
    <w:p w14:paraId="2377A653" w14:textId="37A01E7D" w:rsidR="003654BE" w:rsidRPr="003654BE" w:rsidRDefault="003654BE" w:rsidP="003654BE">
      <w:pPr>
        <w:rPr>
          <w:rFonts w:ascii="Arial" w:hAnsi="Arial" w:cs="Arial"/>
          <w:b/>
          <w:bCs/>
          <w:sz w:val="28"/>
          <w:szCs w:val="28"/>
        </w:rPr>
      </w:pPr>
      <w:r w:rsidRPr="003654BE">
        <w:rPr>
          <w:rFonts w:ascii="Arial" w:hAnsi="Arial" w:cs="Arial"/>
          <w:b/>
          <w:bCs/>
          <w:sz w:val="28"/>
          <w:szCs w:val="28"/>
        </w:rPr>
        <w:t>Growth</w:t>
      </w:r>
    </w:p>
    <w:p w14:paraId="42D60E36" w14:textId="09C94F60" w:rsidR="00A116CE" w:rsidRPr="003654BE" w:rsidRDefault="00A116CE" w:rsidP="003654BE">
      <w:pPr>
        <w:rPr>
          <w:rFonts w:ascii="Arial" w:hAnsi="Arial" w:cs="Arial"/>
        </w:rPr>
      </w:pPr>
      <w:r w:rsidRPr="00A116CE">
        <w:rPr>
          <w:rFonts w:ascii="Arial" w:hAnsi="Arial" w:cs="Arial"/>
        </w:rPr>
        <w:t>Measures the company’s ability to attract and retain customers:</w:t>
      </w:r>
    </w:p>
    <w:p w14:paraId="7279FC02" w14:textId="14CEFA9E" w:rsidR="003654BE" w:rsidRPr="003654BE" w:rsidRDefault="003654BE" w:rsidP="003654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Customer retention rate</w:t>
      </w:r>
      <w:r w:rsidRPr="003654BE">
        <w:rPr>
          <w:rFonts w:ascii="Arial" w:hAnsi="Arial" w:cs="Arial"/>
          <w:b/>
          <w:bCs/>
        </w:rPr>
        <w:t>:</w:t>
      </w:r>
      <w:r w:rsidRPr="003654BE"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 xml:space="preserve">Percentage of customers who stay </w:t>
      </w:r>
      <w:proofErr w:type="gramStart"/>
      <w:r w:rsidRPr="003654BE">
        <w:rPr>
          <w:rFonts w:ascii="Arial" w:hAnsi="Arial" w:cs="Arial"/>
        </w:rPr>
        <w:t>over time</w:t>
      </w:r>
      <w:proofErr w:type="gramEnd"/>
      <w:r w:rsidRPr="003654BE">
        <w:rPr>
          <w:rFonts w:ascii="Arial" w:hAnsi="Arial" w:cs="Arial"/>
        </w:rPr>
        <w:t>.</w:t>
      </w:r>
    </w:p>
    <w:p w14:paraId="4CC5BBC8" w14:textId="2597BF10" w:rsidR="003654BE" w:rsidRPr="003654BE" w:rsidRDefault="003654BE" w:rsidP="003654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Churn rate</w:t>
      </w:r>
      <w:r w:rsidRPr="003654BE">
        <w:rPr>
          <w:rFonts w:ascii="Arial" w:hAnsi="Arial" w:cs="Arial"/>
          <w:b/>
          <w:bCs/>
        </w:rPr>
        <w:t>:</w:t>
      </w:r>
      <w:r w:rsidRPr="003654BE"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>Percentage of customers who cancel the service.</w:t>
      </w:r>
    </w:p>
    <w:p w14:paraId="30742827" w14:textId="42A08C4F" w:rsidR="003654BE" w:rsidRDefault="003654BE" w:rsidP="003654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Customer Acquisition Cost (CAC)</w:t>
      </w:r>
      <w:r w:rsidRPr="003654BE">
        <w:rPr>
          <w:rFonts w:ascii="Arial" w:hAnsi="Arial" w:cs="Arial"/>
          <w:b/>
          <w:bCs/>
        </w:rPr>
        <w:t>:</w:t>
      </w:r>
      <w:r w:rsidRPr="003654BE"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>Cost to acquire a new customer.</w:t>
      </w:r>
    </w:p>
    <w:p w14:paraId="67222D22" w14:textId="77777777" w:rsidR="00A116CE" w:rsidRPr="00A116CE" w:rsidRDefault="00A116CE" w:rsidP="00A116CE">
      <w:pPr>
        <w:pStyle w:val="ListParagraph"/>
        <w:rPr>
          <w:rFonts w:ascii="Arial" w:hAnsi="Arial" w:cs="Arial"/>
        </w:rPr>
      </w:pPr>
    </w:p>
    <w:p w14:paraId="73352C98" w14:textId="14BE83F2" w:rsidR="003654BE" w:rsidRPr="003654BE" w:rsidRDefault="003654BE" w:rsidP="003654BE">
      <w:pPr>
        <w:rPr>
          <w:rFonts w:ascii="Arial" w:hAnsi="Arial" w:cs="Arial"/>
          <w:b/>
          <w:bCs/>
          <w:sz w:val="28"/>
          <w:szCs w:val="28"/>
        </w:rPr>
      </w:pPr>
      <w:r w:rsidRPr="003654BE">
        <w:rPr>
          <w:rFonts w:ascii="Arial" w:hAnsi="Arial" w:cs="Arial"/>
          <w:b/>
          <w:bCs/>
          <w:sz w:val="28"/>
          <w:szCs w:val="28"/>
        </w:rPr>
        <w:t>Financials</w:t>
      </w:r>
    </w:p>
    <w:p w14:paraId="59FCA78C" w14:textId="15EBAB7D" w:rsidR="003654BE" w:rsidRPr="003654BE" w:rsidRDefault="00A116CE" w:rsidP="003654BE">
      <w:pPr>
        <w:rPr>
          <w:rFonts w:ascii="Arial" w:hAnsi="Arial" w:cs="Arial"/>
        </w:rPr>
      </w:pPr>
      <w:r w:rsidRPr="00A116CE">
        <w:rPr>
          <w:rFonts w:ascii="Arial" w:hAnsi="Arial" w:cs="Arial"/>
        </w:rPr>
        <w:t>Provides a clear view of revenue and customer value:</w:t>
      </w:r>
    </w:p>
    <w:p w14:paraId="4CB48817" w14:textId="5F310B13" w:rsidR="003654BE" w:rsidRPr="003654BE" w:rsidRDefault="003654BE" w:rsidP="003654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Annual Recurring Revenue (ARR)</w:t>
      </w:r>
      <w:r w:rsidRPr="003654BE">
        <w:rPr>
          <w:rFonts w:ascii="Arial" w:hAnsi="Arial" w:cs="Arial"/>
          <w:b/>
          <w:bCs/>
        </w:rPr>
        <w:t>:</w:t>
      </w:r>
      <w:r w:rsidRPr="003654BE"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>Predictable revenue from recurring contract</w:t>
      </w:r>
      <w:r w:rsidR="00A116CE">
        <w:rPr>
          <w:rFonts w:ascii="Arial" w:hAnsi="Arial" w:cs="Arial"/>
        </w:rPr>
        <w:t>s</w:t>
      </w:r>
      <w:r w:rsidRPr="003654BE">
        <w:rPr>
          <w:rFonts w:ascii="Arial" w:hAnsi="Arial" w:cs="Arial"/>
        </w:rPr>
        <w:t>.</w:t>
      </w:r>
    </w:p>
    <w:p w14:paraId="44D5B937" w14:textId="6A2DD5E1" w:rsidR="003654BE" w:rsidRPr="003654BE" w:rsidRDefault="003654BE" w:rsidP="003654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Monthly Recurring Revenue (MRR)</w:t>
      </w:r>
      <w:r w:rsidRPr="003654BE">
        <w:rPr>
          <w:rFonts w:ascii="Arial" w:hAnsi="Arial" w:cs="Arial"/>
          <w:b/>
          <w:bCs/>
        </w:rPr>
        <w:t>:</w:t>
      </w:r>
      <w:r w:rsidRPr="003654BE"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>Predictable revenue from recurring contracts each month.</w:t>
      </w:r>
    </w:p>
    <w:p w14:paraId="562F4B2C" w14:textId="68672B57" w:rsidR="003654BE" w:rsidRPr="003654BE" w:rsidRDefault="003654BE" w:rsidP="003654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Lifetime Value (LTV)</w:t>
      </w:r>
      <w:r w:rsidRPr="003654BE">
        <w:rPr>
          <w:rFonts w:ascii="Arial" w:hAnsi="Arial" w:cs="Arial"/>
          <w:b/>
          <w:bCs/>
        </w:rPr>
        <w:t>:</w:t>
      </w:r>
      <w:r w:rsidRPr="003654BE"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>Total value generated from a customer over time.</w:t>
      </w:r>
    </w:p>
    <w:p w14:paraId="581FA324" w14:textId="77777777" w:rsidR="003654BE" w:rsidRDefault="003654BE" w:rsidP="003654BE">
      <w:pPr>
        <w:rPr>
          <w:rFonts w:ascii="Arial" w:hAnsi="Arial" w:cs="Arial"/>
        </w:rPr>
      </w:pPr>
    </w:p>
    <w:p w14:paraId="21C8F55F" w14:textId="7059049C" w:rsidR="003654BE" w:rsidRPr="003654BE" w:rsidRDefault="003654BE" w:rsidP="003654BE">
      <w:pPr>
        <w:rPr>
          <w:rFonts w:ascii="Arial" w:hAnsi="Arial" w:cs="Arial"/>
          <w:b/>
          <w:bCs/>
          <w:sz w:val="28"/>
          <w:szCs w:val="28"/>
        </w:rPr>
      </w:pPr>
      <w:r w:rsidRPr="003654BE">
        <w:rPr>
          <w:rFonts w:ascii="Arial" w:hAnsi="Arial" w:cs="Arial"/>
          <w:b/>
          <w:bCs/>
          <w:sz w:val="28"/>
          <w:szCs w:val="28"/>
        </w:rPr>
        <w:t>Operational Efficiency</w:t>
      </w:r>
    </w:p>
    <w:p w14:paraId="3579F58F" w14:textId="06434A53" w:rsidR="003654BE" w:rsidRPr="003654BE" w:rsidRDefault="00A116CE" w:rsidP="003654BE">
      <w:pPr>
        <w:rPr>
          <w:rFonts w:ascii="Arial" w:hAnsi="Arial" w:cs="Arial"/>
        </w:rPr>
      </w:pPr>
      <w:r w:rsidRPr="00A116CE">
        <w:rPr>
          <w:rFonts w:ascii="Arial" w:hAnsi="Arial" w:cs="Arial"/>
        </w:rPr>
        <w:t>Reflects how efficiently the product and development processes are running:</w:t>
      </w:r>
    </w:p>
    <w:p w14:paraId="22CE43B2" w14:textId="5F7C4202" w:rsidR="003654BE" w:rsidRPr="003654BE" w:rsidRDefault="003654BE" w:rsidP="003654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Average time to approve PR</w:t>
      </w:r>
      <w:r w:rsidRPr="003654B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>Time to review and approve code changes.</w:t>
      </w:r>
    </w:p>
    <w:p w14:paraId="5E07C7D9" w14:textId="12F3E099" w:rsidR="003654BE" w:rsidRPr="003654BE" w:rsidRDefault="003654BE" w:rsidP="003654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Test coverage</w:t>
      </w:r>
      <w:r w:rsidRPr="003654B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>Percentage of code covered by automated tests.</w:t>
      </w:r>
    </w:p>
    <w:p w14:paraId="2295DD77" w14:textId="5B40D1AE" w:rsidR="003654BE" w:rsidRDefault="003654BE" w:rsidP="003654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Mean Time to Resolution (MTTR)</w:t>
      </w:r>
      <w:r w:rsidRPr="003654B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3654BE">
        <w:rPr>
          <w:rFonts w:ascii="Arial" w:hAnsi="Arial" w:cs="Arial"/>
        </w:rPr>
        <w:t>Average time to fix a critical bug.</w:t>
      </w:r>
    </w:p>
    <w:p w14:paraId="309D1EDC" w14:textId="77777777" w:rsidR="00A116CE" w:rsidRPr="00A116CE" w:rsidRDefault="00A116CE" w:rsidP="00A116CE">
      <w:pPr>
        <w:rPr>
          <w:rFonts w:ascii="Arial" w:hAnsi="Arial" w:cs="Arial"/>
        </w:rPr>
      </w:pPr>
    </w:p>
    <w:p w14:paraId="5FBF1CF8" w14:textId="79C1437B" w:rsidR="003654BE" w:rsidRPr="003654BE" w:rsidRDefault="003654BE" w:rsidP="003654BE">
      <w:pPr>
        <w:rPr>
          <w:rFonts w:ascii="Arial" w:hAnsi="Arial" w:cs="Arial"/>
          <w:b/>
          <w:bCs/>
          <w:sz w:val="28"/>
          <w:szCs w:val="28"/>
        </w:rPr>
      </w:pPr>
      <w:r w:rsidRPr="003654BE">
        <w:rPr>
          <w:rFonts w:ascii="Arial" w:hAnsi="Arial" w:cs="Arial"/>
          <w:b/>
          <w:bCs/>
          <w:sz w:val="28"/>
          <w:szCs w:val="28"/>
        </w:rPr>
        <w:t>Satisfaction</w:t>
      </w:r>
    </w:p>
    <w:p w14:paraId="41C74D4E" w14:textId="2DB141C9" w:rsidR="003654BE" w:rsidRPr="003654BE" w:rsidRDefault="00A116CE" w:rsidP="003654BE">
      <w:pPr>
        <w:rPr>
          <w:rFonts w:ascii="Arial" w:hAnsi="Arial" w:cs="Arial"/>
        </w:rPr>
      </w:pPr>
      <w:proofErr w:type="gramStart"/>
      <w:r w:rsidRPr="00A116CE">
        <w:rPr>
          <w:rFonts w:ascii="Arial" w:hAnsi="Arial" w:cs="Arial"/>
        </w:rPr>
        <w:t>Measures</w:t>
      </w:r>
      <w:proofErr w:type="gramEnd"/>
      <w:r w:rsidRPr="00A116CE">
        <w:rPr>
          <w:rFonts w:ascii="Arial" w:hAnsi="Arial" w:cs="Arial"/>
        </w:rPr>
        <w:t xml:space="preserve"> customer engagement and loyalty:</w:t>
      </w:r>
    </w:p>
    <w:p w14:paraId="15ED82CE" w14:textId="5B10E3D8" w:rsidR="00A116CE" w:rsidRPr="003654BE" w:rsidRDefault="003654BE" w:rsidP="00A116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54BE">
        <w:rPr>
          <w:rFonts w:ascii="Arial" w:hAnsi="Arial" w:cs="Arial"/>
          <w:b/>
          <w:bCs/>
        </w:rPr>
        <w:t>Net Promoter Score (NPS)</w:t>
      </w:r>
      <w:r w:rsidRPr="003654BE">
        <w:rPr>
          <w:rFonts w:ascii="Arial" w:hAnsi="Arial" w:cs="Arial"/>
          <w:b/>
          <w:bCs/>
        </w:rPr>
        <w:t>:</w:t>
      </w:r>
      <w:r w:rsidRPr="003654BE">
        <w:rPr>
          <w:rFonts w:ascii="Arial" w:hAnsi="Arial" w:cs="Arial"/>
        </w:rPr>
        <w:t xml:space="preserve"> </w:t>
      </w:r>
      <w:proofErr w:type="gramStart"/>
      <w:r w:rsidRPr="003654BE">
        <w:rPr>
          <w:rFonts w:ascii="Arial" w:hAnsi="Arial" w:cs="Arial"/>
        </w:rPr>
        <w:t>Measures</w:t>
      </w:r>
      <w:proofErr w:type="gramEnd"/>
      <w:r w:rsidRPr="003654BE">
        <w:rPr>
          <w:rFonts w:ascii="Arial" w:hAnsi="Arial" w:cs="Arial"/>
        </w:rPr>
        <w:t xml:space="preserve"> how likely customers are to recommend the product.</w:t>
      </w:r>
    </w:p>
    <w:p w14:paraId="3D80D980" w14:textId="7CA493C1" w:rsidR="008B263E" w:rsidRDefault="00A116CE">
      <w:pPr>
        <w:rPr>
          <w:rFonts w:ascii="Arial" w:hAnsi="Arial" w:cs="Arial"/>
          <w:b/>
          <w:bCs/>
          <w:sz w:val="36"/>
          <w:szCs w:val="36"/>
        </w:rPr>
      </w:pPr>
      <w:r w:rsidRPr="00A116CE">
        <w:rPr>
          <w:rFonts w:ascii="Arial" w:hAnsi="Arial" w:cs="Arial"/>
          <w:b/>
          <w:bCs/>
          <w:sz w:val="36"/>
          <w:szCs w:val="36"/>
        </w:rPr>
        <w:lastRenderedPageBreak/>
        <w:t>2)</w:t>
      </w:r>
    </w:p>
    <w:p w14:paraId="14D8A923" w14:textId="15A28BBC" w:rsidR="00A116CE" w:rsidRDefault="000E25A8">
      <w:pPr>
        <w:rPr>
          <w:rFonts w:ascii="Arial" w:hAnsi="Arial" w:cs="Arial"/>
        </w:rPr>
      </w:pPr>
      <w:r w:rsidRPr="000E25A8">
        <w:rPr>
          <w:rFonts w:ascii="Arial" w:hAnsi="Arial" w:cs="Arial"/>
        </w:rPr>
        <w:t>Evaluating the effectiveness of marketing campaigns requires focusing on three key areas:</w:t>
      </w:r>
    </w:p>
    <w:p w14:paraId="720A3E0F" w14:textId="77777777" w:rsidR="000E25A8" w:rsidRPr="009D19F7" w:rsidRDefault="000E25A8">
      <w:pPr>
        <w:rPr>
          <w:rFonts w:ascii="Arial" w:hAnsi="Arial" w:cs="Arial"/>
          <w:b/>
          <w:bCs/>
          <w:sz w:val="28"/>
          <w:szCs w:val="28"/>
        </w:rPr>
      </w:pPr>
      <w:r w:rsidRPr="009D19F7">
        <w:rPr>
          <w:rFonts w:ascii="Arial" w:hAnsi="Arial" w:cs="Arial"/>
          <w:b/>
          <w:bCs/>
          <w:sz w:val="28"/>
          <w:szCs w:val="28"/>
        </w:rPr>
        <w:t>Direct Performance</w:t>
      </w:r>
    </w:p>
    <w:p w14:paraId="0ECEE9EF" w14:textId="77777777" w:rsidR="000E25A8" w:rsidRDefault="000E25A8">
      <w:pPr>
        <w:rPr>
          <w:rFonts w:ascii="Arial" w:hAnsi="Arial" w:cs="Arial"/>
        </w:rPr>
      </w:pPr>
      <w:r w:rsidRPr="000E25A8">
        <w:rPr>
          <w:rFonts w:ascii="Arial" w:hAnsi="Arial" w:cs="Arial"/>
        </w:rPr>
        <w:t xml:space="preserve">Measures how well the campaign generated engagement and conversions. </w:t>
      </w:r>
    </w:p>
    <w:p w14:paraId="7FD9D8EB" w14:textId="53E706FD" w:rsidR="009D19F7" w:rsidRPr="009D19F7" w:rsidRDefault="009D19F7">
      <w:pPr>
        <w:rPr>
          <w:rFonts w:ascii="Arial" w:hAnsi="Arial" w:cs="Arial"/>
          <w:b/>
          <w:bCs/>
        </w:rPr>
      </w:pPr>
      <w:r w:rsidRPr="009D19F7">
        <w:rPr>
          <w:rFonts w:ascii="Arial" w:hAnsi="Arial" w:cs="Arial"/>
          <w:b/>
          <w:bCs/>
        </w:rPr>
        <w:t>Main Metrics:</w:t>
      </w:r>
    </w:p>
    <w:p w14:paraId="420C36E5" w14:textId="77777777" w:rsidR="009D19F7" w:rsidRPr="009D19F7" w:rsidRDefault="000E25A8" w:rsidP="009D19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19F7">
        <w:rPr>
          <w:rFonts w:ascii="Arial" w:hAnsi="Arial" w:cs="Arial"/>
        </w:rPr>
        <w:t>Digital</w:t>
      </w:r>
    </w:p>
    <w:p w14:paraId="263A9BBE" w14:textId="77777777" w:rsidR="009D19F7" w:rsidRDefault="000E25A8">
      <w:pPr>
        <w:rPr>
          <w:rFonts w:ascii="Arial" w:hAnsi="Arial" w:cs="Arial"/>
        </w:rPr>
      </w:pPr>
      <w:r w:rsidRPr="000E25A8">
        <w:rPr>
          <w:rFonts w:ascii="Arial" w:hAnsi="Arial" w:cs="Arial"/>
        </w:rPr>
        <w:t xml:space="preserve">Click-Through Rate (CTR), Conversion Rate, Cost per Acquisition (CPA). </w:t>
      </w:r>
    </w:p>
    <w:p w14:paraId="0756AAB7" w14:textId="77777777" w:rsidR="009D19F7" w:rsidRPr="009D19F7" w:rsidRDefault="000E25A8" w:rsidP="009D19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D19F7">
        <w:rPr>
          <w:rFonts w:ascii="Arial" w:hAnsi="Arial" w:cs="Arial"/>
        </w:rPr>
        <w:t xml:space="preserve">Offline </w:t>
      </w:r>
    </w:p>
    <w:p w14:paraId="0EC5D2AC" w14:textId="59964252" w:rsidR="009D19F7" w:rsidRDefault="000E25A8">
      <w:pPr>
        <w:rPr>
          <w:rFonts w:ascii="Arial" w:hAnsi="Arial" w:cs="Arial"/>
        </w:rPr>
      </w:pPr>
      <w:r w:rsidRPr="000E25A8">
        <w:rPr>
          <w:rFonts w:ascii="Arial" w:hAnsi="Arial" w:cs="Arial"/>
        </w:rPr>
        <w:t xml:space="preserve">Leads generated, </w:t>
      </w:r>
      <w:proofErr w:type="gramStart"/>
      <w:r w:rsidRPr="000E25A8">
        <w:rPr>
          <w:rFonts w:ascii="Arial" w:hAnsi="Arial" w:cs="Arial"/>
        </w:rPr>
        <w:t>Post-event</w:t>
      </w:r>
      <w:proofErr w:type="gramEnd"/>
      <w:r w:rsidRPr="000E25A8">
        <w:rPr>
          <w:rFonts w:ascii="Arial" w:hAnsi="Arial" w:cs="Arial"/>
        </w:rPr>
        <w:t xml:space="preserve"> conversion rate. </w:t>
      </w:r>
    </w:p>
    <w:p w14:paraId="33268FE9" w14:textId="77777777" w:rsidR="009D19F7" w:rsidRDefault="009D19F7">
      <w:pPr>
        <w:rPr>
          <w:rFonts w:ascii="Arial" w:hAnsi="Arial" w:cs="Arial"/>
        </w:rPr>
      </w:pPr>
    </w:p>
    <w:p w14:paraId="625FB941" w14:textId="3F93AC1E" w:rsidR="009D19F7" w:rsidRPr="009D19F7" w:rsidRDefault="000E25A8">
      <w:pPr>
        <w:rPr>
          <w:rFonts w:ascii="Arial" w:hAnsi="Arial" w:cs="Arial"/>
          <w:b/>
          <w:bCs/>
          <w:sz w:val="28"/>
          <w:szCs w:val="28"/>
        </w:rPr>
      </w:pPr>
      <w:r w:rsidRPr="009D19F7">
        <w:rPr>
          <w:rFonts w:ascii="Arial" w:hAnsi="Arial" w:cs="Arial"/>
          <w:b/>
          <w:bCs/>
          <w:sz w:val="28"/>
          <w:szCs w:val="28"/>
        </w:rPr>
        <w:t xml:space="preserve">Return on Investment (ROI) </w:t>
      </w:r>
    </w:p>
    <w:p w14:paraId="5F4D0C4A" w14:textId="77777777" w:rsidR="009D19F7" w:rsidRDefault="000E25A8">
      <w:pPr>
        <w:rPr>
          <w:rFonts w:ascii="Arial" w:hAnsi="Arial" w:cs="Arial"/>
        </w:rPr>
      </w:pPr>
      <w:r w:rsidRPr="000E25A8">
        <w:rPr>
          <w:rFonts w:ascii="Arial" w:hAnsi="Arial" w:cs="Arial"/>
        </w:rPr>
        <w:t xml:space="preserve">Measures whether the campaign generated value relative to the investment. </w:t>
      </w:r>
    </w:p>
    <w:p w14:paraId="5E458834" w14:textId="77777777" w:rsidR="009D19F7" w:rsidRPr="009D19F7" w:rsidRDefault="000E25A8">
      <w:pPr>
        <w:rPr>
          <w:rFonts w:ascii="Arial" w:hAnsi="Arial" w:cs="Arial"/>
          <w:b/>
          <w:bCs/>
        </w:rPr>
      </w:pPr>
      <w:r w:rsidRPr="009D19F7">
        <w:rPr>
          <w:rFonts w:ascii="Arial" w:hAnsi="Arial" w:cs="Arial"/>
          <w:b/>
          <w:bCs/>
        </w:rPr>
        <w:t xml:space="preserve">Main metrics: </w:t>
      </w:r>
    </w:p>
    <w:p w14:paraId="2C506A4D" w14:textId="3C673413" w:rsidR="009D19F7" w:rsidRDefault="000E25A8">
      <w:pPr>
        <w:rPr>
          <w:rFonts w:ascii="Arial" w:hAnsi="Arial" w:cs="Arial"/>
        </w:rPr>
      </w:pPr>
      <w:r w:rsidRPr="000E25A8">
        <w:rPr>
          <w:rFonts w:ascii="Arial" w:hAnsi="Arial" w:cs="Arial"/>
        </w:rPr>
        <w:t xml:space="preserve">Return on Investment (ROI), Customer Lifetime Value (LTV), Payback Period. </w:t>
      </w:r>
    </w:p>
    <w:p w14:paraId="012D2814" w14:textId="77777777" w:rsidR="009D19F7" w:rsidRPr="009D19F7" w:rsidRDefault="009D19F7">
      <w:pPr>
        <w:rPr>
          <w:rFonts w:ascii="Arial" w:hAnsi="Arial" w:cs="Arial"/>
          <w:b/>
          <w:bCs/>
          <w:sz w:val="28"/>
          <w:szCs w:val="28"/>
        </w:rPr>
      </w:pPr>
    </w:p>
    <w:p w14:paraId="5DCCD796" w14:textId="77777777" w:rsidR="009D19F7" w:rsidRPr="009D19F7" w:rsidRDefault="000E25A8">
      <w:pPr>
        <w:rPr>
          <w:rFonts w:ascii="Arial" w:hAnsi="Arial" w:cs="Arial"/>
          <w:b/>
          <w:bCs/>
          <w:sz w:val="28"/>
          <w:szCs w:val="28"/>
        </w:rPr>
      </w:pPr>
      <w:r w:rsidRPr="009D19F7">
        <w:rPr>
          <w:rFonts w:ascii="Arial" w:hAnsi="Arial" w:cs="Arial"/>
          <w:b/>
          <w:bCs/>
          <w:sz w:val="28"/>
          <w:szCs w:val="28"/>
        </w:rPr>
        <w:t>Engagement</w:t>
      </w:r>
    </w:p>
    <w:p w14:paraId="71862C5B" w14:textId="77777777" w:rsidR="009D19F7" w:rsidRDefault="000E25A8">
      <w:pPr>
        <w:rPr>
          <w:rFonts w:ascii="Arial" w:hAnsi="Arial" w:cs="Arial"/>
        </w:rPr>
      </w:pPr>
      <w:r w:rsidRPr="000E25A8">
        <w:rPr>
          <w:rFonts w:ascii="Arial" w:hAnsi="Arial" w:cs="Arial"/>
        </w:rPr>
        <w:t xml:space="preserve">Measures the campaign’s impact on customer perception and interaction. </w:t>
      </w:r>
    </w:p>
    <w:p w14:paraId="6AF8F409" w14:textId="77777777" w:rsidR="009D19F7" w:rsidRDefault="000E25A8">
      <w:pPr>
        <w:rPr>
          <w:rFonts w:ascii="Arial" w:hAnsi="Arial" w:cs="Arial"/>
        </w:rPr>
      </w:pPr>
      <w:r w:rsidRPr="009D19F7">
        <w:rPr>
          <w:rFonts w:ascii="Arial" w:hAnsi="Arial" w:cs="Arial"/>
          <w:b/>
          <w:bCs/>
        </w:rPr>
        <w:t>Main metrics:</w:t>
      </w:r>
      <w:r w:rsidRPr="000E25A8">
        <w:rPr>
          <w:rFonts w:ascii="Arial" w:hAnsi="Arial" w:cs="Arial"/>
        </w:rPr>
        <w:t xml:space="preserve"> </w:t>
      </w:r>
    </w:p>
    <w:p w14:paraId="5D776AC1" w14:textId="25AE4FE6" w:rsidR="009D19F7" w:rsidRDefault="000E25A8">
      <w:pPr>
        <w:rPr>
          <w:rFonts w:ascii="Arial" w:hAnsi="Arial" w:cs="Arial"/>
        </w:rPr>
      </w:pPr>
      <w:r w:rsidRPr="000E25A8">
        <w:rPr>
          <w:rFonts w:ascii="Arial" w:hAnsi="Arial" w:cs="Arial"/>
        </w:rPr>
        <w:t>Social media engagement, Retention rate, Net Promoter Score (NPS).</w:t>
      </w:r>
    </w:p>
    <w:p w14:paraId="2B3BFA6E" w14:textId="77777777" w:rsidR="009D19F7" w:rsidRDefault="009D19F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B158F3" w14:textId="0CF88DB8" w:rsidR="000E25A8" w:rsidRDefault="009D19F7">
      <w:pPr>
        <w:rPr>
          <w:rFonts w:ascii="Arial" w:hAnsi="Arial" w:cs="Arial"/>
          <w:b/>
          <w:bCs/>
          <w:sz w:val="36"/>
          <w:szCs w:val="36"/>
        </w:rPr>
      </w:pPr>
      <w:r w:rsidRPr="009D19F7">
        <w:rPr>
          <w:rFonts w:ascii="Arial" w:hAnsi="Arial" w:cs="Arial"/>
          <w:b/>
          <w:bCs/>
          <w:sz w:val="36"/>
          <w:szCs w:val="36"/>
        </w:rPr>
        <w:lastRenderedPageBreak/>
        <w:t>3)</w:t>
      </w:r>
    </w:p>
    <w:p w14:paraId="17CD74BF" w14:textId="77777777" w:rsidR="009F2622" w:rsidRDefault="009F2622" w:rsidP="009F2622">
      <w:pPr>
        <w:rPr>
          <w:rFonts w:ascii="Arial" w:hAnsi="Arial" w:cs="Arial"/>
        </w:rPr>
      </w:pPr>
      <w:r w:rsidRPr="009F2622">
        <w:rPr>
          <w:rFonts w:ascii="Arial" w:hAnsi="Arial" w:cs="Arial"/>
        </w:rPr>
        <w:t xml:space="preserve">LTV is key to understanding the customer lifecycle and building retention strategies. A high LTV indicates that the company is not only retaining customers but also turning them into loyal advocates of the brand. </w:t>
      </w:r>
    </w:p>
    <w:p w14:paraId="23BF0D2A" w14:textId="24285DD1" w:rsidR="009D19F7" w:rsidRPr="009F2622" w:rsidRDefault="009F2622" w:rsidP="009F2622">
      <w:pPr>
        <w:rPr>
          <w:rFonts w:ascii="Arial" w:hAnsi="Arial" w:cs="Arial"/>
        </w:rPr>
      </w:pPr>
      <w:r w:rsidRPr="009F2622">
        <w:rPr>
          <w:rFonts w:ascii="Arial" w:hAnsi="Arial" w:cs="Arial"/>
        </w:rPr>
        <w:t xml:space="preserve">Increasing the LTV means customers are generating continuous value, contributing directly to the </w:t>
      </w:r>
      <w:proofErr w:type="gramStart"/>
      <w:r w:rsidRPr="009F2622">
        <w:rPr>
          <w:rFonts w:ascii="Arial" w:hAnsi="Arial" w:cs="Arial"/>
        </w:rPr>
        <w:t>business's</w:t>
      </w:r>
      <w:proofErr w:type="gramEnd"/>
      <w:r w:rsidRPr="009F2622">
        <w:rPr>
          <w:rFonts w:ascii="Arial" w:hAnsi="Arial" w:cs="Arial"/>
        </w:rPr>
        <w:t xml:space="preserve"> sustainability and profitability. Loyal customers tend to stay longer and increase their spending </w:t>
      </w:r>
      <w:proofErr w:type="gramStart"/>
      <w:r w:rsidRPr="009F2622">
        <w:rPr>
          <w:rFonts w:ascii="Arial" w:hAnsi="Arial" w:cs="Arial"/>
        </w:rPr>
        <w:t>over time</w:t>
      </w:r>
      <w:proofErr w:type="gramEnd"/>
      <w:r w:rsidRPr="009F26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boosting</w:t>
      </w:r>
      <w:r w:rsidRPr="009F2622">
        <w:rPr>
          <w:rFonts w:ascii="Arial" w:hAnsi="Arial" w:cs="Arial"/>
        </w:rPr>
        <w:t xml:space="preserve"> total customer value without the need for constant acquisition.</w:t>
      </w:r>
    </w:p>
    <w:sectPr w:rsidR="009D19F7" w:rsidRPr="009F262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A2EFC"/>
    <w:multiLevelType w:val="hybridMultilevel"/>
    <w:tmpl w:val="6090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D246B"/>
    <w:multiLevelType w:val="hybridMultilevel"/>
    <w:tmpl w:val="9E10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276BC"/>
    <w:multiLevelType w:val="hybridMultilevel"/>
    <w:tmpl w:val="35E8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D621F"/>
    <w:multiLevelType w:val="hybridMultilevel"/>
    <w:tmpl w:val="009E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5063D"/>
    <w:multiLevelType w:val="hybridMultilevel"/>
    <w:tmpl w:val="1B3E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69">
    <w:abstractNumId w:val="2"/>
  </w:num>
  <w:num w:numId="2" w16cid:durableId="855193584">
    <w:abstractNumId w:val="0"/>
  </w:num>
  <w:num w:numId="3" w16cid:durableId="130829525">
    <w:abstractNumId w:val="3"/>
  </w:num>
  <w:num w:numId="4" w16cid:durableId="293876877">
    <w:abstractNumId w:val="1"/>
  </w:num>
  <w:num w:numId="5" w16cid:durableId="766585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BE"/>
    <w:rsid w:val="000E25A8"/>
    <w:rsid w:val="003654BE"/>
    <w:rsid w:val="004259B4"/>
    <w:rsid w:val="008B263E"/>
    <w:rsid w:val="009D19F7"/>
    <w:rsid w:val="009F2622"/>
    <w:rsid w:val="00A116CE"/>
    <w:rsid w:val="00AE5A56"/>
    <w:rsid w:val="00C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EF6C"/>
  <w15:chartTrackingRefBased/>
  <w15:docId w15:val="{8A17AF17-3948-4C49-9D68-64283E90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Scheifer - Passio Consulting</dc:creator>
  <cp:keywords/>
  <dc:description/>
  <cp:lastModifiedBy>Veronica Scheifer - Passio Consulting</cp:lastModifiedBy>
  <cp:revision>1</cp:revision>
  <dcterms:created xsi:type="dcterms:W3CDTF">2025-03-19T22:51:00Z</dcterms:created>
  <dcterms:modified xsi:type="dcterms:W3CDTF">2025-03-19T23:50:00Z</dcterms:modified>
</cp:coreProperties>
</file>