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05EDC9" w14:textId="0A28BE55" w:rsidR="0061685D" w:rsidRPr="00A558EA" w:rsidRDefault="00384634" w:rsidP="00920944">
      <w:pPr>
        <w:pStyle w:val="Heading1"/>
        <w:spacing w:before="120" w:after="120" w:line="288" w:lineRule="auto"/>
        <w:jc w:val="center"/>
        <w:rPr>
          <w:rFonts w:ascii="Corbel" w:hAnsi="Corbel"/>
        </w:rPr>
      </w:pPr>
      <w:r>
        <w:rPr>
          <w:rFonts w:ascii="Corbel" w:hAnsi="Corbel"/>
        </w:rPr>
        <w:t xml:space="preserve">The Landscape </w:t>
      </w:r>
      <w:r w:rsidR="00845719">
        <w:rPr>
          <w:rFonts w:ascii="Corbel" w:hAnsi="Corbel"/>
        </w:rPr>
        <w:t>Review</w:t>
      </w:r>
      <w:r w:rsidR="0061685D" w:rsidRPr="00A558EA">
        <w:rPr>
          <w:rFonts w:ascii="Corbel" w:hAnsi="Corbel"/>
        </w:rPr>
        <w:t xml:space="preserve"> of China’s Banking Industry</w:t>
      </w:r>
    </w:p>
    <w:p w14:paraId="601F1BDD" w14:textId="4DF72DE2" w:rsidR="004A6388" w:rsidRDefault="00D44042" w:rsidP="00920944">
      <w:pPr>
        <w:spacing w:before="120" w:after="120" w:line="288" w:lineRule="auto"/>
      </w:pPr>
      <w:bookmarkStart w:id="0" w:name="_Hlk55375362"/>
      <w:r>
        <w:t>China’s</w:t>
      </w:r>
      <w:r w:rsidR="00636D8B" w:rsidRPr="00A558EA">
        <w:t xml:space="preserve"> banking sector </w:t>
      </w:r>
      <w:r>
        <w:t>plays</w:t>
      </w:r>
      <w:r w:rsidR="00636D8B" w:rsidRPr="00A558EA">
        <w:t xml:space="preserve"> an essential </w:t>
      </w:r>
      <w:r>
        <w:t>role</w:t>
      </w:r>
      <w:r w:rsidR="00636D8B" w:rsidRPr="00A558EA">
        <w:t xml:space="preserve"> in </w:t>
      </w:r>
      <w:r>
        <w:t>the country’s</w:t>
      </w:r>
      <w:r w:rsidR="00636D8B" w:rsidRPr="00A558EA">
        <w:t xml:space="preserve"> economic development. According to National Bureau of Statistics, the growth of the banking sector contributes 5.4% in the increase of the GDP in 2018</w:t>
      </w:r>
      <w:r w:rsidR="00636D8B" w:rsidRPr="00A558EA">
        <w:rPr>
          <w:rStyle w:val="FootnoteReference"/>
        </w:rPr>
        <w:footnoteReference w:id="1"/>
      </w:r>
      <w:r w:rsidR="00636D8B" w:rsidRPr="00A558EA">
        <w:t xml:space="preserve">. </w:t>
      </w:r>
      <w:bookmarkEnd w:id="0"/>
      <w:r w:rsidR="004A6388">
        <w:t>T</w:t>
      </w:r>
      <w:r w:rsidR="00636D8B" w:rsidRPr="00A558EA">
        <w:t xml:space="preserve">he </w:t>
      </w:r>
      <w:r w:rsidR="004A6388">
        <w:t xml:space="preserve">total added value </w:t>
      </w:r>
      <w:r w:rsidR="009E5DC1" w:rsidRPr="00A558EA">
        <w:t xml:space="preserve">of the </w:t>
      </w:r>
      <w:r w:rsidR="004A6388">
        <w:t xml:space="preserve">financial sector is </w:t>
      </w:r>
      <w:r w:rsidR="004A6388" w:rsidRPr="00A558EA">
        <w:t>RMB</w:t>
      </w:r>
      <w:r w:rsidR="004A6388">
        <w:t xml:space="preserve"> 7,707.7 billion Yuan</w:t>
      </w:r>
      <w:r>
        <w:t xml:space="preserve"> (around $1,100 billion USD)</w:t>
      </w:r>
      <w:r w:rsidR="004A6388">
        <w:t xml:space="preserve"> in 2019, increased </w:t>
      </w:r>
      <w:r w:rsidR="00636D8B" w:rsidRPr="00A558EA">
        <w:t xml:space="preserve">by 7.2% </w:t>
      </w:r>
      <w:r w:rsidR="004A6388">
        <w:t>compared to 2018</w:t>
      </w:r>
      <w:r w:rsidR="009E5DC1" w:rsidRPr="00A558EA">
        <w:rPr>
          <w:rStyle w:val="FootnoteReference"/>
        </w:rPr>
        <w:footnoteReference w:id="2"/>
      </w:r>
      <w:r w:rsidR="009E5DC1" w:rsidRPr="00A558EA">
        <w:t xml:space="preserve">. Therefore, the performance of China’s banks attracts the increasing attention from both academics and practitioners. </w:t>
      </w:r>
      <w:bookmarkStart w:id="1" w:name="_Hlk55375255"/>
      <w:r w:rsidR="002442DF">
        <w:t xml:space="preserve">China’s banking sector has evolved </w:t>
      </w:r>
      <w:r>
        <w:t>over</w:t>
      </w:r>
      <w:r w:rsidR="002442DF">
        <w:t xml:space="preserve"> the last forty years. The reform implementation in all aspects of banking industry, the evolution of financial legislation, and the adoptions of advanced regulatory guidelines all dramatically influence the ecosystem of China’s banking sector. </w:t>
      </w:r>
      <w:r>
        <w:t>Therefore</w:t>
      </w:r>
      <w:r w:rsidR="00D518C9">
        <w:t xml:space="preserve">, </w:t>
      </w:r>
      <w:r>
        <w:t>a</w:t>
      </w:r>
      <w:r w:rsidR="00D518C9">
        <w:t xml:space="preserve"> review</w:t>
      </w:r>
      <w:r w:rsidR="00EF4F54">
        <w:t xml:space="preserve"> of China’s banking sector </w:t>
      </w:r>
      <w:r w:rsidR="00D518C9">
        <w:t xml:space="preserve">is </w:t>
      </w:r>
      <w:r w:rsidR="00A123EC">
        <w:t>useful</w:t>
      </w:r>
      <w:r>
        <w:t xml:space="preserve"> to aid understanding of this complex financial landscape. For example, </w:t>
      </w:r>
      <w:r w:rsidR="00EF4F54">
        <w:fldChar w:fldCharType="begin"/>
      </w:r>
      <w:r w:rsidR="00EF4F54">
        <w:instrText xml:space="preserve"> ADDIN EN.CITE &lt;EndNote&gt;&lt;Cite AuthorYear="1"&gt;&lt;Author&gt;Berger&lt;/Author&gt;&lt;Year&gt;2009&lt;/Year&gt;&lt;RecNum&gt;74&lt;/RecNum&gt;&lt;DisplayText&gt;Berger et al. (2009)&lt;/DisplayText&gt;&lt;record&gt;&lt;rec-number&gt;74&lt;/rec-number&gt;&lt;foreign-keys&gt;&lt;key app="EN" db-id="tewxv52070srvlesdv5x5srafe0w5fspwe2v" timestamp="1578074365"&gt;74&lt;/key&gt;&lt;key app="ENWeb" db-id=""&gt;0&lt;/key&gt;&lt;/foreign-keys&gt;&lt;ref-type name="Journal Article"&gt;17&lt;/ref-type&gt;&lt;contributors&gt;&lt;authors&gt;&lt;author&gt;Berger, Allen N.&lt;/author&gt;&lt;author&gt;Hasan, Iftekhar&lt;/author&gt;&lt;author&gt;Zhou, Mingming&lt;/author&gt;&lt;/authors&gt;&lt;/contributors&gt;&lt;titles&gt;&lt;title&gt;Bank ownership and efficiency in China: What will happen in the world’s largest nation?&lt;/title&gt;&lt;secondary-title&gt;Journal of Banking &amp;amp; Finance&lt;/secondary-title&gt;&lt;/titles&gt;&lt;periodical&gt;&lt;full-title&gt;Journal of Banking &amp;amp; Finance&lt;/full-title&gt;&lt;/periodical&gt;&lt;pages&gt;113-130&lt;/pages&gt;&lt;volume&gt;33&lt;/volume&gt;&lt;number&gt;1&lt;/number&gt;&lt;section&gt;113&lt;/section&gt;&lt;dates&gt;&lt;year&gt;2009&lt;/year&gt;&lt;/dates&gt;&lt;isbn&gt;03784266&lt;/isbn&gt;&lt;urls&gt;&lt;/urls&gt;&lt;electronic-resource-num&gt;10.1016/j.jbankfin.2007.05.016&lt;/electronic-resource-num&gt;&lt;/record&gt;&lt;/Cite&gt;&lt;/EndNote&gt;</w:instrText>
      </w:r>
      <w:r w:rsidR="00EF4F54">
        <w:fldChar w:fldCharType="separate"/>
      </w:r>
      <w:r w:rsidR="00EF4F54">
        <w:rPr>
          <w:noProof/>
        </w:rPr>
        <w:t>Berger et al. (2009)</w:t>
      </w:r>
      <w:r w:rsidR="00EF4F54">
        <w:fldChar w:fldCharType="end"/>
      </w:r>
      <w:r w:rsidR="00EF4F54">
        <w:t xml:space="preserve"> </w:t>
      </w:r>
      <w:r w:rsidR="00D518C9">
        <w:t xml:space="preserve">and </w:t>
      </w:r>
      <w:r w:rsidR="00EF4F54">
        <w:fldChar w:fldCharType="begin"/>
      </w:r>
      <w:r w:rsidR="00EF4F54">
        <w:instrText xml:space="preserve"> ADDIN EN.CITE &lt;EndNote&gt;&lt;Cite AuthorYear="1"&gt;&lt;Author&gt;Huang&lt;/Author&gt;&lt;Year&gt;2019&lt;/Year&gt;&lt;RecNum&gt;86&lt;/RecNum&gt;&lt;DisplayText&gt;Huang et al. (2019)&lt;/DisplayText&gt;&lt;record&gt;&lt;rec-number&gt;86&lt;/rec-number&gt;&lt;foreign-keys&gt;&lt;key app="EN" db-id="tewxv52070srvlesdv5x5srafe0w5fspwe2v" timestamp="1578143458"&gt;86&lt;/key&gt;&lt;key app="ENWeb" db-id=""&gt;0&lt;/key&gt;&lt;/foreign-keys&gt;&lt;ref-type name="Journal Article"&gt;17&lt;/ref-type&gt;&lt;contributors&gt;&lt;authors&gt;&lt;author&gt;Huang, Qiubin&lt;/author&gt;&lt;author&gt;De Haan, Jakob&lt;/author&gt;&lt;author&gt;Scholtens, Bert&lt;/author&gt;&lt;/authors&gt;&lt;/contributors&gt;&lt;titles&gt;&lt;title&gt;Analysing Systemic Risk in the Chinese Banking System&lt;/title&gt;&lt;secondary-title&gt;Pacific Economic Review&lt;/secondary-title&gt;&lt;/titles&gt;&lt;periodical&gt;&lt;full-title&gt;Pacific Economic Review&lt;/full-title&gt;&lt;/periodical&gt;&lt;pages&gt;348-372&lt;/pages&gt;&lt;volume&gt;24&lt;/volume&gt;&lt;number&gt;2&lt;/number&gt;&lt;section&gt;348&lt;/section&gt;&lt;dates&gt;&lt;year&gt;2019&lt;/year&gt;&lt;/dates&gt;&lt;isbn&gt;1361-374X&amp;#xD;1468-0106&lt;/isbn&gt;&lt;urls&gt;&lt;/urls&gt;&lt;electronic-resource-num&gt;10.1111/1468-0106.12212&lt;/electronic-resource-num&gt;&lt;/record&gt;&lt;/Cite&gt;&lt;/EndNote&gt;</w:instrText>
      </w:r>
      <w:r w:rsidR="00EF4F54">
        <w:fldChar w:fldCharType="separate"/>
      </w:r>
      <w:r w:rsidR="00EF4F54">
        <w:rPr>
          <w:noProof/>
        </w:rPr>
        <w:t>Huang et al. (2019)</w:t>
      </w:r>
      <w:r w:rsidR="00EF4F54">
        <w:fldChar w:fldCharType="end"/>
      </w:r>
      <w:r w:rsidR="00A123EC">
        <w:t xml:space="preserve">, among others, discuss the financial reforms to help understand the whole picture. </w:t>
      </w:r>
      <w:bookmarkEnd w:id="1"/>
    </w:p>
    <w:p w14:paraId="4C357983" w14:textId="3648A643" w:rsidR="0061685D" w:rsidRPr="00A558EA" w:rsidRDefault="009E5DC1" w:rsidP="00920944">
      <w:pPr>
        <w:spacing w:before="120" w:after="120" w:line="288" w:lineRule="auto"/>
      </w:pPr>
      <w:r w:rsidRPr="00A558EA">
        <w:t xml:space="preserve">This section </w:t>
      </w:r>
      <w:r w:rsidR="00CA3E85">
        <w:t>also provide</w:t>
      </w:r>
      <w:r w:rsidR="00D518C9">
        <w:t>s</w:t>
      </w:r>
      <w:r w:rsidRPr="00A558EA">
        <w:t xml:space="preserve"> quantitative information</w:t>
      </w:r>
      <w:r w:rsidR="00CA3E85">
        <w:t xml:space="preserve"> about bank </w:t>
      </w:r>
      <w:r w:rsidR="00A123EC">
        <w:t>performance</w:t>
      </w:r>
      <w:r w:rsidR="00CA3E85">
        <w:t xml:space="preserve"> </w:t>
      </w:r>
      <w:r w:rsidR="00A123EC">
        <w:t xml:space="preserve">through an analysis of key </w:t>
      </w:r>
      <w:r w:rsidR="00CA3E85">
        <w:t>financial ratios</w:t>
      </w:r>
      <w:r w:rsidRPr="00A558EA">
        <w:t xml:space="preserve">. </w:t>
      </w:r>
      <w:bookmarkStart w:id="2" w:name="_Hlk55375394"/>
      <w:r w:rsidRPr="00A558EA">
        <w:t>Part I reviews China’s banking sector, mainly focusing on China’s financial</w:t>
      </w:r>
      <w:r w:rsidR="001222F2" w:rsidRPr="00A558EA">
        <w:t xml:space="preserve"> </w:t>
      </w:r>
      <w:r w:rsidR="00AB061D" w:rsidRPr="00A558EA">
        <w:t>reform</w:t>
      </w:r>
      <w:r w:rsidR="009D2060">
        <w:t>s</w:t>
      </w:r>
      <w:r w:rsidR="00AB061D" w:rsidRPr="00A558EA">
        <w:t>,</w:t>
      </w:r>
      <w:r w:rsidR="001222F2" w:rsidRPr="00A558EA">
        <w:t xml:space="preserve"> and providing a foundation for the mechanism of current China’s banking industry. Part II </w:t>
      </w:r>
      <w:r w:rsidR="00A123EC">
        <w:t xml:space="preserve">provides an overview </w:t>
      </w:r>
      <w:r w:rsidR="001222F2" w:rsidRPr="00A558EA">
        <w:t xml:space="preserve">of the regulatory framework of China’s banking sector. Part III displays and investigates </w:t>
      </w:r>
      <w:r w:rsidR="00A123EC">
        <w:t xml:space="preserve">some essential </w:t>
      </w:r>
      <w:r w:rsidR="001222F2" w:rsidRPr="00A558EA">
        <w:t xml:space="preserve">financial ratios of China’s banks, supplementing the </w:t>
      </w:r>
      <w:r w:rsidR="00D518C9">
        <w:t>review</w:t>
      </w:r>
      <w:r w:rsidR="001222F2" w:rsidRPr="00A558EA">
        <w:t xml:space="preserve"> of China’s banking industry</w:t>
      </w:r>
      <w:r w:rsidR="00D518C9">
        <w:t xml:space="preserve"> from the quantitative angle. </w:t>
      </w:r>
      <w:bookmarkEnd w:id="2"/>
      <w:r w:rsidR="001222F2" w:rsidRPr="00A558EA">
        <w:t xml:space="preserve"> </w:t>
      </w:r>
    </w:p>
    <w:p w14:paraId="16147B10" w14:textId="4E77CC27" w:rsidR="0061685D" w:rsidRPr="00A558EA" w:rsidRDefault="001222F2" w:rsidP="00607D4D">
      <w:pPr>
        <w:pStyle w:val="Heading2"/>
        <w:rPr>
          <w:rFonts w:ascii="Corbel" w:hAnsi="Corbel"/>
        </w:rPr>
      </w:pPr>
      <w:r w:rsidRPr="00A558EA">
        <w:rPr>
          <w:rFonts w:ascii="Corbel" w:hAnsi="Corbel"/>
        </w:rPr>
        <w:t>Part I</w:t>
      </w:r>
      <w:r w:rsidR="005150CD" w:rsidRPr="00A558EA">
        <w:rPr>
          <w:rFonts w:ascii="Corbel" w:hAnsi="Corbel"/>
        </w:rPr>
        <w:t>:</w:t>
      </w:r>
      <w:r w:rsidRPr="00A558EA">
        <w:rPr>
          <w:rFonts w:ascii="Corbel" w:hAnsi="Corbel"/>
        </w:rPr>
        <w:t xml:space="preserve"> </w:t>
      </w:r>
      <w:r w:rsidR="00A123EC">
        <w:rPr>
          <w:rFonts w:ascii="Corbel" w:hAnsi="Corbel"/>
        </w:rPr>
        <w:t>Chinese</w:t>
      </w:r>
      <w:r w:rsidR="0061685D" w:rsidRPr="00A558EA">
        <w:rPr>
          <w:rFonts w:ascii="Corbel" w:hAnsi="Corbel"/>
        </w:rPr>
        <w:t xml:space="preserve"> Banking Sector</w:t>
      </w:r>
      <w:r w:rsidR="00A123EC">
        <w:rPr>
          <w:rFonts w:ascii="Corbel" w:hAnsi="Corbel"/>
        </w:rPr>
        <w:t xml:space="preserve"> Reforms</w:t>
      </w:r>
    </w:p>
    <w:p w14:paraId="1569B5A7" w14:textId="615E35A3" w:rsidR="0054293E" w:rsidRDefault="0061685D" w:rsidP="00920944">
      <w:pPr>
        <w:spacing w:before="120" w:after="120" w:line="288" w:lineRule="auto"/>
      </w:pPr>
      <w:r w:rsidRPr="00A558EA">
        <w:t xml:space="preserve">The Chinese banking system </w:t>
      </w:r>
      <w:r w:rsidR="00A123EC">
        <w:t>has been reformed</w:t>
      </w:r>
      <w:r w:rsidRPr="00A558EA">
        <w:t xml:space="preserve"> as part of the country’s </w:t>
      </w:r>
      <w:r w:rsidR="00A123EC">
        <w:t xml:space="preserve">overall </w:t>
      </w:r>
      <w:r w:rsidRPr="00A558EA">
        <w:t xml:space="preserve">economic reform and structural adjustments </w:t>
      </w:r>
      <w:r w:rsidR="000A0603">
        <w:t>since 1978</w:t>
      </w:r>
      <w:r w:rsidRPr="00A558EA">
        <w:t xml:space="preserve">. </w:t>
      </w:r>
      <w:r w:rsidR="00845719" w:rsidRPr="00A558EA">
        <w:t xml:space="preserve">During </w:t>
      </w:r>
      <w:r w:rsidR="00845719">
        <w:t>this period</w:t>
      </w:r>
      <w:r w:rsidR="00845719" w:rsidRPr="00A558EA">
        <w:t xml:space="preserve">, almost all aspects of the Chinese banking industry have transformed and </w:t>
      </w:r>
      <w:r w:rsidR="000A0603">
        <w:t>matured</w:t>
      </w:r>
      <w:r w:rsidR="00845719" w:rsidRPr="00A558EA">
        <w:t>, from ownership structure</w:t>
      </w:r>
      <w:r w:rsidR="00845719">
        <w:t>s</w:t>
      </w:r>
      <w:r w:rsidR="00845719" w:rsidRPr="00A558EA">
        <w:t xml:space="preserve"> to marketization, </w:t>
      </w:r>
      <w:r w:rsidR="000A0603">
        <w:t xml:space="preserve">to </w:t>
      </w:r>
      <w:r w:rsidR="00845719" w:rsidRPr="00A558EA">
        <w:t>product diversification</w:t>
      </w:r>
      <w:r w:rsidR="000A0603">
        <w:t xml:space="preserve">, and </w:t>
      </w:r>
      <w:r w:rsidR="00845719" w:rsidRPr="00A558EA">
        <w:t xml:space="preserve">to new technology. </w:t>
      </w:r>
      <w:r w:rsidR="000A0603">
        <w:t>The l</w:t>
      </w:r>
      <w:r w:rsidRPr="00A558EA">
        <w:t xml:space="preserve">iterature </w:t>
      </w:r>
      <w:r w:rsidR="0054293E">
        <w:t xml:space="preserve">commonly </w:t>
      </w:r>
      <w:r w:rsidR="000A0603">
        <w:t>identifies</w:t>
      </w:r>
      <w:r w:rsidRPr="00A558EA">
        <w:t xml:space="preserve"> three stages/waves of banking system reforms in the period before 2010: since 1978 to the early 1990s; during the 1990s until 2001 China’s accession to the </w:t>
      </w:r>
      <w:r w:rsidR="000A0603">
        <w:t>World Trade Organization (</w:t>
      </w:r>
      <w:r w:rsidRPr="00A558EA">
        <w:t>WTO</w:t>
      </w:r>
      <w:r w:rsidR="000A0603">
        <w:t>)</w:t>
      </w:r>
      <w:r w:rsidRPr="00A558EA">
        <w:t xml:space="preserve">; and since the entry of the WTO, through five years of transitional time until 2010. </w:t>
      </w:r>
      <w:r w:rsidRPr="00A558EA">
        <w:fldChar w:fldCharType="begin">
          <w:fldData xml:space="preserve">PEVuZE5vdGU+PENpdGU+PEF1dGhvcj5CZXJnZXI8L0F1dGhvcj48WWVhcj4yMDA5PC9ZZWFyPjxS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</w:fldData>
        </w:fldChar>
      </w:r>
      <w:r w:rsidR="00BD60A0">
        <w:instrText xml:space="preserve"> ADDIN EN.CITE </w:instrText>
      </w:r>
      <w:r w:rsidR="00BD60A0">
        <w:fldChar w:fldCharType="begin">
          <w:fldData xml:space="preserve">PEVuZE5vdGU+PENpdGU+PEF1dGhvcj5CZXJnZXI8L0F1dGhvcj48WWVhcj4yMDA5PC9ZZWFyPjxS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</w:fldData>
        </w:fldChar>
      </w:r>
      <w:r w:rsidR="00BD60A0">
        <w:instrText xml:space="preserve"> ADDIN EN.CITE.DATA </w:instrText>
      </w:r>
      <w:r w:rsidR="00BD60A0">
        <w:fldChar w:fldCharType="end"/>
      </w:r>
      <w:r w:rsidRPr="00A558EA">
        <w:fldChar w:fldCharType="separate"/>
      </w:r>
      <w:r w:rsidRPr="00A558EA">
        <w:rPr>
          <w:noProof/>
        </w:rPr>
        <w:t>(Berger et al., 2009, Wang et al., 2014, Dong et al., 2017)</w:t>
      </w:r>
      <w:r w:rsidRPr="00A558EA">
        <w:fldChar w:fldCharType="end"/>
      </w:r>
      <w:r w:rsidRPr="00A558EA">
        <w:t xml:space="preserve"> In 2010 China became the world’s second large economy </w:t>
      </w:r>
      <w:r w:rsidR="000A0603">
        <w:t>based on</w:t>
      </w:r>
      <w:r w:rsidRPr="00A558EA">
        <w:t xml:space="preserve"> the Gross Domestic Product (GDP)</w:t>
      </w:r>
      <w:r w:rsidR="007F7B6B">
        <w:t xml:space="preserve"> of $6,078 billion USD</w:t>
      </w:r>
      <w:r w:rsidR="007F7B6B">
        <w:rPr>
          <w:rStyle w:val="FootnoteReference"/>
        </w:rPr>
        <w:footnoteReference w:id="3"/>
      </w:r>
      <w:r w:rsidRPr="00A558EA">
        <w:t>. Since then, the reform</w:t>
      </w:r>
      <w:r w:rsidR="005C2A2E">
        <w:t>s</w:t>
      </w:r>
      <w:r w:rsidRPr="00A558EA">
        <w:t xml:space="preserve"> of China’s banking sector </w:t>
      </w:r>
      <w:r w:rsidR="005C2A2E">
        <w:t>have</w:t>
      </w:r>
      <w:r w:rsidRPr="00A558EA">
        <w:t xml:space="preserve"> </w:t>
      </w:r>
      <w:r w:rsidR="007F7B6B">
        <w:t>led to</w:t>
      </w:r>
      <w:r w:rsidRPr="00A558EA">
        <w:t xml:space="preserve"> an in-depth transformation which </w:t>
      </w:r>
      <w:r w:rsidR="007F7B6B">
        <w:t>is generally</w:t>
      </w:r>
      <w:r w:rsidR="005C2A2E">
        <w:t xml:space="preserve"> considered as</w:t>
      </w:r>
      <w:r w:rsidRPr="00A558EA">
        <w:t xml:space="preserve"> the fourth </w:t>
      </w:r>
      <w:r w:rsidR="007F7B6B">
        <w:t>phase</w:t>
      </w:r>
      <w:r w:rsidRPr="00A558EA">
        <w:t xml:space="preserve"> of the financial reforms. In </w:t>
      </w:r>
      <w:r w:rsidR="007F7B6B">
        <w:t>Part I of this review</w:t>
      </w:r>
      <w:r w:rsidRPr="00A558EA">
        <w:t xml:space="preserve">, we present an overview of the </w:t>
      </w:r>
      <w:r w:rsidR="007F7B6B">
        <w:t xml:space="preserve">structural and regulatory </w:t>
      </w:r>
      <w:r w:rsidRPr="00A558EA">
        <w:t xml:space="preserve">changes of China’s banking </w:t>
      </w:r>
      <w:r w:rsidRPr="00A558EA">
        <w:lastRenderedPageBreak/>
        <w:t xml:space="preserve">sector. </w:t>
      </w:r>
      <w:r w:rsidR="00EC5796">
        <w:t xml:space="preserve">The timeline and some of the milestones concerning China’s financial reforms can be found in </w:t>
      </w:r>
      <w:r w:rsidR="0054293E">
        <w:t>the following figure</w:t>
      </w:r>
      <w:r w:rsidR="00EC5796">
        <w:t>.</w:t>
      </w:r>
    </w:p>
    <w:p w14:paraId="346EF1F6" w14:textId="77777777" w:rsidR="0054293E" w:rsidRDefault="0054293E" w:rsidP="0054293E">
      <w:pPr>
        <w:pStyle w:val="BodyText"/>
        <w:rPr>
          <w:rFonts w:ascii="Corbel" w:hAnsi="Corbel"/>
        </w:rPr>
        <w:sectPr w:rsidR="0054293E" w:rsidSect="008664B1">
          <w:footerReference w:type="default" r:id="rId8"/>
          <w:pgSz w:w="12240" w:h="15840" w:code="1"/>
          <w:pgMar w:top="1440" w:right="1800" w:bottom="1440" w:left="1800" w:header="720" w:footer="720" w:gutter="0"/>
          <w:cols w:space="720"/>
          <w:docGrid w:linePitch="360"/>
        </w:sectPr>
      </w:pPr>
    </w:p>
    <w:p w14:paraId="5BCE8A68" w14:textId="07B92FC4" w:rsidR="0054293E" w:rsidRPr="0054293E" w:rsidRDefault="0054293E" w:rsidP="0046478A">
      <w:pPr>
        <w:pStyle w:val="BodyText"/>
        <w:rPr>
          <w:rFonts w:ascii="Corbel" w:hAnsi="Corbel"/>
        </w:rPr>
      </w:pPr>
    </w:p>
    <w:p w14:paraId="186C45CF" w14:textId="1BD91976" w:rsidR="0054293E" w:rsidRDefault="007F7B6B" w:rsidP="0046478A">
      <w:pPr>
        <w:jc w:val="distribute"/>
      </w:pPr>
      <w:r w:rsidRPr="0054293E">
        <w:rPr>
          <w:noProof/>
        </w:rPr>
        <mc:AlternateContent>
          <mc:Choice Requires="wps">
            <w:drawing>
              <wp:anchor distT="0" distB="0" distL="114300" distR="114300" simplePos="0" relativeHeight="251706368" behindDoc="0" locked="0" layoutInCell="1" allowOverlap="1" wp14:anchorId="3ED150EB" wp14:editId="57853FBB">
                <wp:simplePos x="0" y="0"/>
                <wp:positionH relativeFrom="column">
                  <wp:posOffset>1963420</wp:posOffset>
                </wp:positionH>
                <wp:positionV relativeFrom="paragraph">
                  <wp:posOffset>48895</wp:posOffset>
                </wp:positionV>
                <wp:extent cx="4269105" cy="325755"/>
                <wp:effectExtent l="0" t="0" r="0" b="0"/>
                <wp:wrapSquare wrapText="bothSides"/>
                <wp:docPr id="5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9105" cy="3257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F7CA23" w14:textId="4AF0384E" w:rsidR="00E10EE6" w:rsidRPr="0054293E" w:rsidRDefault="00E10EE6" w:rsidP="0054293E">
                            <w:pPr>
                              <w:jc w:val="center"/>
                              <w:rPr>
                                <w:rFonts w:cs="Arial"/>
                                <w:b/>
                                <w:bCs/>
                                <w:sz w:val="32"/>
                                <w:szCs w:val="32"/>
                              </w:rPr>
                            </w:pPr>
                            <w:r>
                              <w:rPr>
                                <w:rFonts w:cs="Arial"/>
                                <w:b/>
                                <w:bCs/>
                                <w:sz w:val="32"/>
                                <w:szCs w:val="32"/>
                              </w:rPr>
                              <w:t xml:space="preserve">Figure 1: </w:t>
                            </w:r>
                            <w:r w:rsidRPr="0054293E">
                              <w:rPr>
                                <w:rFonts w:cs="Arial"/>
                                <w:b/>
                                <w:bCs/>
                                <w:sz w:val="32"/>
                                <w:szCs w:val="32"/>
                              </w:rPr>
                              <w:t xml:space="preserve">The </w:t>
                            </w:r>
                            <w:r>
                              <w:rPr>
                                <w:rFonts w:cs="Arial"/>
                                <w:b/>
                                <w:bCs/>
                                <w:sz w:val="32"/>
                                <w:szCs w:val="32"/>
                              </w:rPr>
                              <w:t xml:space="preserve">Financial </w:t>
                            </w:r>
                            <w:r w:rsidRPr="0054293E">
                              <w:rPr>
                                <w:rFonts w:cs="Arial"/>
                                <w:b/>
                                <w:bCs/>
                                <w:sz w:val="32"/>
                                <w:szCs w:val="32"/>
                              </w:rPr>
                              <w:t>Reform Timeline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D150EB" id="_x0000_t202" coordsize="21600,21600" o:spt="202" path="m,l,21600r21600,l21600,xe">
                <v:stroke joinstyle="miter"/>
                <v:path gradientshapeok="t" o:connecttype="rect"/>
              </v:shapetype>
              <v:shape id="Text Box 13" o:spid="_x0000_s1026" type="#_x0000_t202" style="position:absolute;left:0;text-align:left;margin-left:154.6pt;margin-top:3.85pt;width:336.15pt;height:25.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" stroked="f">
                <v:textbox>
                  <w:txbxContent>
                    <w:p w14:paraId="50F7CA23" w14:textId="4AF0384E" w:rsidR="00E10EE6" w:rsidRPr="0054293E" w:rsidRDefault="00E10EE6" w:rsidP="0054293E">
                      <w:pPr>
                        <w:jc w:val="center"/>
                        <w:rPr>
                          <w:rFonts w:cs="Arial"/>
                          <w:b/>
                          <w:bCs/>
                          <w:sz w:val="32"/>
                          <w:szCs w:val="32"/>
                        </w:rPr>
                      </w:pPr>
                      <w:r>
                        <w:rPr>
                          <w:rFonts w:cs="Arial"/>
                          <w:b/>
                          <w:bCs/>
                          <w:sz w:val="32"/>
                          <w:szCs w:val="32"/>
                        </w:rPr>
                        <w:t xml:space="preserve">Figure 1: </w:t>
                      </w:r>
                      <w:r w:rsidRPr="0054293E">
                        <w:rPr>
                          <w:rFonts w:cs="Arial"/>
                          <w:b/>
                          <w:bCs/>
                          <w:sz w:val="32"/>
                          <w:szCs w:val="32"/>
                        </w:rPr>
                        <w:t xml:space="preserve">The </w:t>
                      </w:r>
                      <w:r>
                        <w:rPr>
                          <w:rFonts w:cs="Arial"/>
                          <w:b/>
                          <w:bCs/>
                          <w:sz w:val="32"/>
                          <w:szCs w:val="32"/>
                        </w:rPr>
                        <w:t xml:space="preserve">Financial </w:t>
                      </w:r>
                      <w:r w:rsidRPr="0054293E">
                        <w:rPr>
                          <w:rFonts w:cs="Arial"/>
                          <w:b/>
                          <w:bCs/>
                          <w:sz w:val="32"/>
                          <w:szCs w:val="32"/>
                        </w:rPr>
                        <w:t>Reform Timeline</w:t>
                      </w:r>
                    </w:p>
                  </w:txbxContent>
                </v:textbox>
                <w10:wrap type="square"/>
              </v:shape>
            </w:pict>
          </mc:Fallback>
        </mc:AlternateContent>
      </w:r>
      <w:r w:rsidR="00006585" w:rsidRPr="0054293E">
        <w:rPr>
          <w:noProof/>
        </w:rPr>
        <mc:AlternateContent>
          <mc:Choice Requires="wps">
            <w:drawing>
              <wp:anchor distT="0" distB="0" distL="114300" distR="114300" simplePos="0" relativeHeight="251720704" behindDoc="0" locked="0" layoutInCell="1" allowOverlap="1" wp14:anchorId="3993D7E3" wp14:editId="2BF2F2E5">
                <wp:simplePos x="0" y="0"/>
                <wp:positionH relativeFrom="column">
                  <wp:posOffset>3498215</wp:posOffset>
                </wp:positionH>
                <wp:positionV relativeFrom="paragraph">
                  <wp:posOffset>2477135</wp:posOffset>
                </wp:positionV>
                <wp:extent cx="790575" cy="1212215"/>
                <wp:effectExtent l="0" t="19050" r="28575" b="26035"/>
                <wp:wrapTopAndBottom/>
                <wp:docPr id="66"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0575" cy="1212215"/>
                        </a:xfrm>
                        <a:prstGeom prst="upArrowCallout">
                          <a:avLst>
                            <a:gd name="adj1" fmla="val 25000"/>
                            <a:gd name="adj2" fmla="val 25000"/>
                            <a:gd name="adj3" fmla="val 33333"/>
                            <a:gd name="adj4" fmla="val 66667"/>
                          </a:avLst>
                        </a:prstGeom>
                        <a:solidFill>
                          <a:srgbClr val="FFFFFF"/>
                        </a:solidFill>
                        <a:ln w="9525">
                          <a:solidFill>
                            <a:srgbClr val="000000"/>
                          </a:solidFill>
                          <a:miter lim="800000"/>
                          <a:headEnd/>
                          <a:tailEnd/>
                        </a:ln>
                      </wps:spPr>
                      <wps:txbx>
                        <w:txbxContent>
                          <w:p w14:paraId="77EEB56C" w14:textId="0FF70DC3" w:rsidR="00E10EE6" w:rsidRPr="0046478A" w:rsidRDefault="00E10EE6" w:rsidP="0046478A">
                            <w:pPr>
                              <w:rPr>
                                <w:sz w:val="20"/>
                                <w:szCs w:val="20"/>
                              </w:rPr>
                            </w:pPr>
                            <w:r w:rsidRPr="0046478A">
                              <w:rPr>
                                <w:sz w:val="20"/>
                                <w:szCs w:val="20"/>
                              </w:rPr>
                              <w:t>China got accession to the WTO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93D7E3" id="_x0000_t79" coordsize="21600,21600" o:spt="79" adj="7200,5400,3600,8100" path="m0@0l@3@0@3@2@1@2,10800,0@4@2@5@2@5@0,21600@0,21600,21600,,21600xe">
                <v:stroke joinstyle="miter"/>
                <v:formulas>
                  <v:f eqn="val #0"/>
                  <v:f eqn="val #1"/>
                  <v:f eqn="val #2"/>
                  <v:f eqn="val #3"/>
                  <v:f eqn="sum 21600 0 #1"/>
                  <v:f eqn="sum 21600 0 #3"/>
                  <v:f eqn="sum #0 21600 0"/>
                  <v:f eqn="prod @6 1 2"/>
                </v:formulas>
                <v:path o:connecttype="custom" o:connectlocs="10800,0;0,@7;10800,21600;21600,@7" o:connectangles="270,180,90,0" textboxrect="0,@0,21600,21600"/>
                <v:handles>
                  <v:h position="topLeft,#0" yrange="@2,21600"/>
                  <v:h position="#1,topLeft" xrange="0,@3"/>
                  <v:h position="#3,#2" xrange="@1,10800" yrange="0,@0"/>
                </v:handles>
              </v:shapetype>
              <v:shape id="AutoShape 9" o:spid="_x0000_s1027" type="#_x0000_t79" style="position:absolute;left:0;text-align:left;margin-left:275.45pt;margin-top:195.05pt;width:62.25pt;height:95.4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" adj=",,4696">
                <v:textbox>
                  <w:txbxContent>
                    <w:p w14:paraId="77EEB56C" w14:textId="0FF70DC3" w:rsidR="00E10EE6" w:rsidRPr="0046478A" w:rsidRDefault="00E10EE6" w:rsidP="0046478A">
                      <w:pPr>
                        <w:rPr>
                          <w:sz w:val="20"/>
                          <w:szCs w:val="20"/>
                        </w:rPr>
                      </w:pPr>
                      <w:r w:rsidRPr="0046478A">
                        <w:rPr>
                          <w:sz w:val="20"/>
                          <w:szCs w:val="20"/>
                        </w:rPr>
                        <w:t>China got accession to the WTO</w:t>
                      </w:r>
                    </w:p>
                  </w:txbxContent>
                </v:textbox>
                <w10:wrap type="topAndBottom"/>
              </v:shape>
            </w:pict>
          </mc:Fallback>
        </mc:AlternateContent>
      </w:r>
      <w:r w:rsidR="00006585" w:rsidRPr="0054293E">
        <w:rPr>
          <w:noProof/>
        </w:rPr>
        <mc:AlternateContent>
          <mc:Choice Requires="wps">
            <w:drawing>
              <wp:anchor distT="0" distB="0" distL="114300" distR="114300" simplePos="0" relativeHeight="251703296" behindDoc="0" locked="0" layoutInCell="1" allowOverlap="1" wp14:anchorId="00DBE97C" wp14:editId="430AF683">
                <wp:simplePos x="0" y="0"/>
                <wp:positionH relativeFrom="column">
                  <wp:posOffset>1605915</wp:posOffset>
                </wp:positionH>
                <wp:positionV relativeFrom="paragraph">
                  <wp:posOffset>2477135</wp:posOffset>
                </wp:positionV>
                <wp:extent cx="858520" cy="1212215"/>
                <wp:effectExtent l="0" t="19050" r="17780" b="26035"/>
                <wp:wrapTopAndBottom/>
                <wp:docPr id="55"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8520" cy="1212215"/>
                        </a:xfrm>
                        <a:prstGeom prst="upArrowCallout">
                          <a:avLst>
                            <a:gd name="adj1" fmla="val 25000"/>
                            <a:gd name="adj2" fmla="val 25000"/>
                            <a:gd name="adj3" fmla="val 33333"/>
                            <a:gd name="adj4" fmla="val 66667"/>
                          </a:avLst>
                        </a:prstGeom>
                        <a:solidFill>
                          <a:srgbClr val="FFFFFF"/>
                        </a:solidFill>
                        <a:ln w="9525">
                          <a:solidFill>
                            <a:srgbClr val="000000"/>
                          </a:solidFill>
                          <a:miter lim="800000"/>
                          <a:headEnd/>
                          <a:tailEnd/>
                        </a:ln>
                      </wps:spPr>
                      <wps:txbx>
                        <w:txbxContent>
                          <w:p w14:paraId="39746F0A" w14:textId="04878862" w:rsidR="00E10EE6" w:rsidRPr="0046478A" w:rsidRDefault="00E10EE6" w:rsidP="0054293E">
                            <w:pPr>
                              <w:rPr>
                                <w:sz w:val="20"/>
                                <w:szCs w:val="20"/>
                              </w:rPr>
                            </w:pPr>
                            <w:r w:rsidRPr="0046478A">
                              <w:rPr>
                                <w:sz w:val="20"/>
                                <w:szCs w:val="20"/>
                              </w:rPr>
                              <w:t xml:space="preserve">Foreign banks allowed entry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DBE97C" id="_x0000_s1028" type="#_x0000_t79" style="position:absolute;left:0;text-align:left;margin-left:126.45pt;margin-top:195.05pt;width:67.6pt;height:95.4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" adj=",,5099">
                <v:textbox>
                  <w:txbxContent>
                    <w:p w14:paraId="39746F0A" w14:textId="04878862" w:rsidR="00E10EE6" w:rsidRPr="0046478A" w:rsidRDefault="00E10EE6" w:rsidP="0054293E">
                      <w:pPr>
                        <w:rPr>
                          <w:sz w:val="20"/>
                          <w:szCs w:val="20"/>
                        </w:rPr>
                      </w:pPr>
                      <w:r w:rsidRPr="0046478A">
                        <w:rPr>
                          <w:sz w:val="20"/>
                          <w:szCs w:val="20"/>
                        </w:rPr>
                        <w:t xml:space="preserve">Foreign banks allowed entry </w:t>
                      </w:r>
                    </w:p>
                  </w:txbxContent>
                </v:textbox>
                <w10:wrap type="topAndBottom"/>
              </v:shape>
            </w:pict>
          </mc:Fallback>
        </mc:AlternateContent>
      </w:r>
      <w:r w:rsidR="00006585" w:rsidRPr="0054293E">
        <w:rPr>
          <w:noProof/>
        </w:rPr>
        <mc:AlternateContent>
          <mc:Choice Requires="wps">
            <w:drawing>
              <wp:anchor distT="0" distB="0" distL="114300" distR="114300" simplePos="0" relativeHeight="251704320" behindDoc="0" locked="0" layoutInCell="1" allowOverlap="1" wp14:anchorId="780F2E59" wp14:editId="5940325A">
                <wp:simplePos x="0" y="0"/>
                <wp:positionH relativeFrom="column">
                  <wp:posOffset>5732780</wp:posOffset>
                </wp:positionH>
                <wp:positionV relativeFrom="paragraph">
                  <wp:posOffset>2484755</wp:posOffset>
                </wp:positionV>
                <wp:extent cx="800100" cy="1204595"/>
                <wp:effectExtent l="0" t="19050" r="19050" b="14605"/>
                <wp:wrapTopAndBottom/>
                <wp:docPr id="46"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1204595"/>
                        </a:xfrm>
                        <a:prstGeom prst="upArrowCallout">
                          <a:avLst>
                            <a:gd name="adj1" fmla="val 25000"/>
                            <a:gd name="adj2" fmla="val 25000"/>
                            <a:gd name="adj3" fmla="val 28571"/>
                            <a:gd name="adj4" fmla="val 66667"/>
                          </a:avLst>
                        </a:prstGeom>
                        <a:solidFill>
                          <a:srgbClr val="FFFFFF"/>
                        </a:solidFill>
                        <a:ln w="9525">
                          <a:solidFill>
                            <a:srgbClr val="000000"/>
                          </a:solidFill>
                          <a:miter lim="800000"/>
                          <a:headEnd/>
                          <a:tailEnd/>
                        </a:ln>
                      </wps:spPr>
                      <wps:txbx>
                        <w:txbxContent>
                          <w:p w14:paraId="3766E76E" w14:textId="37C3A28E" w:rsidR="00E10EE6" w:rsidRPr="0046478A" w:rsidRDefault="00E10EE6" w:rsidP="0054293E">
                            <w:pPr>
                              <w:rPr>
                                <w:sz w:val="20"/>
                                <w:szCs w:val="20"/>
                              </w:rPr>
                            </w:pPr>
                            <w:r w:rsidRPr="0046478A">
                              <w:rPr>
                                <w:sz w:val="20"/>
                                <w:szCs w:val="20"/>
                              </w:rPr>
                              <w:t>Adoption of Basel III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0F2E59" id="AutoShape 10" o:spid="_x0000_s1029" type="#_x0000_t79" style="position:absolute;left:0;text-align:left;margin-left:451.4pt;margin-top:195.65pt;width:63pt;height:94.8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" adj=",,4099">
                <v:textbox>
                  <w:txbxContent>
                    <w:p w14:paraId="3766E76E" w14:textId="37C3A28E" w:rsidR="00E10EE6" w:rsidRPr="0046478A" w:rsidRDefault="00E10EE6" w:rsidP="0054293E">
                      <w:pPr>
                        <w:rPr>
                          <w:sz w:val="20"/>
                          <w:szCs w:val="20"/>
                        </w:rPr>
                      </w:pPr>
                      <w:r w:rsidRPr="0046478A">
                        <w:rPr>
                          <w:sz w:val="20"/>
                          <w:szCs w:val="20"/>
                        </w:rPr>
                        <w:t>Adoption of Basel III</w:t>
                      </w:r>
                    </w:p>
                  </w:txbxContent>
                </v:textbox>
                <w10:wrap type="topAndBottom"/>
              </v:shape>
            </w:pict>
          </mc:Fallback>
        </mc:AlternateContent>
      </w:r>
      <w:r w:rsidR="0046478A" w:rsidRPr="0054293E">
        <w:rPr>
          <w:noProof/>
        </w:rPr>
        <mc:AlternateContent>
          <mc:Choice Requires="wps">
            <w:drawing>
              <wp:anchor distT="0" distB="0" distL="114300" distR="114300" simplePos="0" relativeHeight="251709440" behindDoc="0" locked="0" layoutInCell="1" allowOverlap="1" wp14:anchorId="28910759" wp14:editId="11CE25DC">
                <wp:simplePos x="0" y="0"/>
                <wp:positionH relativeFrom="column">
                  <wp:posOffset>4587875</wp:posOffset>
                </wp:positionH>
                <wp:positionV relativeFrom="paragraph">
                  <wp:posOffset>2485390</wp:posOffset>
                </wp:positionV>
                <wp:extent cx="763270" cy="1204595"/>
                <wp:effectExtent l="0" t="19050" r="17780" b="14605"/>
                <wp:wrapTopAndBottom/>
                <wp:docPr id="47"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1204595"/>
                        </a:xfrm>
                        <a:prstGeom prst="upArrowCallout">
                          <a:avLst>
                            <a:gd name="adj1" fmla="val 25000"/>
                            <a:gd name="adj2" fmla="val 25000"/>
                            <a:gd name="adj3" fmla="val 18750"/>
                            <a:gd name="adj4" fmla="val 66667"/>
                          </a:avLst>
                        </a:prstGeom>
                        <a:solidFill>
                          <a:srgbClr val="FFFFFF"/>
                        </a:solidFill>
                        <a:ln w="9525">
                          <a:solidFill>
                            <a:srgbClr val="000000"/>
                          </a:solidFill>
                          <a:miter lim="800000"/>
                          <a:headEnd/>
                          <a:tailEnd/>
                        </a:ln>
                      </wps:spPr>
                      <wps:txbx>
                        <w:txbxContent>
                          <w:p w14:paraId="224618F2" w14:textId="77777777" w:rsidR="00E10EE6" w:rsidRPr="0046478A" w:rsidRDefault="00E10EE6" w:rsidP="0054293E">
                            <w:pPr>
                              <w:rPr>
                                <w:sz w:val="20"/>
                                <w:szCs w:val="20"/>
                              </w:rPr>
                            </w:pPr>
                            <w:r w:rsidRPr="0046478A">
                              <w:rPr>
                                <w:sz w:val="20"/>
                                <w:szCs w:val="20"/>
                              </w:rPr>
                              <w:t>Foreign banks’ restriction lifted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910759" id="AutoShape 11" o:spid="_x0000_s1030" type="#_x0000_t79" style="position:absolute;left:0;text-align:left;margin-left:361.25pt;margin-top:195.7pt;width:60.1pt;height:94.8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" adj=",,2566">
                <v:textbox>
                  <w:txbxContent>
                    <w:p w14:paraId="224618F2" w14:textId="77777777" w:rsidR="00E10EE6" w:rsidRPr="0046478A" w:rsidRDefault="00E10EE6" w:rsidP="0054293E">
                      <w:pPr>
                        <w:rPr>
                          <w:sz w:val="20"/>
                          <w:szCs w:val="20"/>
                        </w:rPr>
                      </w:pPr>
                      <w:r w:rsidRPr="0046478A">
                        <w:rPr>
                          <w:sz w:val="20"/>
                          <w:szCs w:val="20"/>
                        </w:rPr>
                        <w:t>Foreign banks’ restriction lifted</w:t>
                      </w:r>
                    </w:p>
                  </w:txbxContent>
                </v:textbox>
                <w10:wrap type="topAndBottom"/>
              </v:shape>
            </w:pict>
          </mc:Fallback>
        </mc:AlternateContent>
      </w:r>
      <w:r w:rsidR="0046478A" w:rsidRPr="0054293E">
        <w:rPr>
          <w:noProof/>
          <w:sz w:val="20"/>
          <w:szCs w:val="20"/>
        </w:rPr>
        <mc:AlternateContent>
          <mc:Choice Requires="wps">
            <w:drawing>
              <wp:anchor distT="0" distB="0" distL="114300" distR="114300" simplePos="0" relativeHeight="251718656" behindDoc="0" locked="0" layoutInCell="1" allowOverlap="1" wp14:anchorId="0299BD63" wp14:editId="036304E2">
                <wp:simplePos x="0" y="0"/>
                <wp:positionH relativeFrom="column">
                  <wp:posOffset>5557823</wp:posOffset>
                </wp:positionH>
                <wp:positionV relativeFrom="paragraph">
                  <wp:posOffset>1165695</wp:posOffset>
                </wp:positionV>
                <wp:extent cx="762000" cy="1028700"/>
                <wp:effectExtent l="0" t="0" r="19050" b="38100"/>
                <wp:wrapTopAndBottom/>
                <wp:docPr id="61"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1028700"/>
                        </a:xfrm>
                        <a:prstGeom prst="downArrowCallout">
                          <a:avLst>
                            <a:gd name="adj1" fmla="val 25000"/>
                            <a:gd name="adj2" fmla="val 25000"/>
                            <a:gd name="adj3" fmla="val 30000"/>
                            <a:gd name="adj4" fmla="val 66667"/>
                          </a:avLst>
                        </a:prstGeom>
                        <a:solidFill>
                          <a:srgbClr val="FFFFFF"/>
                        </a:solidFill>
                        <a:ln w="9525">
                          <a:solidFill>
                            <a:srgbClr val="000000"/>
                          </a:solidFill>
                          <a:miter lim="800000"/>
                          <a:headEnd/>
                          <a:tailEnd/>
                        </a:ln>
                      </wps:spPr>
                      <wps:txbx>
                        <w:txbxContent>
                          <w:p w14:paraId="58971223" w14:textId="7329326B" w:rsidR="00E10EE6" w:rsidRPr="005D61D3" w:rsidRDefault="00E10EE6" w:rsidP="0046478A">
                            <w:pPr>
                              <w:rPr>
                                <w:sz w:val="18"/>
                                <w:szCs w:val="18"/>
                              </w:rPr>
                            </w:pPr>
                            <w:r w:rsidRPr="005D61D3">
                              <w:rPr>
                                <w:sz w:val="18"/>
                                <w:szCs w:val="18"/>
                              </w:rPr>
                              <w:t>Reform Stage 4</w:t>
                            </w:r>
                            <w:r>
                              <w:rPr>
                                <w:sz w:val="18"/>
                                <w:szCs w:val="18"/>
                              </w:rPr>
                              <w:t xml:space="preserve"> – Advanced reforms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99BD63" id="_x0000_t80" coordsize="21600,21600" o:spt="80" adj="14400,5400,18000,8100" path="m,l21600,,21600@0@5@0@5@2@4@2,10800,21600@1@2@3@2@3@0,0@0xe">
                <v:stroke joinstyle="miter"/>
                <v:formulas>
                  <v:f eqn="val #0"/>
                  <v:f eqn="val #1"/>
                  <v:f eqn="val #2"/>
                  <v:f eqn="val #3"/>
                  <v:f eqn="sum 21600 0 #1"/>
                  <v:f eqn="sum 21600 0 #3"/>
                  <v:f eqn="prod #0 1 2"/>
                </v:formulas>
                <v:path o:connecttype="custom" o:connectlocs="10800,0;0,@6;10800,21600;21600,@6" o:connectangles="270,180,90,0" textboxrect="0,0,21600,@0"/>
                <v:handles>
                  <v:h position="topLeft,#0" yrange="0,@2"/>
                  <v:h position="#1,bottomRight" xrange="0,@3"/>
                  <v:h position="#3,#2" xrange="@1,10800" yrange="@0,21600"/>
                </v:handles>
              </v:shapetype>
              <v:shape id="AutoShape 8" o:spid="_x0000_s1031" type="#_x0000_t80" style="position:absolute;left:0;text-align:left;margin-left:437.6pt;margin-top:91.8pt;width:60pt;height:8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" adj=",,16800">
                <v:textbox>
                  <w:txbxContent>
                    <w:p w14:paraId="58971223" w14:textId="7329326B" w:rsidR="00E10EE6" w:rsidRPr="005D61D3" w:rsidRDefault="00E10EE6" w:rsidP="0046478A">
                      <w:pPr>
                        <w:rPr>
                          <w:sz w:val="18"/>
                          <w:szCs w:val="18"/>
                        </w:rPr>
                      </w:pPr>
                      <w:r w:rsidRPr="005D61D3">
                        <w:rPr>
                          <w:sz w:val="18"/>
                          <w:szCs w:val="18"/>
                        </w:rPr>
                        <w:t>Reform Stage 4</w:t>
                      </w:r>
                      <w:r>
                        <w:rPr>
                          <w:sz w:val="18"/>
                          <w:szCs w:val="18"/>
                        </w:rPr>
                        <w:t xml:space="preserve"> – Advanced reforms</w:t>
                      </w:r>
                    </w:p>
                  </w:txbxContent>
                </v:textbox>
                <w10:wrap type="topAndBottom"/>
              </v:shape>
            </w:pict>
          </mc:Fallback>
        </mc:AlternateContent>
      </w:r>
      <w:r w:rsidR="0046478A" w:rsidRPr="0054293E">
        <w:rPr>
          <w:noProof/>
          <w:sz w:val="20"/>
          <w:szCs w:val="20"/>
        </w:rPr>
        <mc:AlternateContent>
          <mc:Choice Requires="wps">
            <w:drawing>
              <wp:anchor distT="0" distB="0" distL="114300" distR="114300" simplePos="0" relativeHeight="251714560" behindDoc="0" locked="0" layoutInCell="1" allowOverlap="1" wp14:anchorId="633919B7" wp14:editId="3BCF24B2">
                <wp:simplePos x="0" y="0"/>
                <wp:positionH relativeFrom="column">
                  <wp:posOffset>1605666</wp:posOffset>
                </wp:positionH>
                <wp:positionV relativeFrom="paragraph">
                  <wp:posOffset>1152525</wp:posOffset>
                </wp:positionV>
                <wp:extent cx="762000" cy="1028700"/>
                <wp:effectExtent l="0" t="0" r="19050" b="38100"/>
                <wp:wrapTopAndBottom/>
                <wp:docPr id="59"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1028700"/>
                        </a:xfrm>
                        <a:prstGeom prst="downArrowCallout">
                          <a:avLst>
                            <a:gd name="adj1" fmla="val 25000"/>
                            <a:gd name="adj2" fmla="val 25000"/>
                            <a:gd name="adj3" fmla="val 30000"/>
                            <a:gd name="adj4" fmla="val 66667"/>
                          </a:avLst>
                        </a:prstGeom>
                        <a:solidFill>
                          <a:srgbClr val="FFFFFF"/>
                        </a:solidFill>
                        <a:ln w="9525">
                          <a:solidFill>
                            <a:srgbClr val="000000"/>
                          </a:solidFill>
                          <a:miter lim="800000"/>
                          <a:headEnd/>
                          <a:tailEnd/>
                        </a:ln>
                      </wps:spPr>
                      <wps:txbx>
                        <w:txbxContent>
                          <w:p w14:paraId="0C745E8C" w14:textId="48F1EE4B" w:rsidR="00E10EE6" w:rsidRPr="005D61D3" w:rsidRDefault="00E10EE6" w:rsidP="0046478A">
                            <w:pPr>
                              <w:rPr>
                                <w:sz w:val="18"/>
                                <w:szCs w:val="18"/>
                              </w:rPr>
                            </w:pPr>
                            <w:r w:rsidRPr="005D61D3">
                              <w:rPr>
                                <w:sz w:val="18"/>
                                <w:szCs w:val="18"/>
                              </w:rPr>
                              <w:t>Reform Stage 2</w:t>
                            </w:r>
                            <w:r>
                              <w:rPr>
                                <w:sz w:val="18"/>
                                <w:szCs w:val="18"/>
                              </w:rPr>
                              <w:t xml:space="preserve"> – Commercialization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3919B7" id="_x0000_s1032" type="#_x0000_t80" style="position:absolute;left:0;text-align:left;margin-left:126.45pt;margin-top:90.75pt;width:60pt;height:8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" adj=",,16800">
                <v:textbox>
                  <w:txbxContent>
                    <w:p w14:paraId="0C745E8C" w14:textId="48F1EE4B" w:rsidR="00E10EE6" w:rsidRPr="005D61D3" w:rsidRDefault="00E10EE6" w:rsidP="0046478A">
                      <w:pPr>
                        <w:rPr>
                          <w:sz w:val="18"/>
                          <w:szCs w:val="18"/>
                        </w:rPr>
                      </w:pPr>
                      <w:r w:rsidRPr="005D61D3">
                        <w:rPr>
                          <w:sz w:val="18"/>
                          <w:szCs w:val="18"/>
                        </w:rPr>
                        <w:t>Reform Stage 2</w:t>
                      </w:r>
                      <w:r>
                        <w:rPr>
                          <w:sz w:val="18"/>
                          <w:szCs w:val="18"/>
                        </w:rPr>
                        <w:t xml:space="preserve"> – Commercialization</w:t>
                      </w:r>
                    </w:p>
                  </w:txbxContent>
                </v:textbox>
                <w10:wrap type="topAndBottom"/>
              </v:shape>
            </w:pict>
          </mc:Fallback>
        </mc:AlternateContent>
      </w:r>
      <w:r w:rsidR="0046478A" w:rsidRPr="0054293E">
        <w:rPr>
          <w:noProof/>
          <w:sz w:val="20"/>
          <w:szCs w:val="20"/>
        </w:rPr>
        <mc:AlternateContent>
          <mc:Choice Requires="wps">
            <w:drawing>
              <wp:anchor distT="0" distB="0" distL="114300" distR="114300" simplePos="0" relativeHeight="251699200" behindDoc="0" locked="0" layoutInCell="1" allowOverlap="1" wp14:anchorId="795E5988" wp14:editId="09448CC6">
                <wp:simplePos x="0" y="0"/>
                <wp:positionH relativeFrom="column">
                  <wp:posOffset>-119380</wp:posOffset>
                </wp:positionH>
                <wp:positionV relativeFrom="paragraph">
                  <wp:posOffset>2195775</wp:posOffset>
                </wp:positionV>
                <wp:extent cx="7712075" cy="285750"/>
                <wp:effectExtent l="0" t="0" r="22225" b="19050"/>
                <wp:wrapSquare wrapText="bothSides"/>
                <wp:docPr id="5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12075" cy="285750"/>
                        </a:xfrm>
                        <a:prstGeom prst="rect">
                          <a:avLst/>
                        </a:prstGeom>
                        <a:ln>
                          <a:headEnd/>
                          <a:tailEnd/>
                        </a:ln>
                      </wps:spPr>
                      <wps:style>
                        <a:lnRef idx="1">
                          <a:schemeClr val="accent5"/>
                        </a:lnRef>
                        <a:fillRef idx="2">
                          <a:schemeClr val="accent5"/>
                        </a:fillRef>
                        <a:effectRef idx="1">
                          <a:schemeClr val="accent5"/>
                        </a:effectRef>
                        <a:fontRef idx="minor">
                          <a:schemeClr val="dk1"/>
                        </a:fontRef>
                      </wps:style>
                      <wps:txbx>
                        <w:txbxContent>
                          <w:tbl>
                            <w:tblPr>
                              <w:tblW w:w="0" w:type="auto"/>
                              <w:tblBorders>
                                <w:left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85"/>
                              <w:gridCol w:w="1220"/>
                              <w:gridCol w:w="1491"/>
                              <w:gridCol w:w="1541"/>
                              <w:gridCol w:w="1595"/>
                              <w:gridCol w:w="1654"/>
                              <w:gridCol w:w="1654"/>
                              <w:gridCol w:w="236"/>
                            </w:tblGrid>
                            <w:tr w:rsidR="00E10EE6" w:rsidRPr="0046478A" w14:paraId="14800D32" w14:textId="77777777" w:rsidTr="0046478A">
                              <w:tc>
                                <w:tcPr>
                                  <w:tcW w:w="1885" w:type="dxa"/>
                                  <w:vAlign w:val="center"/>
                                </w:tcPr>
                                <w:p w14:paraId="74B2A693" w14:textId="77777777" w:rsidR="00E10EE6" w:rsidRPr="0046478A" w:rsidRDefault="00E10EE6">
                                  <w:pPr>
                                    <w:spacing w:after="0"/>
                                    <w:rPr>
                                      <w:sz w:val="20"/>
                                      <w:szCs w:val="20"/>
                                    </w:rPr>
                                  </w:pPr>
                                  <w:r w:rsidRPr="0046478A">
                                    <w:rPr>
                                      <w:sz w:val="20"/>
                                      <w:szCs w:val="20"/>
                                    </w:rPr>
                                    <w:t>Period before 1978</w:t>
                                  </w:r>
                                </w:p>
                              </w:tc>
                              <w:tc>
                                <w:tcPr>
                                  <w:tcW w:w="1220" w:type="dxa"/>
                                  <w:vAlign w:val="center"/>
                                </w:tcPr>
                                <w:p w14:paraId="04AD413A" w14:textId="77777777" w:rsidR="00E10EE6" w:rsidRPr="0046478A" w:rsidRDefault="00E10EE6">
                                  <w:pPr>
                                    <w:spacing w:after="0"/>
                                    <w:rPr>
                                      <w:sz w:val="20"/>
                                      <w:szCs w:val="20"/>
                                    </w:rPr>
                                  </w:pPr>
                                  <w:r w:rsidRPr="0046478A">
                                    <w:rPr>
                                      <w:sz w:val="20"/>
                                      <w:szCs w:val="20"/>
                                    </w:rPr>
                                    <w:t>1978</w:t>
                                  </w:r>
                                </w:p>
                              </w:tc>
                              <w:tc>
                                <w:tcPr>
                                  <w:tcW w:w="1491" w:type="dxa"/>
                                  <w:vAlign w:val="center"/>
                                </w:tcPr>
                                <w:p w14:paraId="05AC103C" w14:textId="77777777" w:rsidR="00E10EE6" w:rsidRPr="0046478A" w:rsidRDefault="00E10EE6">
                                  <w:pPr>
                                    <w:spacing w:after="0"/>
                                    <w:rPr>
                                      <w:sz w:val="20"/>
                                      <w:szCs w:val="20"/>
                                    </w:rPr>
                                  </w:pPr>
                                  <w:r w:rsidRPr="0046478A">
                                    <w:rPr>
                                      <w:sz w:val="20"/>
                                      <w:szCs w:val="20"/>
                                    </w:rPr>
                                    <w:t>1992</w:t>
                                  </w:r>
                                </w:p>
                              </w:tc>
                              <w:tc>
                                <w:tcPr>
                                  <w:tcW w:w="1541" w:type="dxa"/>
                                  <w:vAlign w:val="center"/>
                                </w:tcPr>
                                <w:p w14:paraId="34F7902F" w14:textId="77777777" w:rsidR="00E10EE6" w:rsidRPr="0046478A" w:rsidRDefault="00E10EE6">
                                  <w:pPr>
                                    <w:spacing w:after="0"/>
                                    <w:rPr>
                                      <w:sz w:val="20"/>
                                      <w:szCs w:val="20"/>
                                    </w:rPr>
                                  </w:pPr>
                                  <w:r w:rsidRPr="0046478A">
                                    <w:rPr>
                                      <w:sz w:val="20"/>
                                      <w:szCs w:val="20"/>
                                    </w:rPr>
                                    <w:t>1996</w:t>
                                  </w:r>
                                </w:p>
                              </w:tc>
                              <w:tc>
                                <w:tcPr>
                                  <w:tcW w:w="1595" w:type="dxa"/>
                                  <w:vAlign w:val="center"/>
                                </w:tcPr>
                                <w:p w14:paraId="1863325E" w14:textId="77777777" w:rsidR="00E10EE6" w:rsidRPr="0046478A" w:rsidRDefault="00E10EE6">
                                  <w:pPr>
                                    <w:spacing w:after="0"/>
                                    <w:rPr>
                                      <w:sz w:val="20"/>
                                      <w:szCs w:val="20"/>
                                    </w:rPr>
                                  </w:pPr>
                                  <w:r w:rsidRPr="0046478A">
                                    <w:rPr>
                                      <w:sz w:val="20"/>
                                      <w:szCs w:val="20"/>
                                    </w:rPr>
                                    <w:t>2001</w:t>
                                  </w:r>
                                </w:p>
                              </w:tc>
                              <w:tc>
                                <w:tcPr>
                                  <w:tcW w:w="1654" w:type="dxa"/>
                                  <w:vAlign w:val="center"/>
                                </w:tcPr>
                                <w:p w14:paraId="30900B14" w14:textId="77777777" w:rsidR="00E10EE6" w:rsidRPr="0046478A" w:rsidRDefault="00E10EE6">
                                  <w:pPr>
                                    <w:spacing w:after="0"/>
                                    <w:rPr>
                                      <w:sz w:val="20"/>
                                      <w:szCs w:val="20"/>
                                    </w:rPr>
                                  </w:pPr>
                                  <w:r w:rsidRPr="0046478A">
                                    <w:rPr>
                                      <w:sz w:val="20"/>
                                      <w:szCs w:val="20"/>
                                    </w:rPr>
                                    <w:t>2006</w:t>
                                  </w:r>
                                </w:p>
                              </w:tc>
                              <w:tc>
                                <w:tcPr>
                                  <w:tcW w:w="1654" w:type="dxa"/>
                                  <w:vAlign w:val="center"/>
                                </w:tcPr>
                                <w:p w14:paraId="2105CA52" w14:textId="0E0B0963" w:rsidR="00E10EE6" w:rsidRPr="0046478A" w:rsidRDefault="00E10EE6">
                                  <w:pPr>
                                    <w:spacing w:after="0"/>
                                    <w:rPr>
                                      <w:sz w:val="20"/>
                                      <w:szCs w:val="20"/>
                                    </w:rPr>
                                  </w:pPr>
                                  <w:r w:rsidRPr="0046478A">
                                    <w:rPr>
                                      <w:sz w:val="20"/>
                                      <w:szCs w:val="20"/>
                                    </w:rPr>
                                    <w:t>2010 on ward</w:t>
                                  </w:r>
                                </w:p>
                              </w:tc>
                              <w:tc>
                                <w:tcPr>
                                  <w:tcW w:w="236" w:type="dxa"/>
                                  <w:vAlign w:val="center"/>
                                </w:tcPr>
                                <w:p w14:paraId="762F6D46" w14:textId="5873E452" w:rsidR="00E10EE6" w:rsidRPr="0046478A" w:rsidRDefault="00E10EE6">
                                  <w:pPr>
                                    <w:spacing w:after="0"/>
                                    <w:rPr>
                                      <w:sz w:val="20"/>
                                      <w:szCs w:val="20"/>
                                    </w:rPr>
                                  </w:pPr>
                                </w:p>
                              </w:tc>
                            </w:tr>
                          </w:tbl>
                          <w:p w14:paraId="0F86E6E6" w14:textId="77777777" w:rsidR="00E10EE6" w:rsidRPr="005E55E0" w:rsidRDefault="00E10EE6" w:rsidP="0054293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5E5988" id="Rectangle 5" o:spid="_x0000_s1033" style="position:absolute;left:0;text-align:left;margin-left:-9.4pt;margin-top:172.9pt;width:607.25pt;height:2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" fillcolor="#91bce3 [2168]" strokecolor="#5b9bd5 [3208]" strokeweight=".5pt">
                <v:fill color2="#7aaddd [2616]" rotate="t" colors="0 #b1cbe9;.5 #a3c1e5;1 #92b9e4" focus="100%" type="gradient">
                  <o:fill v:ext="view" type="gradientUnscaled"/>
                </v:fill>
                <v:textbox>
                  <w:txbxContent>
                    <w:tbl>
                      <w:tblPr>
                        <w:tblW w:w="0" w:type="auto"/>
                        <w:tblBorders>
                          <w:left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85"/>
                        <w:gridCol w:w="1220"/>
                        <w:gridCol w:w="1491"/>
                        <w:gridCol w:w="1541"/>
                        <w:gridCol w:w="1595"/>
                        <w:gridCol w:w="1654"/>
                        <w:gridCol w:w="1654"/>
                        <w:gridCol w:w="236"/>
                      </w:tblGrid>
                      <w:tr w:rsidR="00E10EE6" w:rsidRPr="0046478A" w14:paraId="14800D32" w14:textId="77777777" w:rsidTr="0046478A">
                        <w:tc>
                          <w:tcPr>
                            <w:tcW w:w="1885" w:type="dxa"/>
                            <w:vAlign w:val="center"/>
                          </w:tcPr>
                          <w:p w14:paraId="74B2A693" w14:textId="77777777" w:rsidR="00E10EE6" w:rsidRPr="0046478A" w:rsidRDefault="00E10EE6">
                            <w:pPr>
                              <w:spacing w:after="0"/>
                              <w:rPr>
                                <w:sz w:val="20"/>
                                <w:szCs w:val="20"/>
                              </w:rPr>
                            </w:pPr>
                            <w:r w:rsidRPr="0046478A">
                              <w:rPr>
                                <w:sz w:val="20"/>
                                <w:szCs w:val="20"/>
                              </w:rPr>
                              <w:t>Period before 1978</w:t>
                            </w:r>
                          </w:p>
                        </w:tc>
                        <w:tc>
                          <w:tcPr>
                            <w:tcW w:w="1220" w:type="dxa"/>
                            <w:vAlign w:val="center"/>
                          </w:tcPr>
                          <w:p w14:paraId="04AD413A" w14:textId="77777777" w:rsidR="00E10EE6" w:rsidRPr="0046478A" w:rsidRDefault="00E10EE6">
                            <w:pPr>
                              <w:spacing w:after="0"/>
                              <w:rPr>
                                <w:sz w:val="20"/>
                                <w:szCs w:val="20"/>
                              </w:rPr>
                            </w:pPr>
                            <w:r w:rsidRPr="0046478A">
                              <w:rPr>
                                <w:sz w:val="20"/>
                                <w:szCs w:val="20"/>
                              </w:rPr>
                              <w:t>1978</w:t>
                            </w:r>
                          </w:p>
                        </w:tc>
                        <w:tc>
                          <w:tcPr>
                            <w:tcW w:w="1491" w:type="dxa"/>
                            <w:vAlign w:val="center"/>
                          </w:tcPr>
                          <w:p w14:paraId="05AC103C" w14:textId="77777777" w:rsidR="00E10EE6" w:rsidRPr="0046478A" w:rsidRDefault="00E10EE6">
                            <w:pPr>
                              <w:spacing w:after="0"/>
                              <w:rPr>
                                <w:sz w:val="20"/>
                                <w:szCs w:val="20"/>
                              </w:rPr>
                            </w:pPr>
                            <w:r w:rsidRPr="0046478A">
                              <w:rPr>
                                <w:sz w:val="20"/>
                                <w:szCs w:val="20"/>
                              </w:rPr>
                              <w:t>1992</w:t>
                            </w:r>
                          </w:p>
                        </w:tc>
                        <w:tc>
                          <w:tcPr>
                            <w:tcW w:w="1541" w:type="dxa"/>
                            <w:vAlign w:val="center"/>
                          </w:tcPr>
                          <w:p w14:paraId="34F7902F" w14:textId="77777777" w:rsidR="00E10EE6" w:rsidRPr="0046478A" w:rsidRDefault="00E10EE6">
                            <w:pPr>
                              <w:spacing w:after="0"/>
                              <w:rPr>
                                <w:sz w:val="20"/>
                                <w:szCs w:val="20"/>
                              </w:rPr>
                            </w:pPr>
                            <w:r w:rsidRPr="0046478A">
                              <w:rPr>
                                <w:sz w:val="20"/>
                                <w:szCs w:val="20"/>
                              </w:rPr>
                              <w:t>1996</w:t>
                            </w:r>
                          </w:p>
                        </w:tc>
                        <w:tc>
                          <w:tcPr>
                            <w:tcW w:w="1595" w:type="dxa"/>
                            <w:vAlign w:val="center"/>
                          </w:tcPr>
                          <w:p w14:paraId="1863325E" w14:textId="77777777" w:rsidR="00E10EE6" w:rsidRPr="0046478A" w:rsidRDefault="00E10EE6">
                            <w:pPr>
                              <w:spacing w:after="0"/>
                              <w:rPr>
                                <w:sz w:val="20"/>
                                <w:szCs w:val="20"/>
                              </w:rPr>
                            </w:pPr>
                            <w:r w:rsidRPr="0046478A">
                              <w:rPr>
                                <w:sz w:val="20"/>
                                <w:szCs w:val="20"/>
                              </w:rPr>
                              <w:t>2001</w:t>
                            </w:r>
                          </w:p>
                        </w:tc>
                        <w:tc>
                          <w:tcPr>
                            <w:tcW w:w="1654" w:type="dxa"/>
                            <w:vAlign w:val="center"/>
                          </w:tcPr>
                          <w:p w14:paraId="30900B14" w14:textId="77777777" w:rsidR="00E10EE6" w:rsidRPr="0046478A" w:rsidRDefault="00E10EE6">
                            <w:pPr>
                              <w:spacing w:after="0"/>
                              <w:rPr>
                                <w:sz w:val="20"/>
                                <w:szCs w:val="20"/>
                              </w:rPr>
                            </w:pPr>
                            <w:r w:rsidRPr="0046478A">
                              <w:rPr>
                                <w:sz w:val="20"/>
                                <w:szCs w:val="20"/>
                              </w:rPr>
                              <w:t>2006</w:t>
                            </w:r>
                          </w:p>
                        </w:tc>
                        <w:tc>
                          <w:tcPr>
                            <w:tcW w:w="1654" w:type="dxa"/>
                            <w:vAlign w:val="center"/>
                          </w:tcPr>
                          <w:p w14:paraId="2105CA52" w14:textId="0E0B0963" w:rsidR="00E10EE6" w:rsidRPr="0046478A" w:rsidRDefault="00E10EE6">
                            <w:pPr>
                              <w:spacing w:after="0"/>
                              <w:rPr>
                                <w:sz w:val="20"/>
                                <w:szCs w:val="20"/>
                              </w:rPr>
                            </w:pPr>
                            <w:r w:rsidRPr="0046478A">
                              <w:rPr>
                                <w:sz w:val="20"/>
                                <w:szCs w:val="20"/>
                              </w:rPr>
                              <w:t>2010 on ward</w:t>
                            </w:r>
                          </w:p>
                        </w:tc>
                        <w:tc>
                          <w:tcPr>
                            <w:tcW w:w="236" w:type="dxa"/>
                            <w:vAlign w:val="center"/>
                          </w:tcPr>
                          <w:p w14:paraId="762F6D46" w14:textId="5873E452" w:rsidR="00E10EE6" w:rsidRPr="0046478A" w:rsidRDefault="00E10EE6">
                            <w:pPr>
                              <w:spacing w:after="0"/>
                              <w:rPr>
                                <w:sz w:val="20"/>
                                <w:szCs w:val="20"/>
                              </w:rPr>
                            </w:pPr>
                          </w:p>
                        </w:tc>
                      </w:tr>
                    </w:tbl>
                    <w:p w14:paraId="0F86E6E6" w14:textId="77777777" w:rsidR="00E10EE6" w:rsidRPr="005E55E0" w:rsidRDefault="00E10EE6" w:rsidP="0054293E"/>
                  </w:txbxContent>
                </v:textbox>
                <w10:wrap type="square"/>
              </v:rect>
            </w:pict>
          </mc:Fallback>
        </mc:AlternateContent>
      </w:r>
      <w:r w:rsidR="0046478A" w:rsidRPr="0054293E">
        <w:rPr>
          <w:noProof/>
          <w:sz w:val="20"/>
          <w:szCs w:val="20"/>
        </w:rPr>
        <mc:AlternateContent>
          <mc:Choice Requires="wps">
            <w:drawing>
              <wp:anchor distT="0" distB="0" distL="114300" distR="114300" simplePos="0" relativeHeight="251702272" behindDoc="0" locked="0" layoutInCell="1" allowOverlap="1" wp14:anchorId="414FE487" wp14:editId="360DF818">
                <wp:simplePos x="0" y="0"/>
                <wp:positionH relativeFrom="column">
                  <wp:posOffset>795655</wp:posOffset>
                </wp:positionH>
                <wp:positionV relativeFrom="paragraph">
                  <wp:posOffset>1156666</wp:posOffset>
                </wp:positionV>
                <wp:extent cx="762000" cy="1028700"/>
                <wp:effectExtent l="0" t="0" r="19050" b="38100"/>
                <wp:wrapTopAndBottom/>
                <wp:docPr id="57"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1028700"/>
                        </a:xfrm>
                        <a:prstGeom prst="downArrowCallout">
                          <a:avLst>
                            <a:gd name="adj1" fmla="val 25000"/>
                            <a:gd name="adj2" fmla="val 25000"/>
                            <a:gd name="adj3" fmla="val 30000"/>
                            <a:gd name="adj4" fmla="val 66667"/>
                          </a:avLst>
                        </a:prstGeom>
                        <a:solidFill>
                          <a:srgbClr val="FFFFFF"/>
                        </a:solidFill>
                        <a:ln w="9525">
                          <a:solidFill>
                            <a:srgbClr val="000000"/>
                          </a:solidFill>
                          <a:miter lim="800000"/>
                          <a:headEnd/>
                          <a:tailEnd/>
                        </a:ln>
                      </wps:spPr>
                      <wps:txbx>
                        <w:txbxContent>
                          <w:p w14:paraId="5C992D1B" w14:textId="103E9579" w:rsidR="00E10EE6" w:rsidRPr="005D61D3" w:rsidRDefault="00E10EE6" w:rsidP="0054293E">
                            <w:pPr>
                              <w:rPr>
                                <w:sz w:val="18"/>
                                <w:szCs w:val="18"/>
                              </w:rPr>
                            </w:pPr>
                            <w:r w:rsidRPr="005D61D3">
                              <w:rPr>
                                <w:sz w:val="18"/>
                                <w:szCs w:val="18"/>
                              </w:rPr>
                              <w:t>Reform Stage 1</w:t>
                            </w:r>
                            <w:r>
                              <w:rPr>
                                <w:sz w:val="18"/>
                                <w:szCs w:val="18"/>
                              </w:rPr>
                              <w:t xml:space="preserve"> - Inception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4FE487" id="_x0000_s1034" type="#_x0000_t80" style="position:absolute;left:0;text-align:left;margin-left:62.65pt;margin-top:91.1pt;width:60pt;height:8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" adj=",,16800">
                <v:textbox>
                  <w:txbxContent>
                    <w:p w14:paraId="5C992D1B" w14:textId="103E9579" w:rsidR="00E10EE6" w:rsidRPr="005D61D3" w:rsidRDefault="00E10EE6" w:rsidP="0054293E">
                      <w:pPr>
                        <w:rPr>
                          <w:sz w:val="18"/>
                          <w:szCs w:val="18"/>
                        </w:rPr>
                      </w:pPr>
                      <w:r w:rsidRPr="005D61D3">
                        <w:rPr>
                          <w:sz w:val="18"/>
                          <w:szCs w:val="18"/>
                        </w:rPr>
                        <w:t>Reform Stage 1</w:t>
                      </w:r>
                      <w:r>
                        <w:rPr>
                          <w:sz w:val="18"/>
                          <w:szCs w:val="18"/>
                        </w:rPr>
                        <w:t xml:space="preserve"> - Inception</w:t>
                      </w:r>
                    </w:p>
                  </w:txbxContent>
                </v:textbox>
                <w10:wrap type="topAndBottom"/>
              </v:shape>
            </w:pict>
          </mc:Fallback>
        </mc:AlternateContent>
      </w:r>
    </w:p>
    <w:p w14:paraId="139F8CF0" w14:textId="77777777" w:rsidR="00006585" w:rsidRPr="00006585" w:rsidRDefault="00006585" w:rsidP="00006585"/>
    <w:p w14:paraId="5C2F73BD" w14:textId="77777777" w:rsidR="00006585" w:rsidRPr="00006585" w:rsidRDefault="00006585" w:rsidP="00006585"/>
    <w:p w14:paraId="4D4C3595" w14:textId="05E4429A" w:rsidR="00006585" w:rsidRPr="00006585" w:rsidRDefault="005D61D3" w:rsidP="00006585">
      <w:r w:rsidRPr="0054293E">
        <w:rPr>
          <w:noProof/>
          <w:sz w:val="20"/>
          <w:szCs w:val="20"/>
        </w:rPr>
        <mc:AlternateContent>
          <mc:Choice Requires="wps">
            <w:drawing>
              <wp:anchor distT="0" distB="0" distL="114300" distR="114300" simplePos="0" relativeHeight="251716608" behindDoc="0" locked="0" layoutInCell="1" allowOverlap="1" wp14:anchorId="2D469B91" wp14:editId="050E9247">
                <wp:simplePos x="0" y="0"/>
                <wp:positionH relativeFrom="column">
                  <wp:posOffset>3529965</wp:posOffset>
                </wp:positionH>
                <wp:positionV relativeFrom="paragraph">
                  <wp:posOffset>296545</wp:posOffset>
                </wp:positionV>
                <wp:extent cx="890270" cy="1044575"/>
                <wp:effectExtent l="0" t="0" r="24130" b="41275"/>
                <wp:wrapTopAndBottom/>
                <wp:docPr id="60"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0270" cy="1044575"/>
                        </a:xfrm>
                        <a:prstGeom prst="downArrowCallout">
                          <a:avLst>
                            <a:gd name="adj1" fmla="val 25000"/>
                            <a:gd name="adj2" fmla="val 25000"/>
                            <a:gd name="adj3" fmla="val 30000"/>
                            <a:gd name="adj4" fmla="val 66667"/>
                          </a:avLst>
                        </a:prstGeom>
                        <a:solidFill>
                          <a:srgbClr val="FFFFFF"/>
                        </a:solidFill>
                        <a:ln w="9525">
                          <a:solidFill>
                            <a:srgbClr val="000000"/>
                          </a:solidFill>
                          <a:miter lim="800000"/>
                          <a:headEnd/>
                          <a:tailEnd/>
                        </a:ln>
                      </wps:spPr>
                      <wps:txbx>
                        <w:txbxContent>
                          <w:p w14:paraId="4312D59B" w14:textId="4A86B47A" w:rsidR="00E10EE6" w:rsidRPr="005D61D3" w:rsidRDefault="00E10EE6" w:rsidP="0046478A">
                            <w:pPr>
                              <w:rPr>
                                <w:sz w:val="18"/>
                                <w:szCs w:val="18"/>
                              </w:rPr>
                            </w:pPr>
                            <w:r w:rsidRPr="005D61D3">
                              <w:rPr>
                                <w:sz w:val="18"/>
                                <w:szCs w:val="18"/>
                              </w:rPr>
                              <w:t>Reform Stage 3</w:t>
                            </w:r>
                            <w:r>
                              <w:rPr>
                                <w:sz w:val="18"/>
                                <w:szCs w:val="18"/>
                              </w:rPr>
                              <w:t xml:space="preserve"> - Marketization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469B91" id="_x0000_s1035" type="#_x0000_t80" style="position:absolute;margin-left:277.95pt;margin-top:23.35pt;width:70.1pt;height:82.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" adj=",,16077">
                <v:textbox>
                  <w:txbxContent>
                    <w:p w14:paraId="4312D59B" w14:textId="4A86B47A" w:rsidR="00E10EE6" w:rsidRPr="005D61D3" w:rsidRDefault="00E10EE6" w:rsidP="0046478A">
                      <w:pPr>
                        <w:rPr>
                          <w:sz w:val="18"/>
                          <w:szCs w:val="18"/>
                        </w:rPr>
                      </w:pPr>
                      <w:r w:rsidRPr="005D61D3">
                        <w:rPr>
                          <w:sz w:val="18"/>
                          <w:szCs w:val="18"/>
                        </w:rPr>
                        <w:t>Reform Stage 3</w:t>
                      </w:r>
                      <w:r>
                        <w:rPr>
                          <w:sz w:val="18"/>
                          <w:szCs w:val="18"/>
                        </w:rPr>
                        <w:t xml:space="preserve"> - Marketization</w:t>
                      </w:r>
                    </w:p>
                  </w:txbxContent>
                </v:textbox>
                <w10:wrap type="topAndBottom"/>
              </v:shape>
            </w:pict>
          </mc:Fallback>
        </mc:AlternateContent>
      </w:r>
    </w:p>
    <w:p w14:paraId="30CB98AD" w14:textId="77777777" w:rsidR="00006585" w:rsidRPr="00006585" w:rsidRDefault="00006585" w:rsidP="00006585"/>
    <w:p w14:paraId="418DEDC8" w14:textId="77777777" w:rsidR="00006585" w:rsidRPr="00006585" w:rsidRDefault="00006585" w:rsidP="00006585"/>
    <w:p w14:paraId="7E97C657" w14:textId="38F6A53F" w:rsidR="00006585" w:rsidRPr="00006585" w:rsidRDefault="007F7B6B" w:rsidP="00006585">
      <w:pPr>
        <w:tabs>
          <w:tab w:val="left" w:pos="1215"/>
        </w:tabs>
        <w:jc w:val="center"/>
        <w:rPr>
          <w:sz w:val="18"/>
          <w:szCs w:val="18"/>
        </w:rPr>
      </w:pPr>
      <w:r>
        <w:rPr>
          <w:sz w:val="18"/>
          <w:szCs w:val="18"/>
        </w:rPr>
        <w:t>S</w:t>
      </w:r>
      <w:r w:rsidR="00006585">
        <w:rPr>
          <w:sz w:val="18"/>
          <w:szCs w:val="18"/>
        </w:rPr>
        <w:t>ource: People’s Bank of China (PBOC), China Banking and Insurance Regulatory Commission (CBIRC), and the State government</w:t>
      </w:r>
    </w:p>
    <w:p w14:paraId="5B88DAD5" w14:textId="77777777" w:rsidR="00006585" w:rsidRPr="00006585" w:rsidRDefault="00006585" w:rsidP="00006585"/>
    <w:p w14:paraId="2C60B800" w14:textId="77777777" w:rsidR="00006585" w:rsidRPr="00006585" w:rsidRDefault="00006585" w:rsidP="00006585"/>
    <w:p w14:paraId="5D9FE4BE" w14:textId="77777777" w:rsidR="00006585" w:rsidRPr="00006585" w:rsidRDefault="00006585" w:rsidP="00006585"/>
    <w:p w14:paraId="4075E9FE" w14:textId="51BC058F" w:rsidR="00006585" w:rsidRPr="00006585" w:rsidRDefault="00006585" w:rsidP="00006585">
      <w:pPr>
        <w:sectPr w:rsidR="00006585" w:rsidRPr="00006585" w:rsidSect="008664B1">
          <w:pgSz w:w="15840" w:h="12240" w:orient="landscape" w:code="1"/>
          <w:pgMar w:top="1800" w:right="1440" w:bottom="1800" w:left="1440" w:header="720" w:footer="720" w:gutter="0"/>
          <w:cols w:space="720"/>
          <w:docGrid w:linePitch="360"/>
        </w:sectPr>
      </w:pPr>
    </w:p>
    <w:p w14:paraId="65EE7EE8" w14:textId="2886E976" w:rsidR="0061685D" w:rsidRPr="00A558EA" w:rsidRDefault="0061685D" w:rsidP="00920944">
      <w:pPr>
        <w:pStyle w:val="Heading2"/>
        <w:spacing w:before="120" w:after="120" w:line="288" w:lineRule="auto"/>
        <w:rPr>
          <w:rFonts w:ascii="Corbel" w:hAnsi="Corbel"/>
          <w:i/>
          <w:iCs/>
          <w:u w:val="single"/>
        </w:rPr>
      </w:pPr>
      <w:r w:rsidRPr="00A558EA">
        <w:rPr>
          <w:rFonts w:ascii="Corbel" w:hAnsi="Corbel"/>
          <w:i/>
          <w:iCs/>
          <w:u w:val="single"/>
        </w:rPr>
        <w:t xml:space="preserve">The era </w:t>
      </w:r>
      <w:r w:rsidR="007F7B6B">
        <w:rPr>
          <w:rFonts w:ascii="Corbel" w:hAnsi="Corbel"/>
          <w:i/>
          <w:iCs/>
          <w:u w:val="single"/>
        </w:rPr>
        <w:t>from</w:t>
      </w:r>
      <w:r w:rsidRPr="00A558EA">
        <w:rPr>
          <w:rFonts w:ascii="Corbel" w:hAnsi="Corbel"/>
          <w:i/>
          <w:iCs/>
          <w:u w:val="single"/>
        </w:rPr>
        <w:t xml:space="preserve"> 1978 to early 1990s</w:t>
      </w:r>
    </w:p>
    <w:p w14:paraId="0987871E" w14:textId="3A61566D" w:rsidR="0061685D" w:rsidRPr="00A558EA" w:rsidRDefault="0061685D" w:rsidP="00920944">
      <w:pPr>
        <w:spacing w:before="120" w:after="120" w:line="288" w:lineRule="auto"/>
      </w:pPr>
      <w:r w:rsidRPr="00A558EA">
        <w:t xml:space="preserve">China’s central bank, the People’s Bank of China (PBOC) </w:t>
      </w:r>
      <w:r w:rsidR="00DC03A0" w:rsidRPr="00A558EA">
        <w:rPr>
          <w:rStyle w:val="FootnoteReference"/>
        </w:rPr>
        <w:footnoteReference w:id="4"/>
      </w:r>
      <w:r w:rsidR="00DC03A0" w:rsidRPr="00A558EA">
        <w:t xml:space="preserve"> </w:t>
      </w:r>
      <w:r w:rsidRPr="00A558EA">
        <w:t xml:space="preserve">was founded in 1948 </w:t>
      </w:r>
      <w:r w:rsidR="00CE6BDA">
        <w:t xml:space="preserve">with </w:t>
      </w:r>
      <w:r w:rsidRPr="00A558EA">
        <w:t>the merg</w:t>
      </w:r>
      <w:r w:rsidR="00CE6BDA">
        <w:t>ing</w:t>
      </w:r>
      <w:r w:rsidRPr="00A558EA">
        <w:t xml:space="preserve"> of the North China Bank, Beihai </w:t>
      </w:r>
      <w:r w:rsidR="00920944" w:rsidRPr="00A558EA">
        <w:t>Bank,</w:t>
      </w:r>
      <w:r w:rsidRPr="00A558EA">
        <w:t xml:space="preserve"> and the Northwest Peasant Bank. In 1949,</w:t>
      </w:r>
      <w:r w:rsidR="00CE6BDA">
        <w:t xml:space="preserve"> </w:t>
      </w:r>
      <w:r w:rsidR="00CE6BDA" w:rsidRPr="00A558EA">
        <w:t>the Chinese People’s Political Consultative Conference</w:t>
      </w:r>
      <w:r w:rsidR="00CE6BDA">
        <w:t xml:space="preserve"> designated</w:t>
      </w:r>
      <w:r w:rsidRPr="00A558EA">
        <w:t xml:space="preserve"> the PBOC as the central bank and its national financial functions. The responsibilities of the PBOC included: issuing and circulating the unified currency – </w:t>
      </w:r>
      <w:r w:rsidR="00CE6BDA">
        <w:t xml:space="preserve">the </w:t>
      </w:r>
      <w:r w:rsidRPr="00A558EA">
        <w:t xml:space="preserve">Renminbi (RMB), controlling inflation, managing exchange rates, and centralizing, </w:t>
      </w:r>
      <w:r w:rsidR="00920944" w:rsidRPr="00A558EA">
        <w:t>allocating,</w:t>
      </w:r>
      <w:r w:rsidRPr="00A558EA">
        <w:t xml:space="preserve"> </w:t>
      </w:r>
      <w:r w:rsidR="00CE6BDA">
        <w:t>as well as</w:t>
      </w:r>
      <w:r w:rsidRPr="00A558EA">
        <w:t xml:space="preserve"> utilizing credit endowment to support and accelerate national economic recovery.   </w:t>
      </w:r>
    </w:p>
    <w:p w14:paraId="2F572E8A" w14:textId="18CAF066" w:rsidR="0061685D" w:rsidRPr="00A558EA" w:rsidRDefault="0061685D" w:rsidP="00920944">
      <w:pPr>
        <w:spacing w:before="120" w:after="120" w:line="288" w:lineRule="auto"/>
      </w:pPr>
      <w:r w:rsidRPr="00A558EA">
        <w:t xml:space="preserve">Before 1978, China’s banking system took the form of </w:t>
      </w:r>
      <w:r w:rsidR="00DC03A0" w:rsidRPr="00A558EA">
        <w:t xml:space="preserve">the </w:t>
      </w:r>
      <w:r w:rsidRPr="00A558EA">
        <w:t xml:space="preserve">‘mono-bank’ structure, the idea referencing the financial system of the former Soviet Union. </w:t>
      </w:r>
      <w:r w:rsidRPr="00A558EA">
        <w:fldChar w:fldCharType="begin"/>
      </w:r>
      <w:r w:rsidR="00BD60A0">
        <w:instrText xml:space="preserve"> ADDIN EN.CITE &lt;EndNote&gt;&lt;Cite&gt;&lt;Author&gt;Berger&lt;/Author&gt;&lt;Year&gt;2009&lt;/Year&gt;&lt;RecNum&gt;74&lt;/RecNum&gt;&lt;DisplayText&gt;(Berger et al., 2009)&lt;/DisplayText&gt;&lt;record&gt;&lt;rec-number&gt;74&lt;/rec-number&gt;&lt;foreign-keys&gt;&lt;key app="EN" db-id="tewxv52070srvlesdv5x5srafe0w5fspwe2v" timestamp="1578074365"&gt;74&lt;/key&gt;&lt;key app="ENWeb" db-id=""&gt;0&lt;/key&gt;&lt;/foreign-keys&gt;&lt;ref-type name="Journal Article"&gt;17&lt;/ref-type&gt;&lt;contributors&gt;&lt;authors&gt;&lt;author&gt;Berger, Allen N.&lt;/author&gt;&lt;author&gt;Hasan, Iftekhar&lt;/author&gt;&lt;author&gt;Zhou, Mingming&lt;/author&gt;&lt;/authors&gt;&lt;/contributors&gt;&lt;titles&gt;&lt;title&gt;Bank ownership and efficiency in China: What will happen in the world’s largest nation?&lt;/title&gt;&lt;secondary-title&gt;Journal of Banking &amp;amp; Finance&lt;/secondary-title&gt;&lt;/titles&gt;&lt;periodical&gt;&lt;full-title&gt;Journal of Banking &amp;amp; Finance&lt;/full-title&gt;&lt;/periodical&gt;&lt;pages&gt;113-130&lt;/pages&gt;&lt;volume&gt;33&lt;/volume&gt;&lt;number&gt;1&lt;/number&gt;&lt;section&gt;113&lt;/section&gt;&lt;dates&gt;&lt;year&gt;2009&lt;/year&gt;&lt;/dates&gt;&lt;isbn&gt;03784266&lt;/isbn&gt;&lt;urls&gt;&lt;/urls&gt;&lt;electronic-resource-num&gt;10.1016/j.jbankfin.2007.05.016&lt;/electronic-resource-num&gt;&lt;/record&gt;&lt;/Cite&gt;&lt;/EndNote&gt;</w:instrText>
      </w:r>
      <w:r w:rsidRPr="00A558EA">
        <w:fldChar w:fldCharType="separate"/>
      </w:r>
      <w:r w:rsidRPr="00A558EA">
        <w:rPr>
          <w:noProof/>
        </w:rPr>
        <w:t>(Berger et al., 2009)</w:t>
      </w:r>
      <w:r w:rsidRPr="00A558EA">
        <w:fldChar w:fldCharType="end"/>
      </w:r>
      <w:r w:rsidRPr="00A558EA">
        <w:t xml:space="preserve"> The reason behind this choice relies upon </w:t>
      </w:r>
      <w:r w:rsidR="00B22A32">
        <w:t>the fragile</w:t>
      </w:r>
      <w:r w:rsidRPr="00A558EA">
        <w:t xml:space="preserve"> social and economic environment China was facing by that time. After World War II and the civil war, China’s economy was extremely weak</w:t>
      </w:r>
      <w:r w:rsidR="005C2A2E">
        <w:t>ened</w:t>
      </w:r>
      <w:r w:rsidRPr="00A558EA">
        <w:t xml:space="preserve"> and the social situation was rather severe, </w:t>
      </w:r>
      <w:r w:rsidR="00CE6BDA">
        <w:t>with high level of</w:t>
      </w:r>
      <w:r w:rsidRPr="00A558EA">
        <w:t xml:space="preserve"> poverty, </w:t>
      </w:r>
      <w:r w:rsidR="00920944" w:rsidRPr="00A558EA">
        <w:t>unemployment,</w:t>
      </w:r>
      <w:r w:rsidRPr="00A558EA">
        <w:t xml:space="preserve"> and inflation. Under </w:t>
      </w:r>
      <w:r w:rsidR="00CE6BDA">
        <w:t>these</w:t>
      </w:r>
      <w:r w:rsidRPr="00A558EA">
        <w:t xml:space="preserve"> circumstance</w:t>
      </w:r>
      <w:r w:rsidR="00CE6BDA">
        <w:t>s</w:t>
      </w:r>
      <w:r w:rsidRPr="00A558EA">
        <w:t xml:space="preserve">, the PBOC established a rudimentary banking system, </w:t>
      </w:r>
      <w:r w:rsidR="00CE6BDA">
        <w:t>aiming at</w:t>
      </w:r>
      <w:r w:rsidRPr="00A558EA">
        <w:t xml:space="preserve"> building up people’s faith </w:t>
      </w:r>
      <w:proofErr w:type="gramStart"/>
      <w:r w:rsidRPr="00A558EA">
        <w:t>to</w:t>
      </w:r>
      <w:proofErr w:type="gramEnd"/>
      <w:r w:rsidRPr="00A558EA">
        <w:t xml:space="preserve"> the government</w:t>
      </w:r>
      <w:r w:rsidR="00CE6BDA">
        <w:t xml:space="preserve"> </w:t>
      </w:r>
      <w:r w:rsidRPr="00A558EA">
        <w:t xml:space="preserve">and to their communities, </w:t>
      </w:r>
      <w:r w:rsidR="00CE6BDA">
        <w:t>as well as</w:t>
      </w:r>
      <w:r w:rsidRPr="00A558EA">
        <w:t xml:space="preserve"> boosting the national recovery in all aspects. </w:t>
      </w:r>
    </w:p>
    <w:p w14:paraId="3EA13727" w14:textId="2B7937EC" w:rsidR="0061685D" w:rsidRPr="00A558EA" w:rsidRDefault="00190462" w:rsidP="00920944">
      <w:pPr>
        <w:spacing w:before="120" w:after="120" w:line="288" w:lineRule="auto"/>
      </w:pPr>
      <w:r>
        <w:t>From 1979</w:t>
      </w:r>
      <w:r w:rsidR="0061685D" w:rsidRPr="00A558EA">
        <w:t>, the national strategies have shifted to developing and strengthening the economy</w:t>
      </w:r>
      <w:r>
        <w:t xml:space="preserve"> from economic recovery</w:t>
      </w:r>
      <w:r w:rsidR="0061685D" w:rsidRPr="00A558EA">
        <w:t xml:space="preserve">. A series of relative national strategies created and executed by the Chinese government are usually </w:t>
      </w:r>
      <w:r>
        <w:t>labeled</w:t>
      </w:r>
      <w:r w:rsidR="0061685D" w:rsidRPr="00A558EA">
        <w:t xml:space="preserve"> ‘Reform-Open’ strategies.  The essence of the ‘Reform-Open’ strategies </w:t>
      </w:r>
      <w:r>
        <w:t>involve</w:t>
      </w:r>
      <w:r w:rsidR="0061685D" w:rsidRPr="00A558EA">
        <w:t xml:space="preserve">: 1) lifting the restriction of accession to China’s domestic markets; 2) loosening the constraints of foreign shareholding; 3) establishing and fortifying legislation upon markets, competition, corporate </w:t>
      </w:r>
      <w:r w:rsidR="00920944" w:rsidRPr="00A558EA">
        <w:t>governance,</w:t>
      </w:r>
      <w:r w:rsidR="0061685D" w:rsidRPr="00A558EA">
        <w:t xml:space="preserve"> and intellectual property protection. The reform of financial system is a critical</w:t>
      </w:r>
      <w:r w:rsidR="005C2A2E">
        <w:t xml:space="preserve"> part in the</w:t>
      </w:r>
      <w:r w:rsidR="0061685D" w:rsidRPr="00A558EA">
        <w:t xml:space="preserve"> chain </w:t>
      </w:r>
      <w:r w:rsidR="005C2A2E">
        <w:t>of</w:t>
      </w:r>
      <w:r w:rsidR="0061685D" w:rsidRPr="00A558EA">
        <w:t xml:space="preserve"> China’s industrial </w:t>
      </w:r>
      <w:r>
        <w:t>r</w:t>
      </w:r>
      <w:r w:rsidR="0061685D" w:rsidRPr="00A558EA">
        <w:t>eform</w:t>
      </w:r>
      <w:r>
        <w:t>s</w:t>
      </w:r>
      <w:r w:rsidR="0061685D" w:rsidRPr="00A558EA">
        <w:t xml:space="preserve">. </w:t>
      </w:r>
    </w:p>
    <w:p w14:paraId="49CDB6E6" w14:textId="22C7AA1E" w:rsidR="0061685D" w:rsidRPr="00941CB8" w:rsidRDefault="0061685D" w:rsidP="00920944">
      <w:pPr>
        <w:spacing w:before="120" w:after="120" w:line="288" w:lineRule="auto"/>
      </w:pPr>
      <w:r w:rsidRPr="00A558EA">
        <w:t>During the period between 1979 and 1992, China’s banking sector reconstructed its institutional structure. First, the commercial-banking function of the People’s Bank of China was delegated to four state-owned commercial banks: Bank of China, China Construction Bank, Agricultural Bank of China, and Industrial and Commercial Bank of China. These four commercial banks are traditionally called ‘the Big Four’. By the time they were founded or resumed</w:t>
      </w:r>
      <w:r w:rsidR="00190462">
        <w:rPr>
          <w:rStyle w:val="FootnoteReference"/>
        </w:rPr>
        <w:footnoteReference w:id="5"/>
      </w:r>
      <w:r w:rsidRPr="00A558EA">
        <w:t xml:space="preserve">, their business </w:t>
      </w:r>
      <w:r w:rsidRPr="00941CB8">
        <w:t xml:space="preserve">was limited </w:t>
      </w:r>
      <w:r w:rsidR="00190462" w:rsidRPr="00941CB8">
        <w:t>in a</w:t>
      </w:r>
      <w:r w:rsidR="005C2A2E" w:rsidRPr="00941CB8">
        <w:t xml:space="preserve"> </w:t>
      </w:r>
      <w:r w:rsidRPr="00941CB8">
        <w:t>specified sector of economy</w:t>
      </w:r>
      <w:r w:rsidR="00190462" w:rsidRPr="00941CB8">
        <w:t xml:space="preserve">, namely </w:t>
      </w:r>
      <w:r w:rsidRPr="00941CB8">
        <w:t xml:space="preserve">foreign trade, construction, agriculture, and industrial and commercial sectors. </w:t>
      </w:r>
      <w:r w:rsidRPr="00941CB8">
        <w:fldChar w:fldCharType="begin">
          <w:fldData xml:space="preserve">PEVuZE5vdGU+PENpdGU+PEF1dGhvcj5CZXJnZXI8L0F1dGhvcj48WWVhcj4yMDA5PC9ZZWFyPjxS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</w:fldData>
        </w:fldChar>
      </w:r>
      <w:r w:rsidR="00BD60A0" w:rsidRPr="00941CB8">
        <w:instrText xml:space="preserve"> ADDIN EN.CITE </w:instrText>
      </w:r>
      <w:r w:rsidR="00BD60A0" w:rsidRPr="00941CB8">
        <w:fldChar w:fldCharType="begin">
          <w:fldData xml:space="preserve">PEVuZE5vdGU+PENpdGU+PEF1dGhvcj5CZXJnZXI8L0F1dGhvcj48WWVhcj4yMDA5PC9ZZWFyPjxS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</w:fldData>
        </w:fldChar>
      </w:r>
      <w:r w:rsidR="00BD60A0" w:rsidRPr="00941CB8">
        <w:instrText xml:space="preserve"> ADDIN EN.CITE.DATA </w:instrText>
      </w:r>
      <w:r w:rsidR="00BD60A0" w:rsidRPr="00941CB8">
        <w:fldChar w:fldCharType="end"/>
      </w:r>
      <w:r w:rsidRPr="00941CB8">
        <w:fldChar w:fldCharType="separate"/>
      </w:r>
      <w:r w:rsidRPr="00941CB8">
        <w:rPr>
          <w:noProof/>
        </w:rPr>
        <w:t>(Berger et al., 2009, Jiang et al., 2009)</w:t>
      </w:r>
      <w:r w:rsidRPr="00941CB8">
        <w:fldChar w:fldCharType="end"/>
      </w:r>
      <w:r w:rsidRPr="00941CB8">
        <w:t xml:space="preserve"> Second, national banks </w:t>
      </w:r>
      <w:r w:rsidR="00190462" w:rsidRPr="00941CB8">
        <w:t>came into existence</w:t>
      </w:r>
      <w:r w:rsidRPr="00941CB8">
        <w:t xml:space="preserve"> </w:t>
      </w:r>
      <w:r w:rsidR="00190462" w:rsidRPr="00941CB8">
        <w:t>from</w:t>
      </w:r>
      <w:r w:rsidRPr="00941CB8">
        <w:t xml:space="preserve"> 1986.</w:t>
      </w:r>
      <w:r w:rsidRPr="00941CB8">
        <w:fldChar w:fldCharType="begin"/>
      </w:r>
      <w:r w:rsidR="00464703" w:rsidRPr="00941CB8">
        <w:instrText xml:space="preserve"> ADDIN EN.CITE &lt;EndNote&gt;&lt;Cite&gt;&lt;Author&gt;Hsiao&lt;/Author&gt;&lt;Year&gt;2015&lt;/Year&gt;&lt;RecNum&gt;136&lt;/RecNum&gt;&lt;DisplayText&gt;(Hsiao et al., 2015)&lt;/DisplayText&gt;&lt;record&gt;&lt;rec-number&gt;136&lt;/rec-number&gt;&lt;foreign-keys&gt;&lt;key app="EN" db-id="tewxv52070srvlesdv5x5srafe0w5fspwe2v" timestamp="1598118637"&gt;136&lt;/key&gt;&lt;/foreign-keys&gt;&lt;ref-type name="Journal Article"&gt;17&lt;/ref-type&gt;&lt;contributors&gt;&lt;authors&gt;&lt;author&gt;Hsiao, Cheng&lt;/author&gt;&lt;author&gt;Shen, Yan&lt;/author&gt;&lt;author&gt;Bian, Wenlong&lt;/author&gt;&lt;/authors&gt;&lt;/contributors&gt;&lt;titles&gt;&lt;title&gt;Evaluating the effectiveness of China&amp;apos;s financial reform—The efficiency of China&amp;apos;s domestic banks&lt;/title&gt;&lt;secondary-title&gt;China Economic Review&lt;/secondary-title&gt;&lt;/titles&gt;&lt;periodical&gt;&lt;full-title&gt;China Economic Review&lt;/full-title&gt;&lt;/periodical&gt;&lt;pages&gt;70-82&lt;/pages&gt;&lt;volume&gt;35&lt;/volume&gt;&lt;keywords&gt;&lt;keyword&gt;Financial reform&lt;/keyword&gt;&lt;keyword&gt;Efficiency&lt;/keyword&gt;&lt;keyword&gt;Stochastic frontier analysis&lt;/keyword&gt;&lt;/keywords&gt;&lt;dates&gt;&lt;year&gt;2015&lt;/year&gt;&lt;pub-dates&gt;&lt;date&gt;2015/09/01/&lt;/date&gt;&lt;/pub-dates&gt;&lt;/dates&gt;&lt;isbn&gt;1043-951X&lt;/isbn&gt;&lt;urls&gt;&lt;related-urls&gt;&lt;url&gt;http://www.sciencedirect.com/science/article/pii/S1043951X15000644&lt;/url&gt;&lt;/related-urls&gt;&lt;/urls&gt;&lt;electronic-resource-num&gt;https://doi.org/10.1016/j.chieco.2015.05.006&lt;/electronic-resource-num&gt;&lt;/record&gt;&lt;/Cite&gt;&lt;/EndNote&gt;</w:instrText>
      </w:r>
      <w:r w:rsidRPr="00941CB8">
        <w:fldChar w:fldCharType="separate"/>
      </w:r>
      <w:r w:rsidRPr="00941CB8">
        <w:rPr>
          <w:noProof/>
        </w:rPr>
        <w:t>(Hsiao et al., 2015)</w:t>
      </w:r>
      <w:r w:rsidRPr="00941CB8">
        <w:fldChar w:fldCharType="end"/>
      </w:r>
      <w:r w:rsidRPr="00941CB8">
        <w:t xml:space="preserve"> </w:t>
      </w:r>
      <w:r w:rsidR="001444DC" w:rsidRPr="00941CB8">
        <w:t xml:space="preserve">The first national bank is Bank of Communications </w:t>
      </w:r>
      <w:r w:rsidR="001444DC" w:rsidRPr="00941CB8">
        <w:rPr>
          <w:rFonts w:hint="eastAsia"/>
        </w:rPr>
        <w:t>which</w:t>
      </w:r>
      <w:r w:rsidR="001444DC" w:rsidRPr="00941CB8">
        <w:t xml:space="preserve"> was resumed in 1987</w:t>
      </w:r>
      <w:r w:rsidR="00006585" w:rsidRPr="00941CB8">
        <w:rPr>
          <w:rStyle w:val="FootnoteReference"/>
        </w:rPr>
        <w:footnoteReference w:id="6"/>
      </w:r>
      <w:r w:rsidR="001444DC" w:rsidRPr="00941CB8">
        <w:t>. Apart from the biggest shareholder</w:t>
      </w:r>
      <w:r w:rsidR="00190462" w:rsidRPr="00941CB8">
        <w:t>-</w:t>
      </w:r>
      <w:r w:rsidR="001444DC" w:rsidRPr="00941CB8">
        <w:t xml:space="preserve"> the Finance </w:t>
      </w:r>
      <w:r w:rsidR="001444DC">
        <w:t xml:space="preserve">Ministry, </w:t>
      </w:r>
      <w:r w:rsidRPr="00A558EA">
        <w:t xml:space="preserve">state-owned enterprises were allowed to </w:t>
      </w:r>
      <w:r w:rsidR="00190462">
        <w:t>invest</w:t>
      </w:r>
      <w:r w:rsidRPr="00A558EA">
        <w:t xml:space="preserve"> in banks</w:t>
      </w:r>
      <w:r w:rsidR="001444DC">
        <w:t xml:space="preserve"> for the first time</w:t>
      </w:r>
      <w:r w:rsidRPr="00A558EA">
        <w:t xml:space="preserve">. Third, other </w:t>
      </w:r>
      <w:r w:rsidRPr="00941CB8">
        <w:t xml:space="preserve">types of </w:t>
      </w:r>
      <w:r w:rsidR="005C2A2E" w:rsidRPr="00941CB8">
        <w:t xml:space="preserve">financial </w:t>
      </w:r>
      <w:r w:rsidRPr="00941CB8">
        <w:t xml:space="preserve">institutions were set up or resumed to complete the financial system. </w:t>
      </w:r>
      <w:r w:rsidR="0057655B" w:rsidRPr="00941CB8">
        <w:t xml:space="preserve">For instance, </w:t>
      </w:r>
      <w:r w:rsidR="00B22A32" w:rsidRPr="00941CB8">
        <w:t xml:space="preserve">the </w:t>
      </w:r>
      <w:r w:rsidR="0057655B" w:rsidRPr="00941CB8">
        <w:t>S</w:t>
      </w:r>
      <w:r w:rsidRPr="00941CB8">
        <w:t>tate Administration of Foreign Exchange</w:t>
      </w:r>
      <w:r w:rsidR="004B7827" w:rsidRPr="00941CB8">
        <w:t xml:space="preserve"> (SAFE)</w:t>
      </w:r>
      <w:r w:rsidRPr="00941CB8">
        <w:t xml:space="preserve"> was founded as the authority administrating foreign Exchange issues. The People’s Insurance company was re-established</w:t>
      </w:r>
      <w:r w:rsidR="00B22A32" w:rsidRPr="00941CB8">
        <w:rPr>
          <w:rStyle w:val="FootnoteReference"/>
        </w:rPr>
        <w:footnoteReference w:id="7"/>
      </w:r>
      <w:r w:rsidRPr="00941CB8">
        <w:t xml:space="preserve">. Trust companies and urban credit cooperatives, as new players, </w:t>
      </w:r>
      <w:r w:rsidR="00920944" w:rsidRPr="00941CB8">
        <w:t>entered</w:t>
      </w:r>
      <w:r w:rsidRPr="00941CB8">
        <w:t xml:space="preserve"> China’s financial system. Foreign banks were allowed to enter China’s financial market by operating in Special Economic Zones</w:t>
      </w:r>
      <w:r w:rsidR="002E12DF" w:rsidRPr="00941CB8">
        <w:rPr>
          <w:rStyle w:val="FootnoteReference"/>
        </w:rPr>
        <w:footnoteReference w:id="8"/>
      </w:r>
      <w:r w:rsidRPr="00941CB8">
        <w:t>.</w:t>
      </w:r>
      <w:r w:rsidRPr="00941CB8">
        <w:fldChar w:fldCharType="begin"/>
      </w:r>
      <w:r w:rsidR="00BD60A0" w:rsidRPr="00941CB8">
        <w:instrText xml:space="preserve"> ADDIN EN.CITE &lt;EndNote&gt;&lt;Cite&gt;&lt;Author&gt;Berger&lt;/Author&gt;&lt;Year&gt;2009&lt;/Year&gt;&lt;RecNum&gt;74&lt;/RecNum&gt;&lt;DisplayText&gt;(Berger et al., 2009)&lt;/DisplayText&gt;&lt;record&gt;&lt;rec-number&gt;74&lt;/rec-number&gt;&lt;foreign-keys&gt;&lt;key app="EN" db-id="tewxv52070srvlesdv5x5srafe0w5fspwe2v" timestamp="1578074365"&gt;74&lt;/key&gt;&lt;key app="ENWeb" db-id=""&gt;0&lt;/key&gt;&lt;/foreign-keys&gt;&lt;ref-type name="Journal Article"&gt;17&lt;/ref-type&gt;&lt;contributors&gt;&lt;authors&gt;&lt;author&gt;Berger, Allen N.&lt;/author&gt;&lt;author&gt;Hasan, Iftekhar&lt;/author&gt;&lt;author&gt;Zhou, Mingming&lt;/author&gt;&lt;/authors&gt;&lt;/contributors&gt;&lt;titles&gt;&lt;title&gt;Bank ownership and efficiency in China: What will happen in the world’s largest nation?&lt;/title&gt;&lt;secondary-title&gt;Journal of Banking &amp;amp; Finance&lt;/secondary-title&gt;&lt;/titles&gt;&lt;periodical&gt;&lt;full-title&gt;Journal of Banking &amp;amp; Finance&lt;/full-title&gt;&lt;/periodical&gt;&lt;pages&gt;113-130&lt;/pages&gt;&lt;volume&gt;33&lt;/volume&gt;&lt;number&gt;1&lt;/number&gt;&lt;section&gt;113&lt;/section&gt;&lt;dates&gt;&lt;year&gt;2009&lt;/year&gt;&lt;/dates&gt;&lt;isbn&gt;03784266&lt;/isbn&gt;&lt;urls&gt;&lt;/urls&gt;&lt;electronic-resource-num&gt;10.1016/j.jbankfin.2007.05.016&lt;/electronic-resource-num&gt;&lt;/record&gt;&lt;/Cite&gt;&lt;/EndNote&gt;</w:instrText>
      </w:r>
      <w:r w:rsidRPr="00941CB8">
        <w:fldChar w:fldCharType="separate"/>
      </w:r>
      <w:r w:rsidRPr="00941CB8">
        <w:rPr>
          <w:noProof/>
        </w:rPr>
        <w:t>(Berger et al., 2009)</w:t>
      </w:r>
      <w:r w:rsidRPr="00941CB8">
        <w:fldChar w:fldCharType="end"/>
      </w:r>
      <w:r w:rsidRPr="00941CB8">
        <w:t xml:space="preserve"> Forth, </w:t>
      </w:r>
      <w:r w:rsidR="0057655B" w:rsidRPr="00941CB8">
        <w:t xml:space="preserve">from </w:t>
      </w:r>
      <w:r w:rsidRPr="00941CB8">
        <w:t>1984, the PBOC perform</w:t>
      </w:r>
      <w:r w:rsidR="00B22A32" w:rsidRPr="00941CB8">
        <w:t>s</w:t>
      </w:r>
      <w:r w:rsidRPr="00941CB8">
        <w:t xml:space="preserve"> sol</w:t>
      </w:r>
      <w:r w:rsidR="00B22A32" w:rsidRPr="00941CB8">
        <w:t>ely</w:t>
      </w:r>
      <w:r w:rsidRPr="00941CB8">
        <w:t xml:space="preserve"> as a central bank, which was decided by the State Council the year before. </w:t>
      </w:r>
    </w:p>
    <w:p w14:paraId="73EE6653" w14:textId="2158616C" w:rsidR="0061685D" w:rsidRPr="00941CB8" w:rsidRDefault="0061685D" w:rsidP="00920944">
      <w:pPr>
        <w:spacing w:before="120" w:after="120" w:line="288" w:lineRule="auto"/>
      </w:pPr>
      <w:r w:rsidRPr="00941CB8">
        <w:t xml:space="preserve">A </w:t>
      </w:r>
      <w:r w:rsidR="0057655B" w:rsidRPr="00941CB8">
        <w:t xml:space="preserve">key </w:t>
      </w:r>
      <w:r w:rsidRPr="00941CB8">
        <w:t>feature of China’s financial reform during this period is reconstruction at the institutional level. This period is often recognized as the first wave of China’s financial reform</w:t>
      </w:r>
      <w:r w:rsidR="005C2A2E" w:rsidRPr="00941CB8">
        <w:t>s</w:t>
      </w:r>
      <w:r w:rsidRPr="00941CB8">
        <w:t xml:space="preserve">. At this stage, new types of players </w:t>
      </w:r>
      <w:r w:rsidR="0057655B" w:rsidRPr="00941CB8">
        <w:t>began</w:t>
      </w:r>
      <w:r w:rsidRPr="00941CB8">
        <w:t xml:space="preserve"> to operate in China’s financial markets. </w:t>
      </w:r>
      <w:r w:rsidR="00845719" w:rsidRPr="00941CB8">
        <w:t>However,</w:t>
      </w:r>
      <w:r w:rsidRPr="00941CB8">
        <w:t xml:space="preserve"> the government still controlled the ownership of all layers of financial institutions. Apart from the Big Four banks, city credit cooperatives</w:t>
      </w:r>
      <w:r w:rsidR="0057655B" w:rsidRPr="00941CB8">
        <w:t>,</w:t>
      </w:r>
      <w:r w:rsidRPr="00941CB8">
        <w:t xml:space="preserve"> emerged </w:t>
      </w:r>
      <w:r w:rsidR="0057655B" w:rsidRPr="00941CB8">
        <w:t>in</w:t>
      </w:r>
      <w:r w:rsidRPr="00941CB8">
        <w:t xml:space="preserve"> this period</w:t>
      </w:r>
      <w:r w:rsidR="0057655B" w:rsidRPr="00941CB8">
        <w:t>,</w:t>
      </w:r>
      <w:r w:rsidRPr="00941CB8">
        <w:t xml:space="preserve"> were </w:t>
      </w:r>
      <w:r w:rsidR="000E7ECD" w:rsidRPr="00941CB8">
        <w:t xml:space="preserve">still </w:t>
      </w:r>
      <w:r w:rsidRPr="00941CB8">
        <w:t xml:space="preserve">wholly owned by local Bureau of Finance, because the capital </w:t>
      </w:r>
      <w:r w:rsidR="005C2A2E" w:rsidRPr="00941CB8">
        <w:t xml:space="preserve">used </w:t>
      </w:r>
      <w:r w:rsidRPr="00941CB8">
        <w:t xml:space="preserve">to </w:t>
      </w:r>
      <w:r w:rsidR="000E7ECD" w:rsidRPr="00941CB8">
        <w:t xml:space="preserve">establish </w:t>
      </w:r>
      <w:r w:rsidRPr="00941CB8">
        <w:t>those financial institutions was originated from the Treasury system (</w:t>
      </w:r>
      <w:r w:rsidR="0057655B" w:rsidRPr="00941CB8">
        <w:t xml:space="preserve">i.e. </w:t>
      </w:r>
      <w:proofErr w:type="gramStart"/>
      <w:r w:rsidRPr="00941CB8">
        <w:t>tax payers</w:t>
      </w:r>
      <w:proofErr w:type="gramEnd"/>
      <w:r w:rsidRPr="00941CB8">
        <w:t>). Th</w:t>
      </w:r>
      <w:r w:rsidR="0057655B" w:rsidRPr="00941CB8">
        <w:t>is</w:t>
      </w:r>
      <w:r w:rsidRPr="00941CB8">
        <w:t xml:space="preserve"> first round of the financial </w:t>
      </w:r>
      <w:r w:rsidR="0057655B" w:rsidRPr="00941CB8">
        <w:t>reorganization</w:t>
      </w:r>
      <w:r w:rsidRPr="00941CB8">
        <w:t xml:space="preserve"> is one of the milestones in China’s reform process.</w:t>
      </w:r>
      <w:r w:rsidR="000E7ECD" w:rsidRPr="00941CB8">
        <w:t xml:space="preserve"> It </w:t>
      </w:r>
      <w:proofErr w:type="gramStart"/>
      <w:r w:rsidR="000E7ECD" w:rsidRPr="00941CB8">
        <w:t>has to</w:t>
      </w:r>
      <w:proofErr w:type="gramEnd"/>
      <w:r w:rsidR="000E7ECD" w:rsidRPr="00941CB8">
        <w:t xml:space="preserve"> be admitted that the </w:t>
      </w:r>
      <w:r w:rsidRPr="00941CB8">
        <w:t xml:space="preserve">chances for the further changes and development </w:t>
      </w:r>
      <w:r w:rsidR="000E7ECD" w:rsidRPr="00941CB8">
        <w:t>were provided at this stage; nevertheless, Chinese government also held conservative attitude towards permitting foreign bank entry.</w:t>
      </w:r>
    </w:p>
    <w:p w14:paraId="1BD87704" w14:textId="350B96F8" w:rsidR="0061685D" w:rsidRPr="00A558EA" w:rsidRDefault="00C31EB8" w:rsidP="00920944">
      <w:pPr>
        <w:pStyle w:val="Heading2"/>
        <w:spacing w:before="120" w:after="120" w:line="288" w:lineRule="auto"/>
        <w:rPr>
          <w:rFonts w:ascii="Corbel" w:hAnsi="Corbel"/>
          <w:i/>
          <w:iCs/>
          <w:u w:val="single"/>
        </w:rPr>
      </w:pPr>
      <w:r>
        <w:rPr>
          <w:rFonts w:ascii="Corbel" w:hAnsi="Corbel"/>
          <w:i/>
          <w:iCs/>
          <w:u w:val="single"/>
        </w:rPr>
        <w:t>E</w:t>
      </w:r>
      <w:r w:rsidR="0061685D" w:rsidRPr="00A558EA">
        <w:rPr>
          <w:rFonts w:ascii="Corbel" w:hAnsi="Corbel"/>
          <w:i/>
          <w:iCs/>
          <w:u w:val="single"/>
        </w:rPr>
        <w:t>arly</w:t>
      </w:r>
      <w:r>
        <w:rPr>
          <w:rFonts w:ascii="Corbel" w:hAnsi="Corbel"/>
          <w:i/>
          <w:iCs/>
          <w:u w:val="single"/>
        </w:rPr>
        <w:t>-</w:t>
      </w:r>
      <w:r w:rsidR="0061685D" w:rsidRPr="00A558EA">
        <w:rPr>
          <w:rFonts w:ascii="Corbel" w:hAnsi="Corbel"/>
          <w:i/>
          <w:iCs/>
          <w:u w:val="single"/>
        </w:rPr>
        <w:t xml:space="preserve">1990s to </w:t>
      </w:r>
      <w:r>
        <w:rPr>
          <w:rFonts w:ascii="Corbel" w:hAnsi="Corbel"/>
          <w:i/>
          <w:iCs/>
          <w:u w:val="single"/>
        </w:rPr>
        <w:t>End-</w:t>
      </w:r>
      <w:r w:rsidR="0061685D" w:rsidRPr="00A558EA">
        <w:rPr>
          <w:rFonts w:ascii="Corbel" w:hAnsi="Corbel"/>
          <w:i/>
          <w:iCs/>
          <w:u w:val="single"/>
        </w:rPr>
        <w:t xml:space="preserve"> 2001</w:t>
      </w:r>
    </w:p>
    <w:p w14:paraId="5A5A877A" w14:textId="5A708A61" w:rsidR="0061685D" w:rsidRPr="00A558EA" w:rsidRDefault="00C31EB8" w:rsidP="00920944">
      <w:pPr>
        <w:spacing w:before="120" w:after="120" w:line="288" w:lineRule="auto"/>
      </w:pPr>
      <w:r>
        <w:t>Besides the financial reforms, the industrial reforms happened in industries at the same period. T</w:t>
      </w:r>
      <w:r w:rsidR="0061685D" w:rsidRPr="00A558EA">
        <w:t>he first wave of China’s industrial reform</w:t>
      </w:r>
      <w:r>
        <w:t>s</w:t>
      </w:r>
      <w:r w:rsidR="0061685D" w:rsidRPr="00A558EA">
        <w:t xml:space="preserve"> not only gave the state-owned enterprises more freedom of decision-making on their operations, but also created the ‘Contract Responsibility System’ (CRS) to take a tentative attempt in separation of ownership and management. </w:t>
      </w:r>
      <w:r w:rsidR="0061685D" w:rsidRPr="00A558EA">
        <w:fldChar w:fldCharType="begin"/>
      </w:r>
      <w:r w:rsidR="0061685D" w:rsidRPr="00A558EA">
        <w:instrText xml:space="preserve"> ADDIN EN.CITE &lt;EndNote&gt;&lt;Cite&gt;&lt;Author&gt;Lin&lt;/Author&gt;&lt;Year&gt;2020&lt;/Year&gt;&lt;RecNum&gt;53&lt;/RecNum&gt;&lt;DisplayText&gt;(Lin et al., 2020)&lt;/DisplayText&gt;&lt;record&gt;&lt;rec-number&gt;53&lt;/rec-number&gt;&lt;foreign-keys&gt;&lt;key app="EN" db-id="xze9dwva9zzvfwe9p0vpz55lp5dr9e9zd955" timestamp="1592582804"&gt;53&lt;/key&gt;&lt;/foreign-keys&gt;&lt;ref-type name="Journal Article"&gt;17&lt;/ref-type&gt;&lt;contributors&gt;&lt;authors&gt;&lt;author&gt;Lin, Karen Jingrong&lt;/author&gt;&lt;author&gt;Lu, Xiaoyan&lt;/author&gt;&lt;author&gt;Zhang, Junsheng&lt;/author&gt;&lt;author&gt;Zheng, Ying&lt;/author&gt;&lt;/authors&gt;&lt;/contributors&gt;&lt;titles&gt;&lt;title&gt;State-owned enterprises in China: A review of 40</w:instrText>
      </w:r>
      <w:r w:rsidR="0061685D" w:rsidRPr="00A558EA">
        <w:rPr>
          <w:rFonts w:ascii="Times New Roman" w:hAnsi="Times New Roman" w:cs="Times New Roman"/>
        </w:rPr>
        <w:instrText> </w:instrText>
      </w:r>
      <w:r w:rsidR="0061685D" w:rsidRPr="00A558EA">
        <w:instrText>years of research and practice&lt;/title&gt;&lt;secondary-title&gt;China Journal of Accounting Research&lt;/secondary-title&gt;&lt;/titles&gt;&lt;periodical&gt;&lt;full-title&gt;China Journal of Accounting Research&lt;/full-title&gt;&lt;/periodical&gt;&lt;pages&gt;31-55&lt;/pages&gt;&lt;volume&gt;13&lt;/volume&gt;&lt;number&gt;1&lt;/number&gt;&lt;keywords&gt;&lt;keyword&gt;State-owned enterprises (SOE)&lt;/keyword&gt;&lt;keyword&gt;Literature review&lt;/keyword&gt;&lt;keyword&gt;China&lt;/keyword&gt;&lt;/keywords&gt;&lt;dates&gt;&lt;year&gt;2020&lt;/year&gt;&lt;pub-dates&gt;&lt;date&gt;2020/03/01/&lt;/date&gt;&lt;/pub-dates&gt;&lt;/dates&gt;&lt;isbn&gt;1755-3091&lt;/isbn&gt;&lt;urls&gt;&lt;related-urls&gt;&lt;url&gt;http://www.sciencedirect.com/science/article/pii/S1755309119300437&lt;/url&gt;&lt;/related-urls&gt;&lt;/urls&gt;&lt;electronic-resource-num&gt;https://doi.org/10.1016/j.cjar.2019.12.001&lt;/electronic-resource-num&gt;&lt;/record&gt;&lt;/Cite&gt;&lt;/EndNote&gt;</w:instrText>
      </w:r>
      <w:r w:rsidR="0061685D" w:rsidRPr="00A558EA">
        <w:fldChar w:fldCharType="separate"/>
      </w:r>
      <w:r w:rsidR="0061685D" w:rsidRPr="00A558EA">
        <w:rPr>
          <w:noProof/>
        </w:rPr>
        <w:t>(Lin et al., 2020)</w:t>
      </w:r>
      <w:r w:rsidR="0061685D" w:rsidRPr="00A558EA">
        <w:fldChar w:fldCharType="end"/>
      </w:r>
      <w:r w:rsidR="0061685D" w:rsidRPr="00A558EA">
        <w:t xml:space="preserve"> The CRS works similarly as the contract </w:t>
      </w:r>
      <w:r w:rsidR="005C2A2E">
        <w:t>between shareholders and</w:t>
      </w:r>
      <w:r w:rsidR="0061685D" w:rsidRPr="00A558EA">
        <w:t xml:space="preserve"> management in corporate governance</w:t>
      </w:r>
      <w:r w:rsidR="005603CD">
        <w:t xml:space="preserve"> in advanced countries</w:t>
      </w:r>
      <w:r w:rsidR="0061685D" w:rsidRPr="00A558EA">
        <w:t xml:space="preserve">, except the CRS works </w:t>
      </w:r>
      <w:r w:rsidR="00920944" w:rsidRPr="00A558EA">
        <w:t>based on</w:t>
      </w:r>
      <w:r w:rsidR="0061685D" w:rsidRPr="00A558EA">
        <w:t xml:space="preserve"> </w:t>
      </w:r>
      <w:r w:rsidR="005C2A2E">
        <w:t xml:space="preserve">the </w:t>
      </w:r>
      <w:r w:rsidR="0061685D" w:rsidRPr="00A558EA">
        <w:t xml:space="preserve">state-owned ownership and has some </w:t>
      </w:r>
      <w:r w:rsidR="00920944" w:rsidRPr="00A558EA">
        <w:t>constraints</w:t>
      </w:r>
      <w:r w:rsidR="0061685D" w:rsidRPr="00A558EA">
        <w:t>. The CRS boosted the incentives of management of the state-owned enterprises at the same time caused some issues such as superfluous supply and moral hazard</w:t>
      </w:r>
      <w:r w:rsidR="005C2A2E">
        <w:t xml:space="preserve"> problems</w:t>
      </w:r>
      <w:r>
        <w:t xml:space="preserve"> due to the leeway of the CRS system</w:t>
      </w:r>
      <w:r w:rsidR="0061685D" w:rsidRPr="00A558EA">
        <w:t>. One of the results was the severe deterioration of loan quality of the Big Four, since the Big Four played a main role in the state-owned enterprises’ financing</w:t>
      </w:r>
      <w:r w:rsidR="005603CD">
        <w:t xml:space="preserve"> which were involved directly with the government before 1990’s</w:t>
      </w:r>
      <w:r w:rsidR="0061685D" w:rsidRPr="00A558EA">
        <w:t xml:space="preserve">. Concerning the Big Four, several initiatives were adopted. In 1994, three policy banks (China Development Bank, Agricultural Development Bank of China, Export-Import Bank of China) were established to undertake the policy-lending function performed by the Big Four.  In 1998, </w:t>
      </w:r>
      <w:proofErr w:type="gramStart"/>
      <w:r w:rsidR="0061685D" w:rsidRPr="00A558EA">
        <w:t>Ministry</w:t>
      </w:r>
      <w:proofErr w:type="gramEnd"/>
      <w:r w:rsidR="0061685D" w:rsidRPr="00A558EA">
        <w:t xml:space="preserve"> of Finance issued 270 billion RMB of long-term special </w:t>
      </w:r>
      <w:r w:rsidR="00C30625">
        <w:t>T</w:t>
      </w:r>
      <w:r w:rsidR="0061685D" w:rsidRPr="00A558EA">
        <w:t>reasury bond</w:t>
      </w:r>
      <w:r w:rsidR="00C30625">
        <w:t>s</w:t>
      </w:r>
      <w:r w:rsidR="0061685D" w:rsidRPr="00A558EA">
        <w:t xml:space="preserve"> as the supplement capital invested into the Big Four. In 1999, four state-owned asset management companies (AMCs)</w:t>
      </w:r>
      <w:r w:rsidR="0061685D" w:rsidRPr="00A558EA">
        <w:rPr>
          <w:rStyle w:val="FootnoteReference"/>
        </w:rPr>
        <w:footnoteReference w:id="9"/>
      </w:r>
      <w:r w:rsidR="0061685D" w:rsidRPr="00A558EA">
        <w:t xml:space="preserve"> were founded and bought in total 1.4 trillion RMB of Non-performing Loans from the Big Four. </w:t>
      </w:r>
    </w:p>
    <w:p w14:paraId="5E0C47E8" w14:textId="4AF02DCC" w:rsidR="0061685D" w:rsidRPr="00A558EA" w:rsidRDefault="00C30625" w:rsidP="00920944">
      <w:pPr>
        <w:spacing w:before="120" w:after="120" w:line="288" w:lineRule="auto"/>
      </w:pPr>
      <w:r>
        <w:t>Regulatory l</w:t>
      </w:r>
      <w:r w:rsidR="0061685D" w:rsidRPr="00A558EA">
        <w:t xml:space="preserve">egislation </w:t>
      </w:r>
      <w:r>
        <w:t>surrounding</w:t>
      </w:r>
      <w:r w:rsidR="0061685D" w:rsidRPr="00A558EA">
        <w:t xml:space="preserve"> financial reform</w:t>
      </w:r>
      <w:r w:rsidR="005C2A2E">
        <w:t>s</w:t>
      </w:r>
      <w:r w:rsidR="0061685D" w:rsidRPr="00A558EA">
        <w:t xml:space="preserve"> made a breakthrough during this period. In 1995, Central Bank Law </w:t>
      </w:r>
      <w:r>
        <w:t>(</w:t>
      </w:r>
      <w:r w:rsidR="0061685D" w:rsidRPr="00A558EA">
        <w:t>the People’s Bank of China Law of the People’s Republic of China</w:t>
      </w:r>
      <w:r>
        <w:t>)</w:t>
      </w:r>
      <w:r w:rsidR="0061685D" w:rsidRPr="00A558EA">
        <w:t xml:space="preserve"> and Commercial Bank Law </w:t>
      </w:r>
      <w:r>
        <w:t>(</w:t>
      </w:r>
      <w:r w:rsidR="0061685D" w:rsidRPr="00A558EA">
        <w:t>Commercial Bank Law of the People’s Republic of China</w:t>
      </w:r>
      <w:r>
        <w:t>)</w:t>
      </w:r>
      <w:r w:rsidR="0061685D" w:rsidRPr="00A558EA">
        <w:t xml:space="preserve"> were </w:t>
      </w:r>
      <w:r w:rsidR="005603CD">
        <w:t>enacted</w:t>
      </w:r>
      <w:r w:rsidR="0061685D" w:rsidRPr="00A558EA">
        <w:t xml:space="preserve"> by the National People’s Congress. Central Bank Law authorizes the People’s Bank of China as the central banks of China to perform regulation and supervision over China’s financial system. Commercial Bank Law clarifies banks should conduct their business as commercial entities. Commercial Bank Law also, for the first time, stipulates the requirement of </w:t>
      </w:r>
      <w:proofErr w:type="gramStart"/>
      <w:r w:rsidR="0061685D" w:rsidRPr="00A558EA">
        <w:t>the capital</w:t>
      </w:r>
      <w:proofErr w:type="gramEnd"/>
      <w:r w:rsidR="0061685D" w:rsidRPr="00A558EA">
        <w:t xml:space="preserve"> adequacy towards commercial banks.</w:t>
      </w:r>
      <w:r>
        <w:t xml:space="preserve"> It requires that commercial banks must </w:t>
      </w:r>
      <w:proofErr w:type="gramStart"/>
      <w:r>
        <w:t>remain the capital</w:t>
      </w:r>
      <w:proofErr w:type="gramEnd"/>
      <w:r>
        <w:t xml:space="preserve"> adequacy ratios over 8%. </w:t>
      </w:r>
    </w:p>
    <w:p w14:paraId="182F8166" w14:textId="64F6B748" w:rsidR="0061685D" w:rsidRPr="00A558EA" w:rsidRDefault="0061685D" w:rsidP="00920944">
      <w:pPr>
        <w:spacing w:before="120" w:after="120" w:line="288" w:lineRule="auto"/>
      </w:pPr>
      <w:r w:rsidRPr="00A558EA">
        <w:t>National banks</w:t>
      </w:r>
      <w:r w:rsidR="005603CD">
        <w:rPr>
          <w:rStyle w:val="FootnoteReference"/>
        </w:rPr>
        <w:footnoteReference w:id="10"/>
      </w:r>
      <w:r w:rsidRPr="00A558EA">
        <w:t xml:space="preserve"> started to take the form of joint-stock</w:t>
      </w:r>
      <w:r w:rsidR="003D165F">
        <w:rPr>
          <w:rStyle w:val="FootnoteReference"/>
        </w:rPr>
        <w:footnoteReference w:id="11"/>
      </w:r>
      <w:r w:rsidRPr="00A558EA">
        <w:t xml:space="preserve"> as the ownership structure. In 1996, China Minsheng Bank was established and jointly owned by private companies instead of having state-owned institutions and/or Ministry of Finance as its shareholders. Required by the State </w:t>
      </w:r>
      <w:proofErr w:type="gramStart"/>
      <w:r w:rsidRPr="00A558EA">
        <w:t xml:space="preserve">Council, </w:t>
      </w:r>
      <w:r w:rsidR="005C2A2E">
        <w:t>and</w:t>
      </w:r>
      <w:proofErr w:type="gramEnd"/>
      <w:r w:rsidR="005C2A2E">
        <w:t xml:space="preserve"> abiding</w:t>
      </w:r>
      <w:r w:rsidRPr="00A558EA">
        <w:t xml:space="preserve"> the guidance document ‘State Council Decisions on Financial System Reform’</w:t>
      </w:r>
      <w:r w:rsidRPr="00A558EA">
        <w:rPr>
          <w:rStyle w:val="FootnoteReference"/>
        </w:rPr>
        <w:footnoteReference w:id="12"/>
      </w:r>
      <w:r w:rsidRPr="00A558EA">
        <w:t xml:space="preserve"> issued in 1993, urban credit cooperatives located in cities embarked on merge and consolidation to establish </w:t>
      </w:r>
      <w:r w:rsidR="005C2A2E">
        <w:t xml:space="preserve">the </w:t>
      </w:r>
      <w:r w:rsidRPr="00A558EA">
        <w:t xml:space="preserve">new </w:t>
      </w:r>
      <w:r w:rsidR="005C2A2E">
        <w:t xml:space="preserve">type of </w:t>
      </w:r>
      <w:r w:rsidRPr="00A558EA">
        <w:t xml:space="preserve">joint-stock financial institutions – city banks.  In principle, there would be one city bank located in one city and provide financial services focusing on that </w:t>
      </w:r>
      <w:r w:rsidR="005C2A2E">
        <w:t>geographic</w:t>
      </w:r>
      <w:r w:rsidRPr="00A558EA">
        <w:t xml:space="preserve"> area. </w:t>
      </w:r>
      <w:r w:rsidR="00920944" w:rsidRPr="00A558EA">
        <w:t>Like</w:t>
      </w:r>
      <w:r w:rsidRPr="00A558EA">
        <w:t xml:space="preserve"> city banks, the establishment of rural commercial banks was also started out </w:t>
      </w:r>
      <w:proofErr w:type="gramStart"/>
      <w:r w:rsidRPr="00A558EA">
        <w:t>on the basis of</w:t>
      </w:r>
      <w:proofErr w:type="gramEnd"/>
      <w:r w:rsidRPr="00A558EA">
        <w:t xml:space="preserve"> the associations of rural credit cooperatives which take private company-individual shareholding structure. </w:t>
      </w:r>
      <w:r w:rsidR="00816BB5">
        <w:t xml:space="preserve">Rural commercial banks primarily focus their business in rural areas </w:t>
      </w:r>
      <w:proofErr w:type="gramStart"/>
      <w:r w:rsidR="00816BB5">
        <w:t>surrounded</w:t>
      </w:r>
      <w:proofErr w:type="gramEnd"/>
      <w:r w:rsidR="00816BB5">
        <w:t xml:space="preserve"> a city.</w:t>
      </w:r>
    </w:p>
    <w:p w14:paraId="7183F207" w14:textId="75027A94" w:rsidR="0061685D" w:rsidRPr="00A558EA" w:rsidRDefault="0061685D" w:rsidP="00920944">
      <w:pPr>
        <w:spacing w:before="120" w:after="120" w:line="288" w:lineRule="auto"/>
      </w:pPr>
      <w:r w:rsidRPr="00A558EA">
        <w:t>In 1994, ‘Regulation of the People’s Republic of China governing foreign financial institutions’ permitted that foreign banks may enter China’s financial markets. In 1996, foreign banks were licensed to conduct business in the local currency in Shanghai Pudong</w:t>
      </w:r>
      <w:r w:rsidR="003B2DDC">
        <w:rPr>
          <w:rStyle w:val="FootnoteReference"/>
        </w:rPr>
        <w:footnoteReference w:id="13"/>
      </w:r>
      <w:r w:rsidRPr="00A558EA">
        <w:t xml:space="preserve"> and further expanded to neighboring area</w:t>
      </w:r>
      <w:r w:rsidR="003B2DDC">
        <w:t>s</w:t>
      </w:r>
      <w:r w:rsidRPr="00A558EA">
        <w:t xml:space="preserve">. </w:t>
      </w:r>
      <w:r w:rsidRPr="00A558EA">
        <w:fldChar w:fldCharType="begin">
          <w:fldData xml:space="preserve">PEVuZE5vdGU+PENpdGU+PEF1dGhvcj5CZXJnZXI8L0F1dGhvcj48WWVhcj4yMDA5PC9ZZWFyPjxS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</w:fldData>
        </w:fldChar>
      </w:r>
      <w:r w:rsidR="00464703">
        <w:instrText xml:space="preserve"> ADDIN EN.CITE </w:instrText>
      </w:r>
      <w:r w:rsidR="00464703">
        <w:fldChar w:fldCharType="begin">
          <w:fldData xml:space="preserve">PEVuZE5vdGU+PENpdGU+PEF1dGhvcj5CZXJnZXI8L0F1dGhvcj48WWVhcj4yMDA5PC9ZZWFyPjxS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</w:fldData>
        </w:fldChar>
      </w:r>
      <w:r w:rsidR="00464703">
        <w:instrText xml:space="preserve"> ADDIN EN.CITE.DATA </w:instrText>
      </w:r>
      <w:r w:rsidR="00464703">
        <w:fldChar w:fldCharType="end"/>
      </w:r>
      <w:r w:rsidRPr="00A558EA">
        <w:fldChar w:fldCharType="separate"/>
      </w:r>
      <w:r w:rsidRPr="00A558EA">
        <w:rPr>
          <w:noProof/>
        </w:rPr>
        <w:t>(Berger et al., 2009, Hsiao et al., 2015)</w:t>
      </w:r>
      <w:r w:rsidRPr="00A558EA">
        <w:fldChar w:fldCharType="end"/>
      </w:r>
      <w:r w:rsidRPr="00A558EA">
        <w:t xml:space="preserve"> Since 1998, foreign banks have been authorized </w:t>
      </w:r>
      <w:r w:rsidR="00B22A32">
        <w:t>e</w:t>
      </w:r>
      <w:r w:rsidRPr="00A558EA">
        <w:t xml:space="preserve">ntry to China’s inter-bank market. </w:t>
      </w:r>
    </w:p>
    <w:p w14:paraId="6DE8FDC9" w14:textId="6332CA8A" w:rsidR="0061685D" w:rsidRPr="00941CB8" w:rsidRDefault="0061685D" w:rsidP="00920944">
      <w:pPr>
        <w:spacing w:before="120" w:after="120" w:line="288" w:lineRule="auto"/>
      </w:pPr>
      <w:r w:rsidRPr="00941CB8">
        <w:t>A distinguishing feature of the financial reform</w:t>
      </w:r>
      <w:r w:rsidR="005C2A2E" w:rsidRPr="00941CB8">
        <w:t>s</w:t>
      </w:r>
      <w:r w:rsidRPr="00941CB8">
        <w:t xml:space="preserve"> during this period is </w:t>
      </w:r>
      <w:r w:rsidR="007B56E1" w:rsidRPr="00941CB8">
        <w:t>commercialization. Banks</w:t>
      </w:r>
      <w:r w:rsidRPr="00941CB8">
        <w:t xml:space="preserve"> transformed into real </w:t>
      </w:r>
      <w:r w:rsidR="007B56E1" w:rsidRPr="00941CB8">
        <w:t>commercial banks</w:t>
      </w:r>
      <w:r w:rsidRPr="00941CB8">
        <w:t xml:space="preserve">, </w:t>
      </w:r>
      <w:r w:rsidR="007B56E1" w:rsidRPr="00941CB8">
        <w:t>rather than</w:t>
      </w:r>
      <w:r w:rsidRPr="00941CB8">
        <w:t xml:space="preserve"> ‘policy-lending ‘conduit’ </w:t>
      </w:r>
      <w:r w:rsidRPr="00941CB8">
        <w:fldChar w:fldCharType="begin"/>
      </w:r>
      <w:r w:rsidR="00BD60A0" w:rsidRPr="00941CB8">
        <w:instrText xml:space="preserve"> ADDIN EN.CITE &lt;EndNote&gt;&lt;Cite&gt;&lt;Author&gt;Berger&lt;/Author&gt;&lt;Year&gt;2009&lt;/Year&gt;&lt;RecNum&gt;74&lt;/RecNum&gt;&lt;DisplayText&gt;(Berger et al., 2009)&lt;/DisplayText&gt;&lt;record&gt;&lt;rec-number&gt;74&lt;/rec-number&gt;&lt;foreign-keys&gt;&lt;key app="EN" db-id="tewxv52070srvlesdv5x5srafe0w5fspwe2v" timestamp="1578074365"&gt;74&lt;/key&gt;&lt;key app="ENWeb" db-id=""&gt;0&lt;/key&gt;&lt;/foreign-keys&gt;&lt;ref-type name="Journal Article"&gt;17&lt;/ref-type&gt;&lt;contributors&gt;&lt;authors&gt;&lt;author&gt;Berger, Allen N.&lt;/author&gt;&lt;author&gt;Hasan, Iftekhar&lt;/author&gt;&lt;author&gt;Zhou, Mingming&lt;/author&gt;&lt;/authors&gt;&lt;/contributors&gt;&lt;titles&gt;&lt;title&gt;Bank ownership and efficiency in China: What will happen in the world’s largest nation?&lt;/title&gt;&lt;secondary-title&gt;Journal of Banking &amp;amp; Finance&lt;/secondary-title&gt;&lt;/titles&gt;&lt;periodical&gt;&lt;full-title&gt;Journal of Banking &amp;amp; Finance&lt;/full-title&gt;&lt;/periodical&gt;&lt;pages&gt;113-130&lt;/pages&gt;&lt;volume&gt;33&lt;/volume&gt;&lt;number&gt;1&lt;/number&gt;&lt;section&gt;113&lt;/section&gt;&lt;dates&gt;&lt;year&gt;2009&lt;/year&gt;&lt;/dates&gt;&lt;isbn&gt;03784266&lt;/isbn&gt;&lt;urls&gt;&lt;/urls&gt;&lt;electronic-resource-num&gt;10.1016/j.jbankfin.2007.05.016&lt;/electronic-resource-num&gt;&lt;/record&gt;&lt;/Cite&gt;&lt;/EndNote&gt;</w:instrText>
      </w:r>
      <w:r w:rsidRPr="00941CB8">
        <w:fldChar w:fldCharType="separate"/>
      </w:r>
      <w:r w:rsidRPr="00941CB8">
        <w:rPr>
          <w:noProof/>
        </w:rPr>
        <w:t>(Berger et al., 2009)</w:t>
      </w:r>
      <w:r w:rsidRPr="00941CB8">
        <w:fldChar w:fldCharType="end"/>
      </w:r>
      <w:r w:rsidRPr="00941CB8">
        <w:t xml:space="preserve">. </w:t>
      </w:r>
      <w:r w:rsidR="005C2A2E" w:rsidRPr="00941CB8">
        <w:t xml:space="preserve">The </w:t>
      </w:r>
      <w:r w:rsidRPr="00941CB8">
        <w:t xml:space="preserve">1995 Commercial Bank Law had </w:t>
      </w:r>
      <w:proofErr w:type="gramStart"/>
      <w:r w:rsidRPr="00941CB8">
        <w:t>fundamental</w:t>
      </w:r>
      <w:proofErr w:type="gramEnd"/>
      <w:r w:rsidRPr="00941CB8">
        <w:t xml:space="preserve"> influence upon banking industry in the aftermath</w:t>
      </w:r>
      <w:r w:rsidR="007B56E1" w:rsidRPr="00941CB8">
        <w:t xml:space="preserve"> of its introduction</w:t>
      </w:r>
      <w:r w:rsidRPr="00941CB8">
        <w:t>. During this period, shareholders of banks diversified</w:t>
      </w:r>
      <w:r w:rsidR="007B56E1" w:rsidRPr="00941CB8">
        <w:t xml:space="preserve"> compared to the direct government shareholders and the state-owned shareholders in the first stage of the financial reforms</w:t>
      </w:r>
      <w:r w:rsidRPr="00941CB8">
        <w:t xml:space="preserve">. </w:t>
      </w:r>
      <w:proofErr w:type="gramStart"/>
      <w:r w:rsidRPr="00941CB8">
        <w:t>Alongside with</w:t>
      </w:r>
      <w:proofErr w:type="gramEnd"/>
      <w:r w:rsidRPr="00941CB8">
        <w:t xml:space="preserve"> the government (Ministry of Finance), state-owned enterprises, private companies even individuals were allowed to invest in bank</w:t>
      </w:r>
      <w:r w:rsidR="005C2A2E" w:rsidRPr="00941CB8">
        <w:t>ing industry</w:t>
      </w:r>
      <w:r w:rsidR="001F2253" w:rsidRPr="00941CB8">
        <w:t xml:space="preserve">. </w:t>
      </w:r>
      <w:r w:rsidRPr="00941CB8">
        <w:t xml:space="preserve">The act of embracing foreign financial institutions also improved the speed of Chinese banks’ commercialization, to some extent, </w:t>
      </w:r>
      <w:r w:rsidR="00920944" w:rsidRPr="00941CB8">
        <w:t>regarding</w:t>
      </w:r>
      <w:r w:rsidRPr="00941CB8">
        <w:t xml:space="preserve"> learning </w:t>
      </w:r>
      <w:r w:rsidR="007B56E1" w:rsidRPr="00941CB8">
        <w:t>from the advanced countries</w:t>
      </w:r>
      <w:r w:rsidRPr="00941CB8">
        <w:t xml:space="preserve">. </w:t>
      </w:r>
      <w:r w:rsidR="001F2253" w:rsidRPr="00941CB8">
        <w:t>This period</w:t>
      </w:r>
      <w:r w:rsidR="007B56E1" w:rsidRPr="00941CB8">
        <w:t xml:space="preserve">, from the perspective of ownership structures, </w:t>
      </w:r>
      <w:r w:rsidR="001F2253" w:rsidRPr="00941CB8">
        <w:t>could be seen as the inception that the government recedes its direct invention in banks’ operations</w:t>
      </w:r>
      <w:r w:rsidR="007B56E1" w:rsidRPr="00941CB8">
        <w:t xml:space="preserve"> because of the diversified shareholders. </w:t>
      </w:r>
    </w:p>
    <w:p w14:paraId="1E5D02FB" w14:textId="4FACB62C" w:rsidR="0061685D" w:rsidRPr="00A558EA" w:rsidRDefault="0061685D" w:rsidP="00920944">
      <w:pPr>
        <w:pStyle w:val="Heading2"/>
        <w:spacing w:before="120" w:after="120" w:line="288" w:lineRule="auto"/>
        <w:rPr>
          <w:rFonts w:ascii="Corbel" w:hAnsi="Corbel"/>
          <w:i/>
          <w:iCs/>
          <w:u w:val="single"/>
        </w:rPr>
      </w:pPr>
      <w:r w:rsidRPr="00A558EA">
        <w:rPr>
          <w:rFonts w:ascii="Corbel" w:hAnsi="Corbel"/>
          <w:i/>
          <w:iCs/>
          <w:u w:val="single"/>
        </w:rPr>
        <w:t xml:space="preserve">WTO accession </w:t>
      </w:r>
      <w:r w:rsidR="007B56E1">
        <w:rPr>
          <w:rFonts w:ascii="Corbel" w:hAnsi="Corbel"/>
          <w:i/>
          <w:iCs/>
          <w:u w:val="single"/>
        </w:rPr>
        <w:t>(</w:t>
      </w:r>
      <w:r w:rsidRPr="00A558EA">
        <w:rPr>
          <w:rFonts w:ascii="Corbel" w:hAnsi="Corbel"/>
          <w:i/>
          <w:iCs/>
          <w:u w:val="single"/>
        </w:rPr>
        <w:t>2001</w:t>
      </w:r>
      <w:r w:rsidR="007B56E1">
        <w:rPr>
          <w:rFonts w:ascii="Corbel" w:hAnsi="Corbel"/>
          <w:i/>
          <w:iCs/>
          <w:u w:val="single"/>
        </w:rPr>
        <w:t>)</w:t>
      </w:r>
      <w:r w:rsidRPr="00A558EA">
        <w:rPr>
          <w:rFonts w:ascii="Corbel" w:hAnsi="Corbel"/>
          <w:i/>
          <w:iCs/>
          <w:u w:val="single"/>
        </w:rPr>
        <w:t xml:space="preserve"> </w:t>
      </w:r>
      <w:r w:rsidR="007B56E1">
        <w:rPr>
          <w:rFonts w:ascii="Corbel" w:hAnsi="Corbel"/>
          <w:i/>
          <w:iCs/>
          <w:u w:val="single"/>
        </w:rPr>
        <w:t>-</w:t>
      </w:r>
      <w:r w:rsidRPr="00A558EA">
        <w:rPr>
          <w:rFonts w:ascii="Corbel" w:hAnsi="Corbel"/>
          <w:i/>
          <w:iCs/>
          <w:u w:val="single"/>
        </w:rPr>
        <w:t xml:space="preserve"> 2010</w:t>
      </w:r>
    </w:p>
    <w:p w14:paraId="71480D81" w14:textId="1B04FAAF" w:rsidR="0061685D" w:rsidRPr="00A558EA" w:rsidRDefault="0061685D" w:rsidP="00920944">
      <w:pPr>
        <w:spacing w:before="120" w:after="120" w:line="288" w:lineRule="auto"/>
      </w:pPr>
      <w:bookmarkStart w:id="3" w:name="_Hlk49835528"/>
      <w:r w:rsidRPr="00A558EA">
        <w:t xml:space="preserve">China </w:t>
      </w:r>
      <w:proofErr w:type="gramStart"/>
      <w:r w:rsidRPr="00A558EA">
        <w:t>gained entry into</w:t>
      </w:r>
      <w:proofErr w:type="gramEnd"/>
      <w:r w:rsidRPr="00A558EA">
        <w:t xml:space="preserve"> the WTO</w:t>
      </w:r>
      <w:r w:rsidR="007B56E1">
        <w:t xml:space="preserve"> in 2001</w:t>
      </w:r>
      <w:r w:rsidRPr="00A558EA">
        <w:t xml:space="preserve">. The WTO agreement deepened and broadened China’s </w:t>
      </w:r>
      <w:r w:rsidR="007B56E1">
        <w:t>overall economic</w:t>
      </w:r>
      <w:r w:rsidRPr="00A558EA">
        <w:t xml:space="preserve"> </w:t>
      </w:r>
      <w:r w:rsidR="005C2A2E">
        <w:t>R</w:t>
      </w:r>
      <w:r w:rsidRPr="00A558EA">
        <w:t xml:space="preserve">eform in terms of </w:t>
      </w:r>
      <w:r w:rsidR="005C2A2E">
        <w:t xml:space="preserve">the </w:t>
      </w:r>
      <w:r w:rsidRPr="00A558EA">
        <w:t xml:space="preserve">extent and fields covered. China committed to put much more effort in legislation, commercial banks’ transformation, opening domestic financial markets to foreign banks, </w:t>
      </w:r>
      <w:r w:rsidR="00216DFD">
        <w:t>among others</w:t>
      </w:r>
      <w:r w:rsidR="00920944" w:rsidRPr="00A558EA">
        <w:t>.</w:t>
      </w:r>
      <w:r w:rsidRPr="00A558EA">
        <w:t xml:space="preserve"> </w:t>
      </w:r>
      <w:bookmarkEnd w:id="3"/>
      <w:r w:rsidRPr="00A558EA">
        <w:t xml:space="preserve">China got a five-year transition period to fulfill the commitment in stages. </w:t>
      </w:r>
    </w:p>
    <w:p w14:paraId="743B0226" w14:textId="36096E87" w:rsidR="0061685D" w:rsidRPr="00A558EA" w:rsidRDefault="0061685D" w:rsidP="00920944">
      <w:pPr>
        <w:spacing w:before="120" w:after="120" w:line="288" w:lineRule="auto"/>
      </w:pPr>
      <w:r w:rsidRPr="00A558EA">
        <w:t xml:space="preserve">Since 2003, several laws have been changed and new institutions have been founded to be aligned with the WTO </w:t>
      </w:r>
      <w:r w:rsidR="007B56E1">
        <w:t xml:space="preserve">agreement </w:t>
      </w:r>
      <w:r w:rsidRPr="00A558EA">
        <w:t>and the environment of the ongoing reform</w:t>
      </w:r>
      <w:r w:rsidR="005C2A2E">
        <w:t>s</w:t>
      </w:r>
      <w:r w:rsidRPr="00A558EA">
        <w:t xml:space="preserve">. The 1995 Central Bank Law was amended to reinforce the People’s Bank of China as the central bank performing monetary policies and macro-prudential administration. A new regulatory department – China Banking Regulatory Commission (CBRC) </w:t>
      </w:r>
      <w:r w:rsidRPr="00A558EA">
        <w:rPr>
          <w:rStyle w:val="FootnoteReference"/>
        </w:rPr>
        <w:footnoteReference w:id="14"/>
      </w:r>
      <w:r w:rsidRPr="00A558EA">
        <w:t xml:space="preserve">was established. Most of regulatory duties performed by the People’s Bank of China (PBOC) during the initial stages of the economic recovery and reform were transferred to the CBRC since the end of 2003. By the time the CBRC was established, its founding law ‘the Law of the People’s Republic of China on Banking Supervision’ also has taken effect and empowered the CBRC as the main regulatory body in banking sector. The 1995 Commercial Bank Law also was amended to satisfy the new market environment by broadening </w:t>
      </w:r>
      <w:r w:rsidR="005C2A2E">
        <w:t xml:space="preserve">the </w:t>
      </w:r>
      <w:r w:rsidRPr="00A558EA">
        <w:t xml:space="preserve">business scope of commercial banks and adding more articles in terms of governance, </w:t>
      </w:r>
      <w:r w:rsidR="00920944" w:rsidRPr="00A558EA">
        <w:t>disclosure,</w:t>
      </w:r>
      <w:r w:rsidRPr="00A558EA">
        <w:t xml:space="preserve"> and supervision. In the end of 2006, the amendment of ‘Regulation of the People’s Republic of China governing foreign financial institutions’ </w:t>
      </w:r>
      <w:r w:rsidR="007B56E1">
        <w:t>was</w:t>
      </w:r>
      <w:r w:rsidRPr="00A558EA">
        <w:t xml:space="preserve"> executed with the new definitions of foreign financial institutions and new articles in terms of regulation and supervision. </w:t>
      </w:r>
    </w:p>
    <w:p w14:paraId="16CE686A" w14:textId="3A693D69" w:rsidR="0061685D" w:rsidRPr="00941CB8" w:rsidRDefault="0061685D" w:rsidP="00920944">
      <w:pPr>
        <w:spacing w:before="120" w:after="120" w:line="288" w:lineRule="auto"/>
      </w:pPr>
      <w:r w:rsidRPr="00A558EA">
        <w:t xml:space="preserve">Since 2003, </w:t>
      </w:r>
      <w:r w:rsidR="007B56E1">
        <w:t xml:space="preserve">aiming at Initial Public Offering and becoming market-oriented institutions, </w:t>
      </w:r>
      <w:r w:rsidRPr="00A558EA">
        <w:t xml:space="preserve">the transformation </w:t>
      </w:r>
      <w:r w:rsidR="005C2A2E">
        <w:t>of</w:t>
      </w:r>
      <w:r w:rsidRPr="00A558EA">
        <w:t xml:space="preserve"> the state-owned banks, i.e. the Big Four, </w:t>
      </w:r>
      <w:proofErr w:type="gramStart"/>
      <w:r w:rsidRPr="00A558EA">
        <w:t>have</w:t>
      </w:r>
      <w:proofErr w:type="gramEnd"/>
      <w:r w:rsidRPr="00A558EA">
        <w:t xml:space="preserve"> started. At the end of 2003, </w:t>
      </w:r>
      <w:bookmarkStart w:id="4" w:name="_Hlk74587261"/>
      <w:r w:rsidRPr="00A558EA">
        <w:t xml:space="preserve">Central </w:t>
      </w:r>
      <w:proofErr w:type="spellStart"/>
      <w:r w:rsidRPr="00A558EA">
        <w:t>Huijin</w:t>
      </w:r>
      <w:proofErr w:type="spellEnd"/>
      <w:r w:rsidRPr="00A558EA">
        <w:t xml:space="preserve"> Investment Ltd. (‘Central </w:t>
      </w:r>
      <w:proofErr w:type="spellStart"/>
      <w:r w:rsidRPr="00A558EA">
        <w:t>Huijin</w:t>
      </w:r>
      <w:proofErr w:type="spellEnd"/>
      <w:r w:rsidRPr="00A558EA">
        <w:t xml:space="preserve">’) was established </w:t>
      </w:r>
      <w:bookmarkEnd w:id="4"/>
      <w:r w:rsidRPr="00A558EA">
        <w:t>by the People’s Republic of China (‘</w:t>
      </w:r>
      <w:r w:rsidR="005C2A2E">
        <w:t xml:space="preserve">the </w:t>
      </w:r>
      <w:r w:rsidRPr="00A558EA">
        <w:t xml:space="preserve">State’). Since then, Central </w:t>
      </w:r>
      <w:proofErr w:type="spellStart"/>
      <w:r w:rsidRPr="00A558EA">
        <w:t>Huijin</w:t>
      </w:r>
      <w:proofErr w:type="spellEnd"/>
      <w:r w:rsidRPr="00A558EA">
        <w:t xml:space="preserve"> has been acting as a shareholding representative of the State in those state-owned financial firms including banks, insurance companies, securities </w:t>
      </w:r>
      <w:r w:rsidR="00920944" w:rsidRPr="00A558EA">
        <w:t>firms,</w:t>
      </w:r>
      <w:r w:rsidRPr="00A558EA">
        <w:t xml:space="preserve"> and other financial firms.</w:t>
      </w:r>
      <w:r w:rsidRPr="00A558EA">
        <w:rPr>
          <w:rStyle w:val="FootnoteReference"/>
        </w:rPr>
        <w:footnoteReference w:id="15"/>
      </w:r>
      <w:r w:rsidRPr="00A558EA">
        <w:t xml:space="preserve"> Between 2003 and 2008, Central </w:t>
      </w:r>
      <w:proofErr w:type="spellStart"/>
      <w:r w:rsidRPr="00A558EA">
        <w:t>Huijin</w:t>
      </w:r>
      <w:proofErr w:type="spellEnd"/>
      <w:r w:rsidRPr="00A558EA">
        <w:t xml:space="preserve"> injected around 125 billion US dollars in total as supplement capital into the Big Four.  During the same period, the NPLs were </w:t>
      </w:r>
      <w:r w:rsidR="007B56E1">
        <w:t>bought by</w:t>
      </w:r>
      <w:r w:rsidRPr="00A558EA">
        <w:t xml:space="preserve"> the four asset management companies (AMCs) </w:t>
      </w:r>
      <w:proofErr w:type="gramStart"/>
      <w:r w:rsidR="007B56E1">
        <w:t>on</w:t>
      </w:r>
      <w:proofErr w:type="gramEnd"/>
      <w:r w:rsidR="007B56E1">
        <w:t xml:space="preserve"> market prices </w:t>
      </w:r>
      <w:r w:rsidRPr="00A558EA">
        <w:t xml:space="preserve">again. After the </w:t>
      </w:r>
      <w:proofErr w:type="gramStart"/>
      <w:r w:rsidRPr="00A558EA">
        <w:t>aforementioned preparation</w:t>
      </w:r>
      <w:proofErr w:type="gramEnd"/>
      <w:r w:rsidRPr="00A558EA">
        <w:t xml:space="preserve"> for listing, </w:t>
      </w:r>
      <w:bookmarkStart w:id="5" w:name="_Hlk49835709"/>
      <w:r w:rsidRPr="00A558EA">
        <w:t xml:space="preserve">during 2005-2007, three of the Big Four went public on Shanghai Stock Exchange and Hong Kong Stock Exchange. </w:t>
      </w:r>
      <w:bookmarkEnd w:id="5"/>
      <w:r w:rsidRPr="00A558EA">
        <w:t xml:space="preserve">Other national banks such as Bank of Communications, China Minsheng Bank and China Merchants Bank </w:t>
      </w:r>
      <w:r w:rsidR="007B56E1">
        <w:t>had been</w:t>
      </w:r>
      <w:r w:rsidRPr="00A558EA">
        <w:t xml:space="preserve"> listed </w:t>
      </w:r>
      <w:r w:rsidR="007B56E1">
        <w:t>o</w:t>
      </w:r>
      <w:r w:rsidRPr="00A558EA">
        <w:t xml:space="preserve">n the domestic stock market before that time. In 2006, Post Savings Bank of China was founded by China Post Group. The Big Four, Bank of Communications and </w:t>
      </w:r>
      <w:r w:rsidRPr="00941CB8">
        <w:t xml:space="preserve">Post Savings Bank of China have become the six Systemically Important Banks </w:t>
      </w:r>
      <w:r w:rsidR="005C2A2E" w:rsidRPr="00941CB8">
        <w:t>in</w:t>
      </w:r>
      <w:r w:rsidRPr="00941CB8">
        <w:t xml:space="preserve"> China, i.e. the Big Six</w:t>
      </w:r>
      <w:r w:rsidR="007B56E1" w:rsidRPr="00941CB8">
        <w:t>,</w:t>
      </w:r>
      <w:r w:rsidRPr="00941CB8">
        <w:t xml:space="preserve"> since 2019.</w:t>
      </w:r>
      <w:r w:rsidR="00B87C61" w:rsidRPr="00941CB8">
        <w:t xml:space="preserve"> The assets of the Big Six account for 40.27% of the total assets of the banking sector</w:t>
      </w:r>
      <w:r w:rsidR="00B87C61" w:rsidRPr="00941CB8">
        <w:rPr>
          <w:rStyle w:val="FootnoteReference"/>
        </w:rPr>
        <w:footnoteReference w:id="16"/>
      </w:r>
      <w:r w:rsidR="00B87C61" w:rsidRPr="00941CB8">
        <w:t xml:space="preserve">. </w:t>
      </w:r>
      <w:r w:rsidRPr="00941CB8">
        <w:t xml:space="preserve"> </w:t>
      </w:r>
    </w:p>
    <w:p w14:paraId="078860AF" w14:textId="2AA8CEAA" w:rsidR="0061685D" w:rsidRPr="00941CB8" w:rsidRDefault="0061685D" w:rsidP="00920944">
      <w:pPr>
        <w:spacing w:before="120" w:after="120" w:line="288" w:lineRule="auto"/>
      </w:pPr>
      <w:bookmarkStart w:id="6" w:name="_Hlk49836292"/>
      <w:r w:rsidRPr="00941CB8">
        <w:t>The reform</w:t>
      </w:r>
      <w:r w:rsidR="005C2A2E" w:rsidRPr="00941CB8">
        <w:t>s</w:t>
      </w:r>
      <w:r w:rsidRPr="00941CB8">
        <w:t xml:space="preserve"> in city credit cooperatives took further steps </w:t>
      </w:r>
      <w:r w:rsidR="007B56E1" w:rsidRPr="00941CB8">
        <w:t>following the</w:t>
      </w:r>
      <w:r w:rsidRPr="00941CB8">
        <w:t xml:space="preserve"> WTO agreement. </w:t>
      </w:r>
      <w:bookmarkEnd w:id="6"/>
      <w:r w:rsidR="00025C2A" w:rsidRPr="00941CB8">
        <w:t>City/urban credit cooperatives</w:t>
      </w:r>
      <w:r w:rsidR="00025C2A" w:rsidRPr="00941CB8">
        <w:rPr>
          <w:rStyle w:val="FootnoteReference"/>
        </w:rPr>
        <w:footnoteReference w:id="17"/>
      </w:r>
      <w:r w:rsidR="00025C2A" w:rsidRPr="00941CB8">
        <w:t xml:space="preserve"> are </w:t>
      </w:r>
      <w:r w:rsidR="003703BE" w:rsidRPr="00941CB8">
        <w:t>a</w:t>
      </w:r>
      <w:r w:rsidR="00025C2A" w:rsidRPr="00941CB8">
        <w:t xml:space="preserve"> primary financial institutional form in cities during the 1990s, apart from the Big Four and the national banks. The ownership structure of city/urban credit cooperatives is </w:t>
      </w:r>
      <w:proofErr w:type="gramStart"/>
      <w:r w:rsidR="00025C2A" w:rsidRPr="00941CB8">
        <w:t>joint-investment</w:t>
      </w:r>
      <w:proofErr w:type="gramEnd"/>
      <w:r w:rsidR="00025C2A" w:rsidRPr="00941CB8">
        <w:t xml:space="preserve">, the legitimate shareholders include individual investors and private companies. The cooperatives mainly provide financial services to the members. </w:t>
      </w:r>
      <w:r w:rsidRPr="00941CB8">
        <w:t xml:space="preserve">In 2005, the CBRC issued ‘guidance on development of city credit cooperatives’, proposing that city credit cooperatives should be transformed into joint-stock banks within 3 years. In 2006, city commercial banks were permitted to set up branches and operate in regions other than the host cities. </w:t>
      </w:r>
      <w:bookmarkStart w:id="7" w:name="_Hlk49836380"/>
      <w:r w:rsidRPr="00941CB8">
        <w:t xml:space="preserve">By the end of 2006, there were 113 city commercial banks and 78 city credit cooperatives in China. The </w:t>
      </w:r>
      <w:proofErr w:type="gramStart"/>
      <w:r w:rsidRPr="00941CB8">
        <w:t>numbers</w:t>
      </w:r>
      <w:proofErr w:type="gramEnd"/>
      <w:r w:rsidRPr="00941CB8">
        <w:t xml:space="preserve"> of city commercial banks increased to 143 by the end of 2009. </w:t>
      </w:r>
      <w:bookmarkEnd w:id="7"/>
      <w:r w:rsidRPr="00941CB8">
        <w:t xml:space="preserve">In 2007, three city banks Nanjing Bank, Ningbo Bank and Beijing Bank went public and listed in Shanghai or Shenzhen Stock Exchange. </w:t>
      </w:r>
    </w:p>
    <w:p w14:paraId="15F1D991" w14:textId="15599797" w:rsidR="0061685D" w:rsidRPr="00A558EA" w:rsidRDefault="00DD7CB6" w:rsidP="00920944">
      <w:pPr>
        <w:spacing w:before="120" w:after="120" w:line="288" w:lineRule="auto"/>
      </w:pPr>
      <w:proofErr w:type="gramStart"/>
      <w:r w:rsidRPr="00941CB8">
        <w:t>Similar to</w:t>
      </w:r>
      <w:proofErr w:type="gramEnd"/>
      <w:r w:rsidRPr="00941CB8">
        <w:t xml:space="preserve"> city credit cooperatives, rural credit cooperatives provide financial services to their members in rural areas. Their primary shareholders are rural private investors. </w:t>
      </w:r>
      <w:r w:rsidR="0061685D" w:rsidRPr="00941CB8">
        <w:t xml:space="preserve">The reform in rural credit cooperatives, i.e. </w:t>
      </w:r>
      <w:r w:rsidR="00421A1E" w:rsidRPr="00941CB8">
        <w:t xml:space="preserve">the </w:t>
      </w:r>
      <w:r w:rsidR="0061685D" w:rsidRPr="00941CB8">
        <w:t xml:space="preserve">establishment of rural commercial banks, has </w:t>
      </w:r>
      <w:r w:rsidR="005C2A2E" w:rsidRPr="00941CB8">
        <w:t>also speeded up</w:t>
      </w:r>
      <w:r w:rsidR="0061685D" w:rsidRPr="00941CB8">
        <w:t xml:space="preserve"> </w:t>
      </w:r>
      <w:r w:rsidR="0061685D" w:rsidRPr="00A558EA">
        <w:t>since 2003. In 2003, the CBRC issued the regulatory documents ‘Transitional Regulation on the Administration of Rural Commercial Banks’ and ‘Transitional Regulation on the Administration of Rural Cooperative Banks’ aiming at regulating those new rural commercial/cooperative banks</w:t>
      </w:r>
      <w:r w:rsidR="003703BE">
        <w:rPr>
          <w:rStyle w:val="FootnoteReference"/>
        </w:rPr>
        <w:footnoteReference w:id="18"/>
      </w:r>
      <w:r w:rsidR="0061685D" w:rsidRPr="00A558EA">
        <w:t xml:space="preserve">. In 2004, the State Council also issued a policy document seeking to accelerate the reform. </w:t>
      </w:r>
      <w:bookmarkStart w:id="8" w:name="_Hlk49836488"/>
      <w:r w:rsidR="0061685D" w:rsidRPr="00A558EA">
        <w:t xml:space="preserve">By the end of 2009, there were already 43 rural commercial banks and 196 rural cooperative banks in China’s banking sector. </w:t>
      </w:r>
      <w:bookmarkEnd w:id="8"/>
    </w:p>
    <w:p w14:paraId="145BD316" w14:textId="247E3951" w:rsidR="00EE4054" w:rsidRPr="00941CB8" w:rsidRDefault="0061685D" w:rsidP="00920944">
      <w:pPr>
        <w:spacing w:before="120" w:after="120" w:line="288" w:lineRule="auto"/>
      </w:pPr>
      <w:r w:rsidRPr="00A558EA">
        <w:t xml:space="preserve">China’s commitment to the WTO concerning fulling opening China’s financial market towards foreign financial institutions was fulfilled in two </w:t>
      </w:r>
      <w:proofErr w:type="gramStart"/>
      <w:r w:rsidRPr="00A558EA">
        <w:t>principle</w:t>
      </w:r>
      <w:proofErr w:type="gramEnd"/>
      <w:r w:rsidRPr="00A558EA">
        <w:t xml:space="preserve"> ways</w:t>
      </w:r>
      <w:r w:rsidR="00DD7CB6">
        <w:t>.</w:t>
      </w:r>
      <w:r w:rsidRPr="00A558EA">
        <w:t xml:space="preserve"> </w:t>
      </w:r>
      <w:r w:rsidR="00DD7CB6">
        <w:t xml:space="preserve">First, China </w:t>
      </w:r>
      <w:r w:rsidR="00421A1E">
        <w:t>would</w:t>
      </w:r>
      <w:r w:rsidR="00DD7CB6">
        <w:t xml:space="preserve"> </w:t>
      </w:r>
      <w:r w:rsidRPr="00A558EA">
        <w:t xml:space="preserve">lift </w:t>
      </w:r>
      <w:r w:rsidR="00DD7CB6">
        <w:t xml:space="preserve">the </w:t>
      </w:r>
      <w:r w:rsidRPr="00A558EA">
        <w:t xml:space="preserve">restrictions on foreign institutions conducting business in China’s financial markets and </w:t>
      </w:r>
      <w:r w:rsidRPr="00941CB8">
        <w:t xml:space="preserve">granting foreign institutions </w:t>
      </w:r>
      <w:r w:rsidR="00421A1E" w:rsidRPr="00941CB8">
        <w:t>the same treatment as domestic institutions</w:t>
      </w:r>
      <w:r w:rsidR="00DD7CB6" w:rsidRPr="00941CB8">
        <w:t xml:space="preserve">. And second, China </w:t>
      </w:r>
      <w:r w:rsidR="00421A1E" w:rsidRPr="00941CB8">
        <w:t>would</w:t>
      </w:r>
      <w:r w:rsidRPr="00941CB8">
        <w:t xml:space="preserve"> allow foreign institutions to hold shares of Chinese banks as strategic investors</w:t>
      </w:r>
      <w:r w:rsidR="00DD7CB6" w:rsidRPr="00941CB8">
        <w:t>.</w:t>
      </w:r>
      <w:r w:rsidRPr="00941CB8">
        <w:t xml:space="preserve"> </w:t>
      </w:r>
      <w:r w:rsidR="00EE4054" w:rsidRPr="00941CB8">
        <w:t xml:space="preserve">The taxonomy ‘Strategic Investors’ is firstly used by </w:t>
      </w:r>
      <w:r w:rsidR="00421A1E" w:rsidRPr="00941CB8">
        <w:t xml:space="preserve">the </w:t>
      </w:r>
      <w:r w:rsidR="00EE4054" w:rsidRPr="00941CB8">
        <w:t xml:space="preserve">China Securities Regulatory Commission (CSRC), referring to those institutional investors which invest in listed companies for long-term/strategic purposes rather than short-term financial returns. In </w:t>
      </w:r>
      <w:r w:rsidR="00421A1E" w:rsidRPr="00941CB8">
        <w:t xml:space="preserve">the </w:t>
      </w:r>
      <w:r w:rsidR="00EE4054" w:rsidRPr="00941CB8">
        <w:t>banking sector, strategic investors are mostly those foreign large financial conglomerates (including foreign banks and non-banking institutions) which invest in Chinese commercial banks. A single foreign strategic investor is allowed to hold no more than 20% of shares of a Chinese bank; and multiple foreign strategic investors are allowed to hold in total no more than 25% of shares of a Chinese bank.</w:t>
      </w:r>
    </w:p>
    <w:p w14:paraId="7A3447CB" w14:textId="0332F0AE" w:rsidR="0061685D" w:rsidRPr="00941CB8" w:rsidRDefault="0061685D" w:rsidP="00920944">
      <w:pPr>
        <w:spacing w:before="120" w:after="120" w:line="288" w:lineRule="auto"/>
      </w:pPr>
      <w:r w:rsidRPr="00A558EA">
        <w:t xml:space="preserve">In 2006, the amendment of ‘Regulation of the People’s Republic of China governing foreign financial institutions’ was issued and </w:t>
      </w:r>
      <w:r w:rsidR="00421A1E">
        <w:t>took effect</w:t>
      </w:r>
      <w:r w:rsidRPr="00A558EA">
        <w:t xml:space="preserve">. The restrictions over </w:t>
      </w:r>
      <w:proofErr w:type="gramStart"/>
      <w:r w:rsidRPr="00A558EA">
        <w:t>business</w:t>
      </w:r>
      <w:proofErr w:type="gramEnd"/>
      <w:r w:rsidRPr="00A558EA">
        <w:t xml:space="preserve"> region and clientele have been relaxed. </w:t>
      </w:r>
      <w:bookmarkStart w:id="9" w:name="_Hlk49836118"/>
      <w:r w:rsidRPr="00A558EA">
        <w:t>By the end of 2006, there were 312 foreign banking entities</w:t>
      </w:r>
      <w:r w:rsidRPr="00A558EA">
        <w:rPr>
          <w:rStyle w:val="FootnoteReference"/>
        </w:rPr>
        <w:footnoteReference w:id="19"/>
      </w:r>
      <w:r w:rsidRPr="00A558EA">
        <w:t xml:space="preserve"> conducting business in China’s financial markets, compared to only 192 foreign financial entities in 2003. During this period, foreign banks also actively investing in Chinese banks as strategic investors. </w:t>
      </w:r>
      <w:bookmarkEnd w:id="9"/>
      <w:r w:rsidRPr="00A558EA">
        <w:t xml:space="preserve">By the end of 2006, foreign banks and institutional investors were holding investments in three of the Big Four, Bank of Communications and several national banks. </w:t>
      </w:r>
      <w:bookmarkStart w:id="10" w:name="_Hlk49836192"/>
      <w:r w:rsidRPr="00A558EA">
        <w:t>The Royal Bank of Scotland Group (RBS Group), Temasek Holdings Private Ltd., and UBS Group AG totally held 16.85% of the listed shares of Bank of China</w:t>
      </w:r>
      <w:bookmarkEnd w:id="10"/>
      <w:r w:rsidRPr="00A558EA">
        <w:t>. The Goldman Sachs Group Inc., Allianz Group, and American Express held 10% of the listed shares of Industrial and Commercial Bank of China. Bank of America and Temasek Holdings Private Ltd. (also through Asia Financial Holding Group and other subsidiaries) held almost 20% of the listed shares of China Construction Bank. HSBC Group held 19.9% of the listed shares of Bank of Communications</w:t>
      </w:r>
      <w:r w:rsidR="00EE4054">
        <w:rPr>
          <w:rStyle w:val="FootnoteReference"/>
        </w:rPr>
        <w:footnoteReference w:id="20"/>
      </w:r>
      <w:r w:rsidRPr="00A558EA">
        <w:t>.  Apart from investing in the state-owned banks and national banks, foreign financial institutions</w:t>
      </w:r>
      <w:r w:rsidR="00EE4054">
        <w:t xml:space="preserve">, as strategic investors, </w:t>
      </w:r>
      <w:r w:rsidRPr="00A558EA">
        <w:t>also invested in city banks such as Xi’an Bank, Nanjing Bank, Ningbo Bank, Beijing Bank, etc. The period of 2005-2006 is the heyday of foreign invest</w:t>
      </w:r>
      <w:r w:rsidR="005C2A2E">
        <w:t xml:space="preserve">ment </w:t>
      </w:r>
      <w:r w:rsidRPr="00941CB8">
        <w:t>into domestic banks, expanding from the biggest cities such as Beijing and Shanghai, to the medium sized cities such as Nanjing. By the end of 2006, the amount of foreign investment in Chinese banks were around 19 billion US dollars</w:t>
      </w:r>
      <w:r w:rsidR="00EE4054" w:rsidRPr="00941CB8">
        <w:t>, accounting for 0.3% of the total assets of the whole banking sector, and 14% of the total assets of the foreign banks in China</w:t>
      </w:r>
      <w:r w:rsidR="00C41852" w:rsidRPr="00941CB8">
        <w:rPr>
          <w:rStyle w:val="FootnoteReference"/>
        </w:rPr>
        <w:footnoteReference w:id="21"/>
      </w:r>
      <w:r w:rsidR="00EE4054" w:rsidRPr="00941CB8">
        <w:t xml:space="preserve">. </w:t>
      </w:r>
    </w:p>
    <w:p w14:paraId="42B338D2" w14:textId="5447FB7B" w:rsidR="0061685D" w:rsidRPr="00A558EA" w:rsidRDefault="0061685D" w:rsidP="00920944">
      <w:pPr>
        <w:spacing w:before="120" w:after="120" w:line="288" w:lineRule="auto"/>
      </w:pPr>
      <w:r w:rsidRPr="00A558EA">
        <w:t xml:space="preserve">In terms of banking regulation, </w:t>
      </w:r>
      <w:proofErr w:type="gramStart"/>
      <w:r w:rsidRPr="00A558EA">
        <w:t>on the basis of</w:t>
      </w:r>
      <w:proofErr w:type="gramEnd"/>
      <w:r w:rsidRPr="00A558EA">
        <w:t xml:space="preserve"> the adoption of Basel I</w:t>
      </w:r>
      <w:r w:rsidR="00421A1E">
        <w:rPr>
          <w:rStyle w:val="FootnoteReference"/>
        </w:rPr>
        <w:footnoteReference w:id="22"/>
      </w:r>
      <w:r w:rsidRPr="00A558EA">
        <w:t xml:space="preserve"> (1995 Commercial Bank Law stipulated the capital adequacy.) and the incorporation of Basel II, the CBRC issued the regulation of ‘Measures of the Capital Adequacy Ratio of Commercial Banks’ in 2004 and its amendment in 2006. This regulation can be </w:t>
      </w:r>
      <w:r w:rsidR="005C2A2E">
        <w:t>regarded</w:t>
      </w:r>
      <w:r w:rsidRPr="00A558EA">
        <w:t xml:space="preserve"> as the China version of Basel II. </w:t>
      </w:r>
    </w:p>
    <w:p w14:paraId="7097B6B7" w14:textId="6A9F0ADA" w:rsidR="0061685D" w:rsidRPr="00941CB8" w:rsidRDefault="0061685D" w:rsidP="00920944">
      <w:pPr>
        <w:spacing w:before="120" w:after="120" w:line="288" w:lineRule="auto"/>
      </w:pPr>
      <w:r w:rsidRPr="00A558EA">
        <w:t xml:space="preserve">Corresponding to the rapid transformation </w:t>
      </w:r>
      <w:r w:rsidR="00421A1E">
        <w:t>of</w:t>
      </w:r>
      <w:r w:rsidRPr="00A558EA">
        <w:t xml:space="preserve"> commercial banks</w:t>
      </w:r>
      <w:r w:rsidR="00421A1E">
        <w:t xml:space="preserve"> </w:t>
      </w:r>
      <w:r w:rsidRPr="00A558EA">
        <w:t xml:space="preserve">and aiming at </w:t>
      </w:r>
      <w:r w:rsidR="00421A1E">
        <w:t xml:space="preserve">corporate </w:t>
      </w:r>
      <w:r w:rsidRPr="00A558EA">
        <w:t xml:space="preserve">risk management, the CBRC issued a regulatory document ‘Regulatory Guidelines of Corporate </w:t>
      </w:r>
      <w:r w:rsidRPr="00941CB8">
        <w:t xml:space="preserve">Governance in State-owned Commercial Banks’ in 2006. </w:t>
      </w:r>
    </w:p>
    <w:p w14:paraId="07496FF0" w14:textId="5FEE7468" w:rsidR="0061685D" w:rsidRPr="00941CB8" w:rsidRDefault="0061685D" w:rsidP="00920944">
      <w:pPr>
        <w:spacing w:before="120" w:after="120" w:line="288" w:lineRule="auto"/>
      </w:pPr>
      <w:bookmarkStart w:id="11" w:name="_Hlk49835591"/>
      <w:r w:rsidRPr="00941CB8">
        <w:t xml:space="preserve">A distinctive feature of the reform in this period is marketization. </w:t>
      </w:r>
      <w:bookmarkEnd w:id="11"/>
      <w:r w:rsidRPr="00941CB8">
        <w:t xml:space="preserve">This period </w:t>
      </w:r>
      <w:r w:rsidR="00421A1E" w:rsidRPr="00941CB8">
        <w:t>is</w:t>
      </w:r>
      <w:r w:rsidRPr="00941CB8">
        <w:t xml:space="preserve"> a crucial stage of China’s financial reform during which almost all influential events and policies concerning regulation and supervision, ownership structure</w:t>
      </w:r>
      <w:r w:rsidR="00C41852" w:rsidRPr="00941CB8">
        <w:t>s</w:t>
      </w:r>
      <w:r w:rsidRPr="00941CB8">
        <w:t xml:space="preserve">, corporate governance, among others, happened. </w:t>
      </w:r>
    </w:p>
    <w:p w14:paraId="2757FB91" w14:textId="0BB406EB" w:rsidR="0061685D" w:rsidRPr="00941CB8" w:rsidRDefault="0061685D" w:rsidP="00920944">
      <w:pPr>
        <w:spacing w:before="120" w:after="120" w:line="288" w:lineRule="auto"/>
      </w:pPr>
      <w:bookmarkStart w:id="12" w:name="_Hlk49835840"/>
      <w:proofErr w:type="gramStart"/>
      <w:r w:rsidRPr="00941CB8">
        <w:t>With regard to</w:t>
      </w:r>
      <w:proofErr w:type="gramEnd"/>
      <w:r w:rsidRPr="00941CB8">
        <w:t xml:space="preserve"> ownership structure, </w:t>
      </w:r>
      <w:bookmarkEnd w:id="12"/>
      <w:r w:rsidRPr="00941CB8">
        <w:t xml:space="preserve">the establishment of Central </w:t>
      </w:r>
      <w:proofErr w:type="spellStart"/>
      <w:r w:rsidRPr="00941CB8">
        <w:t>Huijin</w:t>
      </w:r>
      <w:proofErr w:type="spellEnd"/>
      <w:r w:rsidRPr="00941CB8">
        <w:t xml:space="preserve"> is one of the crucial milestones in China’s reform of state-owned financial enterprises. Since the end of 2003, </w:t>
      </w:r>
      <w:bookmarkStart w:id="13" w:name="_Hlk49835831"/>
      <w:r w:rsidRPr="00941CB8">
        <w:t xml:space="preserve">Central </w:t>
      </w:r>
      <w:proofErr w:type="spellStart"/>
      <w:r w:rsidRPr="00941CB8">
        <w:t>Huijin</w:t>
      </w:r>
      <w:proofErr w:type="spellEnd"/>
      <w:r w:rsidRPr="00941CB8">
        <w:t xml:space="preserve">, as a shareholder, has gradually replaced the </w:t>
      </w:r>
      <w:r w:rsidR="00C41852" w:rsidRPr="00941CB8">
        <w:t xml:space="preserve">direct </w:t>
      </w:r>
      <w:r w:rsidRPr="00941CB8">
        <w:t>role of the State government in those state-owned financial firms.</w:t>
      </w:r>
      <w:bookmarkEnd w:id="13"/>
      <w:r w:rsidRPr="00941CB8">
        <w:t xml:space="preserve"> </w:t>
      </w:r>
      <w:r w:rsidR="00C41852" w:rsidRPr="00941CB8">
        <w:t xml:space="preserve">Central </w:t>
      </w:r>
      <w:proofErr w:type="spellStart"/>
      <w:r w:rsidR="00C41852" w:rsidRPr="00941CB8">
        <w:t>Huijin</w:t>
      </w:r>
      <w:proofErr w:type="spellEnd"/>
      <w:r w:rsidR="00C41852" w:rsidRPr="00941CB8">
        <w:t xml:space="preserve"> acts as a representative of the State government which is the shareholder of the state-owned firms. </w:t>
      </w:r>
      <w:r w:rsidRPr="00941CB8">
        <w:t xml:space="preserve">The momentum of this fundamental change could stem from China’s commitment to the WTO and the upcoming pressure of the competition with foreign financial firms. In 2007, the founding of China’s sovereign wealth fund – China Investment Corporation (CIC) </w:t>
      </w:r>
      <w:r w:rsidR="00421A1E" w:rsidRPr="00941CB8">
        <w:t>took</w:t>
      </w:r>
      <w:r w:rsidRPr="00941CB8">
        <w:t xml:space="preserve"> the abovementioned reform a step forward. Central </w:t>
      </w:r>
      <w:proofErr w:type="spellStart"/>
      <w:r w:rsidRPr="00941CB8">
        <w:t>Huijin</w:t>
      </w:r>
      <w:proofErr w:type="spellEnd"/>
      <w:r w:rsidRPr="00941CB8">
        <w:t xml:space="preserve"> </w:t>
      </w:r>
      <w:r w:rsidR="00421A1E" w:rsidRPr="00941CB8">
        <w:t>became</w:t>
      </w:r>
      <w:r w:rsidRPr="00941CB8">
        <w:t xml:space="preserve"> a </w:t>
      </w:r>
      <w:proofErr w:type="gramStart"/>
      <w:r w:rsidRPr="00941CB8">
        <w:t>wholly-controlled</w:t>
      </w:r>
      <w:proofErr w:type="gramEnd"/>
      <w:r w:rsidRPr="00941CB8">
        <w:t xml:space="preserve"> subsidiary of CIC</w:t>
      </w:r>
      <w:r w:rsidR="00C41852" w:rsidRPr="00941CB8">
        <w:t xml:space="preserve">. </w:t>
      </w:r>
      <w:bookmarkStart w:id="14" w:name="_Hlk49836014"/>
      <w:r w:rsidR="00C41852" w:rsidRPr="00941CB8">
        <w:t xml:space="preserve">From the angle of corporate governance, </w:t>
      </w:r>
      <w:proofErr w:type="gramStart"/>
      <w:r w:rsidR="00C41852" w:rsidRPr="00941CB8">
        <w:t>State</w:t>
      </w:r>
      <w:proofErr w:type="gramEnd"/>
      <w:r w:rsidR="00C41852" w:rsidRPr="00941CB8">
        <w:t xml:space="preserve"> government recedes its direct intervention in state-owned firms’ operations and swifts to indirect control through shareholding. </w:t>
      </w:r>
      <w:r w:rsidR="00540A0D" w:rsidRPr="00941CB8">
        <w:t xml:space="preserve">Nevertheless, there is no evidence that </w:t>
      </w:r>
      <w:r w:rsidRPr="00941CB8">
        <w:t xml:space="preserve">government interference in state-owned financial firms’ operations weakened further. </w:t>
      </w:r>
      <w:bookmarkEnd w:id="14"/>
      <w:r w:rsidR="00540A0D" w:rsidRPr="00941CB8">
        <w:t xml:space="preserve">Therefore, the completeness of legislation and empowerment of the relative regulations </w:t>
      </w:r>
      <w:r w:rsidR="00C66F23" w:rsidRPr="00941CB8">
        <w:t>may be crucial for the establishment of modern corporate governance in those commercial banks</w:t>
      </w:r>
      <w:r w:rsidR="00540A0D" w:rsidRPr="00941CB8">
        <w:t xml:space="preserve">. </w:t>
      </w:r>
    </w:p>
    <w:p w14:paraId="755AB80C" w14:textId="5CB65F12" w:rsidR="0061685D" w:rsidRPr="00941CB8" w:rsidRDefault="00C66F23" w:rsidP="00920944">
      <w:pPr>
        <w:spacing w:before="120" w:after="120" w:line="288" w:lineRule="auto"/>
      </w:pPr>
      <w:r w:rsidRPr="00941CB8">
        <w:t>Getting listed</w:t>
      </w:r>
      <w:r w:rsidR="00C41852" w:rsidRPr="00941CB8">
        <w:t xml:space="preserve"> </w:t>
      </w:r>
      <w:r w:rsidR="0061685D" w:rsidRPr="00941CB8">
        <w:t>is also an imperative strategy in China’s financial reform</w:t>
      </w:r>
      <w:r w:rsidR="005C2A2E" w:rsidRPr="00941CB8">
        <w:t>s</w:t>
      </w:r>
      <w:r w:rsidR="0061685D" w:rsidRPr="00941CB8">
        <w:t>.  It dramatically enriches the shareholder profile: transforming government shareholding, accepting private enterprises, embracing foreign investors, and partially privatizing (individual investors). More importantly, it pushes the establishment of modern corporate governance frameworks in banks, both listed and non-</w:t>
      </w:r>
      <w:proofErr w:type="gramStart"/>
      <w:r w:rsidR="0061685D" w:rsidRPr="00941CB8">
        <w:t>listed;</w:t>
      </w:r>
      <w:proofErr w:type="gramEnd"/>
      <w:r w:rsidR="0061685D" w:rsidRPr="00941CB8">
        <w:t xml:space="preserve"> which reciprocally validates and </w:t>
      </w:r>
      <w:proofErr w:type="gramStart"/>
      <w:r w:rsidR="0061685D" w:rsidRPr="00941CB8">
        <w:t>strengthen</w:t>
      </w:r>
      <w:proofErr w:type="gramEnd"/>
      <w:r w:rsidR="0061685D" w:rsidRPr="00941CB8">
        <w:t xml:space="preserve"> the reform. It was in this period that multiple categories of banks’ ownership structure rose and became the foundation and the consensus in the future development of China’s banking sector. </w:t>
      </w:r>
    </w:p>
    <w:p w14:paraId="3453A46A" w14:textId="5B6A10E0" w:rsidR="0061685D" w:rsidRPr="00A558EA" w:rsidRDefault="0061685D" w:rsidP="00920944">
      <w:pPr>
        <w:pStyle w:val="Heading2"/>
        <w:spacing w:before="120" w:after="120" w:line="288" w:lineRule="auto"/>
        <w:rPr>
          <w:rFonts w:ascii="Corbel" w:hAnsi="Corbel"/>
          <w:i/>
          <w:iCs/>
          <w:u w:val="single"/>
        </w:rPr>
      </w:pPr>
      <w:r w:rsidRPr="00A558EA">
        <w:rPr>
          <w:rFonts w:ascii="Corbel" w:hAnsi="Corbel"/>
          <w:i/>
          <w:iCs/>
          <w:u w:val="single"/>
        </w:rPr>
        <w:t>2010 onward</w:t>
      </w:r>
    </w:p>
    <w:p w14:paraId="07D73A52" w14:textId="6D0E3C27" w:rsidR="0061685D" w:rsidRPr="00941CB8" w:rsidRDefault="00C66F23" w:rsidP="00920944">
      <w:pPr>
        <w:spacing w:before="120" w:after="120" w:line="288" w:lineRule="auto"/>
      </w:pPr>
      <w:r w:rsidRPr="00941CB8">
        <w:t xml:space="preserve">The literature does not, generally, </w:t>
      </w:r>
      <w:r w:rsidR="0061685D" w:rsidRPr="00941CB8">
        <w:t>defin</w:t>
      </w:r>
      <w:r w:rsidRPr="00941CB8">
        <w:t>e the time since 2010</w:t>
      </w:r>
      <w:r w:rsidR="0061685D" w:rsidRPr="00941CB8">
        <w:t xml:space="preserve"> as part of the ‘reform period’</w:t>
      </w:r>
      <w:r w:rsidRPr="00941CB8">
        <w:t>.</w:t>
      </w:r>
      <w:r w:rsidR="0061685D" w:rsidRPr="00941CB8">
        <w:t xml:space="preserve"> </w:t>
      </w:r>
      <w:r w:rsidRPr="00941CB8">
        <w:t>This may be because</w:t>
      </w:r>
      <w:r w:rsidR="0061685D" w:rsidRPr="00941CB8">
        <w:t xml:space="preserve">: 1) during 1990s and 2009, substantial and fundamental reforms were successfully performed and the infrastructure of financial industry in terms of legislation, regulation, and corporate governance </w:t>
      </w:r>
      <w:r w:rsidRPr="00941CB8">
        <w:t>were</w:t>
      </w:r>
      <w:r w:rsidR="0061685D" w:rsidRPr="00941CB8">
        <w:t xml:space="preserve"> founded; 2) 2007-2008 the worldwide financial crisis drastically changed the landscape of the financial industry; 3) reforms </w:t>
      </w:r>
      <w:r w:rsidRPr="00941CB8">
        <w:t>implemented</w:t>
      </w:r>
      <w:r w:rsidR="0061685D" w:rsidRPr="00941CB8">
        <w:t xml:space="preserve"> after 2010 </w:t>
      </w:r>
      <w:r w:rsidRPr="00941CB8">
        <w:t xml:space="preserve">are </w:t>
      </w:r>
      <w:r w:rsidR="0061685D" w:rsidRPr="00941CB8">
        <w:t xml:space="preserve">usually considered as improvements or advanced changes on the basis of the </w:t>
      </w:r>
      <w:r w:rsidR="00997C58" w:rsidRPr="00941CB8">
        <w:t>achievements</w:t>
      </w:r>
      <w:r w:rsidR="0061685D" w:rsidRPr="00941CB8">
        <w:t xml:space="preserve"> of the previous reforms. Nonetheless, there are still </w:t>
      </w:r>
      <w:r w:rsidRPr="00941CB8">
        <w:t>important</w:t>
      </w:r>
      <w:r w:rsidR="0061685D" w:rsidRPr="00941CB8">
        <w:t xml:space="preserve"> changes in China’s banking sector during this period. </w:t>
      </w:r>
    </w:p>
    <w:p w14:paraId="66E51E06" w14:textId="0F2A72B6" w:rsidR="0061685D" w:rsidRPr="00A558EA" w:rsidRDefault="0061685D" w:rsidP="00920944">
      <w:pPr>
        <w:spacing w:before="120" w:after="120" w:line="288" w:lineRule="auto"/>
      </w:pPr>
      <w:r w:rsidRPr="00A558EA">
        <w:t>Since 2009, further changes concerning</w:t>
      </w:r>
      <w:r w:rsidR="00C66F23">
        <w:t xml:space="preserve"> the</w:t>
      </w:r>
      <w:r w:rsidRPr="00A558EA">
        <w:t xml:space="preserve"> corporate governance framework </w:t>
      </w:r>
      <w:proofErr w:type="gramStart"/>
      <w:r w:rsidR="00C66F23">
        <w:t>were</w:t>
      </w:r>
      <w:proofErr w:type="gramEnd"/>
      <w:r w:rsidRPr="00A558EA">
        <w:t xml:space="preserve"> </w:t>
      </w:r>
      <w:r w:rsidR="00C66F23">
        <w:t>implemented</w:t>
      </w:r>
      <w:r w:rsidRPr="00A558EA">
        <w:t xml:space="preserve"> in state-owned banks including policy banks and state-owned commercial banks. In 2010, Agricultural Bank of China listed </w:t>
      </w:r>
      <w:r w:rsidR="00C66F23">
        <w:t>on</w:t>
      </w:r>
      <w:r w:rsidRPr="00A558EA">
        <w:t xml:space="preserve"> both Shanghai Stock Exchange and Hong Kong Stock Exchange. After the introduction of 10 foreign and domestic strategic investors including UBS Group AG, JP Morgan Chase, Temasek Holdings Private Ltd., China Life Insurance Group, </w:t>
      </w:r>
      <w:proofErr w:type="gramStart"/>
      <w:r w:rsidRPr="00A558EA">
        <w:t>and etc.</w:t>
      </w:r>
      <w:proofErr w:type="gramEnd"/>
      <w:r w:rsidRPr="00A558EA">
        <w:t xml:space="preserve"> in 2015, Post Savings Bank of China finished its Initial Public Offering (IPO) </w:t>
      </w:r>
      <w:r w:rsidR="00C66F23">
        <w:t>on</w:t>
      </w:r>
      <w:r w:rsidRPr="00A558EA">
        <w:t xml:space="preserve"> Hong Kong Stock Exchange in 2016, and also listed </w:t>
      </w:r>
      <w:r w:rsidR="00C66F23">
        <w:t>on</w:t>
      </w:r>
      <w:r w:rsidRPr="00A558EA">
        <w:t xml:space="preserve"> Shanghai Stock Exchange </w:t>
      </w:r>
      <w:r w:rsidR="00C66F23">
        <w:t>at</w:t>
      </w:r>
      <w:r w:rsidRPr="00A558EA">
        <w:t xml:space="preserve"> the end of 2019. </w:t>
      </w:r>
    </w:p>
    <w:p w14:paraId="7EBDBBE5" w14:textId="647AA1F7" w:rsidR="0061685D" w:rsidRPr="00A558EA" w:rsidRDefault="0061685D" w:rsidP="00920944">
      <w:pPr>
        <w:spacing w:before="120" w:after="120" w:line="288" w:lineRule="auto"/>
      </w:pPr>
      <w:r w:rsidRPr="00A558EA">
        <w:t xml:space="preserve">Since 2010, the </w:t>
      </w:r>
      <w:r w:rsidR="004250CC">
        <w:t>in-depth</w:t>
      </w:r>
      <w:r w:rsidRPr="00A558EA">
        <w:t xml:space="preserve"> reform of city banks, or more generally, small-middle sized banks, </w:t>
      </w:r>
      <w:r w:rsidR="00C66F23">
        <w:t>focused</w:t>
      </w:r>
      <w:r w:rsidRPr="00A558EA">
        <w:t xml:space="preserve"> on two main aspects: 1) </w:t>
      </w:r>
      <w:r w:rsidR="005C2A2E">
        <w:t xml:space="preserve">the </w:t>
      </w:r>
      <w:r w:rsidRPr="00A558EA">
        <w:t xml:space="preserve">ownership structure, and 2) </w:t>
      </w:r>
      <w:r w:rsidR="005C2A2E">
        <w:t xml:space="preserve">the </w:t>
      </w:r>
      <w:r w:rsidRPr="00A558EA">
        <w:t xml:space="preserve">targeting market. In 2010, the CBRC issued the regulatory document ‘Notice on the Examination of Qualification of Major Shareholders of Small and Medium-sized Commercial Banks’ to </w:t>
      </w:r>
      <w:bookmarkStart w:id="15" w:name="_Hlk49836802"/>
      <w:r w:rsidRPr="00A558EA">
        <w:t xml:space="preserve">restrain the share of a single major shareholder (the shareholder which have controlling shares or voting rights) within 20% </w:t>
      </w:r>
      <w:proofErr w:type="gramStart"/>
      <w:r w:rsidRPr="00A558EA">
        <w:t>of  the</w:t>
      </w:r>
      <w:proofErr w:type="gramEnd"/>
      <w:r w:rsidRPr="00A558EA">
        <w:t xml:space="preserve"> shares of a small and medium-sized commercial bank</w:t>
      </w:r>
      <w:r w:rsidR="00C66F23">
        <w:t xml:space="preserve">. </w:t>
      </w:r>
      <w:bookmarkEnd w:id="15"/>
      <w:r w:rsidR="00C66F23">
        <w:t xml:space="preserve">This regulatory document </w:t>
      </w:r>
      <w:r w:rsidRPr="00A558EA">
        <w:t>aim</w:t>
      </w:r>
      <w:r w:rsidR="00C66F23">
        <w:t>s</w:t>
      </w:r>
      <w:r w:rsidRPr="00A558EA">
        <w:t xml:space="preserve"> at constructing city banks as </w:t>
      </w:r>
      <w:proofErr w:type="gramStart"/>
      <w:r w:rsidRPr="00A558EA">
        <w:t>the financial</w:t>
      </w:r>
      <w:proofErr w:type="gramEnd"/>
      <w:r w:rsidRPr="00A558EA">
        <w:t xml:space="preserve"> institutions jointly owned by shareholders with </w:t>
      </w:r>
      <w:r w:rsidR="005C2A2E">
        <w:t xml:space="preserve">a </w:t>
      </w:r>
      <w:r w:rsidRPr="00A558EA">
        <w:t xml:space="preserve">diversified ownership profile. In 2019, the China Banking and Insurance Regulatory Commission (CBIRC) issued a regulatory document ‘Measures of License </w:t>
      </w:r>
      <w:r w:rsidR="005C2A2E">
        <w:t>Issues</w:t>
      </w:r>
      <w:r w:rsidRPr="00A558EA">
        <w:t xml:space="preserve"> in Rural Small and Medium-sized Banking institutions’, </w:t>
      </w:r>
      <w:r w:rsidR="00C66F23">
        <w:t xml:space="preserve">stipulating </w:t>
      </w:r>
      <w:r w:rsidRPr="00A558EA">
        <w:t>that non-financial institutions and their related parties as shareholders are not allowed to hold more than 10% of the total shares of a rural commercial bank. Since 2013, private enterprises have been permitted to invest in small and medium-sized commercial banks as founding shareholders. In 2014, 5 private joint-stock commercial banks were founded</w:t>
      </w:r>
      <w:r w:rsidRPr="00A558EA">
        <w:rPr>
          <w:rStyle w:val="FootnoteReference"/>
        </w:rPr>
        <w:footnoteReference w:id="23"/>
      </w:r>
      <w:r w:rsidRPr="00A558EA">
        <w:t xml:space="preserve">. </w:t>
      </w:r>
      <w:bookmarkStart w:id="16" w:name="_Hlk49836956"/>
      <w:r w:rsidRPr="00A558EA">
        <w:t xml:space="preserve">By 2017, private institutional </w:t>
      </w:r>
      <w:proofErr w:type="gramStart"/>
      <w:r w:rsidRPr="00A558EA">
        <w:t>shareholding</w:t>
      </w:r>
      <w:proofErr w:type="gramEnd"/>
      <w:r w:rsidRPr="00A558EA">
        <w:t xml:space="preserve"> accounted for 43% in national banks, 55% in city banks, and 87% in rural financial institutions</w:t>
      </w:r>
      <w:bookmarkEnd w:id="16"/>
      <w:r w:rsidRPr="00A558EA">
        <w:t xml:space="preserve">. In 2016, 7 city banks got listed in Shanghai or Shenzhen Stock Exchange, and 8 city banks finished their IPO in Hong Kong Stock Exchange. By the end of 2019, there </w:t>
      </w:r>
      <w:proofErr w:type="gramStart"/>
      <w:r w:rsidR="00827751">
        <w:t>a total</w:t>
      </w:r>
      <w:proofErr w:type="gramEnd"/>
      <w:r w:rsidR="00827751">
        <w:t xml:space="preserve"> of</w:t>
      </w:r>
      <w:r w:rsidRPr="00A558EA">
        <w:t xml:space="preserve"> 20 city banks listed. </w:t>
      </w:r>
      <w:r w:rsidR="005C2A2E" w:rsidRPr="00A558EA">
        <w:t>Regarding</w:t>
      </w:r>
      <w:r w:rsidRPr="00A558EA">
        <w:t xml:space="preserve"> </w:t>
      </w:r>
      <w:r w:rsidR="005C2A2E">
        <w:t xml:space="preserve">the </w:t>
      </w:r>
      <w:r w:rsidRPr="00A558EA">
        <w:t>target market, in 2011, the CBRC issued guidance documents to encourage small and medium-sized banks to target small and micro enterprises</w:t>
      </w:r>
      <w:r w:rsidR="003627FE">
        <w:rPr>
          <w:rStyle w:val="FootnoteReference"/>
        </w:rPr>
        <w:footnoteReference w:id="24"/>
      </w:r>
      <w:r w:rsidRPr="00A558EA">
        <w:t xml:space="preserve"> as their clientele. </w:t>
      </w:r>
    </w:p>
    <w:p w14:paraId="4FDE39B9" w14:textId="7FBFC1CD" w:rsidR="0061685D" w:rsidRPr="00A558EA" w:rsidRDefault="003627FE" w:rsidP="00920944">
      <w:pPr>
        <w:spacing w:before="120" w:after="120" w:line="288" w:lineRule="auto"/>
      </w:pPr>
      <w:r>
        <w:t>Since</w:t>
      </w:r>
      <w:r w:rsidR="0061685D" w:rsidRPr="00A558EA">
        <w:t xml:space="preserve"> 2010, qualified rural credit cooperatives have continued to be transformed into rural commercial banks and the modern corporate governance framework </w:t>
      </w:r>
      <w:r>
        <w:t>was</w:t>
      </w:r>
      <w:r w:rsidR="0061685D" w:rsidRPr="00A558EA">
        <w:t xml:space="preserve"> established. Those unqualified were </w:t>
      </w:r>
      <w:r>
        <w:t>designated as</w:t>
      </w:r>
      <w:r w:rsidR="0061685D" w:rsidRPr="00A558EA">
        <w:t xml:space="preserve"> town-village banks or credit cooperatives as supplemental financial organizations to serve their local rural community. </w:t>
      </w:r>
      <w:bookmarkStart w:id="17" w:name="_Hlk49837011"/>
      <w:r w:rsidR="0061685D" w:rsidRPr="00A558EA">
        <w:t xml:space="preserve">By the end of 2017, there have been in total 1351 rural commercial banks. </w:t>
      </w:r>
      <w:bookmarkEnd w:id="17"/>
      <w:r w:rsidR="0061685D" w:rsidRPr="00A558EA">
        <w:t xml:space="preserve">As an example of the success in </w:t>
      </w:r>
      <w:r w:rsidR="005C2A2E">
        <w:t xml:space="preserve">the </w:t>
      </w:r>
      <w:r w:rsidR="0061685D" w:rsidRPr="00A558EA">
        <w:t>ownership structure reform</w:t>
      </w:r>
      <w:r w:rsidR="007826C3">
        <w:t>s</w:t>
      </w:r>
      <w:r w:rsidR="0061685D" w:rsidRPr="00A558EA">
        <w:t xml:space="preserve">, </w:t>
      </w:r>
      <w:r>
        <w:t xml:space="preserve">as </w:t>
      </w:r>
      <w:r w:rsidR="0061685D" w:rsidRPr="00A558EA">
        <w:t>early as in 2010, Chongqing Rural Bank finished its IPO in Hong Kong Stock Exchange. The</w:t>
      </w:r>
      <w:r>
        <w:t>re were</w:t>
      </w:r>
      <w:r w:rsidR="0061685D" w:rsidRPr="00A558EA">
        <w:t xml:space="preserve"> </w:t>
      </w:r>
      <w:r>
        <w:t xml:space="preserve">10 </w:t>
      </w:r>
      <w:r w:rsidR="0061685D" w:rsidRPr="00A558EA">
        <w:t xml:space="preserve">listed rural commercial banks by the end of 2019. </w:t>
      </w:r>
    </w:p>
    <w:p w14:paraId="1B596007" w14:textId="0428CDA4" w:rsidR="0061685D" w:rsidRPr="00A558EA" w:rsidRDefault="0061685D" w:rsidP="00920944">
      <w:pPr>
        <w:spacing w:before="120" w:after="120" w:line="288" w:lineRule="auto"/>
      </w:pPr>
      <w:bookmarkStart w:id="18" w:name="_Hlk49837040"/>
      <w:r w:rsidRPr="00A558EA">
        <w:t xml:space="preserve">Foreign banking entities continue to increase </w:t>
      </w:r>
      <w:bookmarkEnd w:id="18"/>
      <w:r w:rsidR="003627FE">
        <w:t xml:space="preserve">by volume </w:t>
      </w:r>
      <w:r w:rsidRPr="00A558EA">
        <w:t xml:space="preserve">and </w:t>
      </w:r>
      <w:r w:rsidR="003627FE">
        <w:t xml:space="preserve">by </w:t>
      </w:r>
      <w:r w:rsidRPr="00A558EA">
        <w:t xml:space="preserve">total assets year </w:t>
      </w:r>
      <w:r w:rsidR="003627FE">
        <w:t>on</w:t>
      </w:r>
      <w:r w:rsidRPr="00A558EA">
        <w:t xml:space="preserve"> year </w:t>
      </w:r>
      <w:r w:rsidR="003627FE">
        <w:t>since</w:t>
      </w:r>
      <w:r w:rsidRPr="00A558EA">
        <w:t xml:space="preserve"> 2009, given that </w:t>
      </w:r>
      <w:r w:rsidR="007826C3">
        <w:t xml:space="preserve">the </w:t>
      </w:r>
      <w:r w:rsidRPr="00A558EA">
        <w:t>Chinese government took the opening-strategy a step further. In 2014, the State Council issued the amendment of the 2006 ‘Regulation of the People’s Republic of China governing foreign financial institutions’</w:t>
      </w:r>
      <w:r w:rsidRPr="00A558EA">
        <w:rPr>
          <w:rStyle w:val="FootnoteReference"/>
        </w:rPr>
        <w:footnoteReference w:id="25"/>
      </w:r>
      <w:r w:rsidRPr="00A558EA">
        <w:t xml:space="preserve">, lifting more restrictions regarding founding and operating foreign banking entities in China’s domestic financial markets.  Since 2009, new foreign banking entities </w:t>
      </w:r>
      <w:r w:rsidR="007826C3">
        <w:t>began</w:t>
      </w:r>
      <w:r w:rsidRPr="00A558EA">
        <w:t xml:space="preserve"> emerging in the north-east and the central-west provinces and medium-to-small sized cities where the economy is rather </w:t>
      </w:r>
      <w:proofErr w:type="gramStart"/>
      <w:r w:rsidRPr="00A558EA">
        <w:t>under-developed</w:t>
      </w:r>
      <w:proofErr w:type="gramEnd"/>
      <w:r w:rsidRPr="00A558EA">
        <w:t xml:space="preserve">. </w:t>
      </w:r>
      <w:bookmarkStart w:id="19" w:name="_Hlk49837068"/>
      <w:r w:rsidRPr="00A558EA">
        <w:t>By the end of 2016, 1031 foreign banking entities have been founded and</w:t>
      </w:r>
      <w:r w:rsidR="007826C3">
        <w:t xml:space="preserve"> are</w:t>
      </w:r>
      <w:r w:rsidRPr="00A558EA">
        <w:t xml:space="preserve"> operating in over 70 cities in 27 provinces (including the province-level municipalities).</w:t>
      </w:r>
      <w:bookmarkEnd w:id="19"/>
      <w:r w:rsidRPr="00A558EA">
        <w:t xml:space="preserve"> </w:t>
      </w:r>
    </w:p>
    <w:p w14:paraId="4EC59CA5" w14:textId="4427ACE1" w:rsidR="0061685D" w:rsidRPr="00A558EA" w:rsidRDefault="0061685D" w:rsidP="00920944">
      <w:pPr>
        <w:spacing w:before="120" w:after="120" w:line="288" w:lineRule="auto"/>
      </w:pPr>
      <w:r w:rsidRPr="00A558EA">
        <w:t xml:space="preserve">A parallel strategy to opening </w:t>
      </w:r>
      <w:r w:rsidR="007826C3">
        <w:t xml:space="preserve">financial </w:t>
      </w:r>
      <w:r w:rsidRPr="00A558EA">
        <w:t>market</w:t>
      </w:r>
      <w:r w:rsidR="007826C3">
        <w:t>s</w:t>
      </w:r>
      <w:r w:rsidRPr="00A558EA">
        <w:t xml:space="preserve"> and embracing foreign companies is </w:t>
      </w:r>
      <w:r w:rsidR="007826C3">
        <w:t xml:space="preserve">known as </w:t>
      </w:r>
      <w:r w:rsidRPr="00A558EA">
        <w:t xml:space="preserve">‘going-abroad’ strategy. Those qualified commercial banks and policy banks have started to go abroad and set up branches and/or subsidiaries in foreign countries after they established the corporate governance frameworks and control systems. By 2017, 23 banks (commercial banks and policy banks) have set up 238 subsidiaries/branches/representatives in 65 foreign countries (regions). </w:t>
      </w:r>
    </w:p>
    <w:p w14:paraId="0E175750" w14:textId="6F78853D" w:rsidR="0061685D" w:rsidRPr="00941CB8" w:rsidRDefault="0061685D" w:rsidP="00920944">
      <w:pPr>
        <w:spacing w:before="120" w:after="120" w:line="288" w:lineRule="auto"/>
      </w:pPr>
      <w:r w:rsidRPr="00A558EA">
        <w:t>The CBRC issued ‘Commercial Bank Capital Management Measures’</w:t>
      </w:r>
      <w:r w:rsidR="007826C3">
        <w:t>,</w:t>
      </w:r>
      <w:r w:rsidRPr="00A558EA">
        <w:t xml:space="preserve"> – the China version of Basel III</w:t>
      </w:r>
      <w:r w:rsidR="007826C3">
        <w:rPr>
          <w:rStyle w:val="FootnoteReference"/>
        </w:rPr>
        <w:footnoteReference w:id="26"/>
      </w:r>
      <w:r w:rsidRPr="00A558EA">
        <w:t xml:space="preserve"> in 2012. China’s regulatory authorities almost fully accepted Basel III, incorporating it into the domestic regulations and setting up the transition period matching the requirement of the Basel Committee. Targeting regulatory arbitrage and shadow banking, the CBRC issued regulatory documents to rule and rectify the thriving wealth management products and inter-bank market in 2014 and 2015. </w:t>
      </w:r>
      <w:proofErr w:type="gramStart"/>
      <w:r w:rsidRPr="00A558EA">
        <w:t>Also</w:t>
      </w:r>
      <w:proofErr w:type="gramEnd"/>
      <w:r w:rsidRPr="00A558EA">
        <w:t xml:space="preserve"> as </w:t>
      </w:r>
      <w:r w:rsidR="007826C3">
        <w:t xml:space="preserve">a </w:t>
      </w:r>
      <w:r w:rsidRPr="00A558EA">
        <w:t xml:space="preserve">complement to corporate governance guidance, the regulatory document ‘Guidelines of Administration and Supervision on Consolidation of Commercial Banks’ requires commercial banks to consolidate domestic and foreign subsidiaries </w:t>
      </w:r>
      <w:r w:rsidRPr="00941CB8">
        <w:t xml:space="preserve">and conduct comprehensive risk management. </w:t>
      </w:r>
    </w:p>
    <w:p w14:paraId="307D44B9" w14:textId="56708FD4" w:rsidR="0061685D" w:rsidRPr="00941CB8" w:rsidRDefault="0061685D" w:rsidP="00920944">
      <w:pPr>
        <w:spacing w:before="120" w:after="120" w:line="288" w:lineRule="auto"/>
      </w:pPr>
      <w:bookmarkStart w:id="20" w:name="_Hlk49836643"/>
      <w:r w:rsidRPr="00941CB8">
        <w:t xml:space="preserve">Instead of structural reform and change, </w:t>
      </w:r>
      <w:r w:rsidR="007826C3" w:rsidRPr="00941CB8">
        <w:t xml:space="preserve">more detailed </w:t>
      </w:r>
      <w:r w:rsidRPr="00941CB8">
        <w:t xml:space="preserve">improvements and adjustments have happened since 2010 based on the </w:t>
      </w:r>
      <w:r w:rsidR="007826C3" w:rsidRPr="00941CB8">
        <w:t>implementation in previous stages</w:t>
      </w:r>
      <w:r w:rsidRPr="00941CB8">
        <w:t xml:space="preserve">. </w:t>
      </w:r>
      <w:bookmarkEnd w:id="20"/>
      <w:r w:rsidRPr="00941CB8">
        <w:t>In terms of ownership structure</w:t>
      </w:r>
      <w:bookmarkStart w:id="21" w:name="_Hlk49836668"/>
      <w:r w:rsidRPr="00941CB8">
        <w:t xml:space="preserve">, shareholder behavior has been regulated by regulatory documents and private enterprises have been officially accepted as founding shareholders of commercial banks. </w:t>
      </w:r>
      <w:bookmarkEnd w:id="21"/>
      <w:r w:rsidRPr="00941CB8">
        <w:t xml:space="preserve">As one of the results of almost forty years’ reform, multiple categories of ownership structure including state-owned, joint-stock with local government holding, joint-stock with private companies became the mainstream of China’s financial institutions. Among others, establishment of modern corporate governance framework is considered as </w:t>
      </w:r>
      <w:r w:rsidR="007826C3" w:rsidRPr="00941CB8">
        <w:t>a safeguard</w:t>
      </w:r>
      <w:r w:rsidRPr="00941CB8">
        <w:t xml:space="preserve"> against direct government interference in banks’ decision-making</w:t>
      </w:r>
      <w:r w:rsidR="007826C3" w:rsidRPr="00941CB8">
        <w:t xml:space="preserve">; although the evidence of the recedes of direct government in practice need to be investigated further. </w:t>
      </w:r>
      <w:r w:rsidRPr="00941CB8">
        <w:t xml:space="preserve">The last forty years’ reform </w:t>
      </w:r>
      <w:r w:rsidR="007826C3" w:rsidRPr="00941CB8">
        <w:t xml:space="preserve">substantially </w:t>
      </w:r>
      <w:r w:rsidRPr="00941CB8">
        <w:t xml:space="preserve">changed the role </w:t>
      </w:r>
      <w:r w:rsidR="007826C3" w:rsidRPr="00941CB8">
        <w:t xml:space="preserve">that the </w:t>
      </w:r>
      <w:r w:rsidRPr="00941CB8">
        <w:t>State government and local government played in</w:t>
      </w:r>
      <w:r w:rsidR="007826C3" w:rsidRPr="00941CB8">
        <w:t xml:space="preserve"> the</w:t>
      </w:r>
      <w:r w:rsidRPr="00941CB8">
        <w:t xml:space="preserve"> economy: from designing and executing the plan for economic development as well as managing enterprises’ operations to setting up suitable market environment for competition and maintaining macro-economic stability. </w:t>
      </w:r>
      <w:r w:rsidRPr="00941CB8">
        <w:fldChar w:fldCharType="begin"/>
      </w:r>
      <w:r w:rsidRPr="00941CB8">
        <w:instrText xml:space="preserve"> ADDIN EN.CITE &lt;EndNote&gt;&lt;Cite&gt;&lt;Author&gt;Atherton&lt;/Author&gt;&lt;Year&gt;2016&lt;/Year&gt;&lt;RecNum&gt;55&lt;/RecNum&gt;&lt;DisplayText&gt;(Atherton and Newman, 2016)&lt;/DisplayText&gt;&lt;record&gt;&lt;rec-number&gt;55&lt;/rec-number&gt;&lt;foreign-keys&gt;&lt;key app="EN" db-id="xze9dwva9zzvfwe9p0vpz55lp5dr9e9zd955" timestamp="1593791190"&gt;55&lt;/key&gt;&lt;/foreign-keys&gt;&lt;ref-type name="Journal Article"&gt;17&lt;/ref-type&gt;&lt;contributors&gt;&lt;authors&gt;&lt;author&gt;Atherton, Andrew&lt;/author&gt;&lt;author&gt;Newman, Alex&lt;/author&gt;&lt;/authors&gt;&lt;/contributors&gt;&lt;titles&gt;&lt;title&gt;The emergence of the private entrepreneur in reform era China: re-birth of an earlier tradition, or a more recent product of development and change?&lt;/title&gt;&lt;secondary-title&gt;Business History&lt;/secondary-title&gt;&lt;/titles&gt;&lt;periodical&gt;&lt;full-title&gt;Business History&lt;/full-title&gt;&lt;/periodical&gt;&lt;pages&gt;319-344&lt;/pages&gt;&lt;volume&gt;58&lt;/volume&gt;&lt;number&gt;3&lt;/number&gt;&lt;dates&gt;&lt;year&gt;2016&lt;/year&gt;&lt;pub-dates&gt;&lt;date&gt;2016/04/02&lt;/date&gt;&lt;/pub-dates&gt;&lt;/dates&gt;&lt;publisher&gt;Routledge&lt;/publisher&gt;&lt;isbn&gt;0007-6791&lt;/isbn&gt;&lt;urls&gt;&lt;related-urls&gt;&lt;url&gt;https://doi.org/10.1080/00076791.2015.1122702&lt;/url&gt;&lt;/related-urls&gt;&lt;/urls&gt;&lt;electronic-resource-num&gt;10.1080/00076791.2015.1122702&lt;/electronic-resource-num&gt;&lt;/record&gt;&lt;/Cite&gt;&lt;/EndNote&gt;</w:instrText>
      </w:r>
      <w:r w:rsidRPr="00941CB8">
        <w:fldChar w:fldCharType="separate"/>
      </w:r>
      <w:r w:rsidRPr="00941CB8">
        <w:rPr>
          <w:noProof/>
        </w:rPr>
        <w:t>(Atherton and Newman, 2016)</w:t>
      </w:r>
      <w:r w:rsidRPr="00941CB8">
        <w:fldChar w:fldCharType="end"/>
      </w:r>
    </w:p>
    <w:p w14:paraId="7A68725B" w14:textId="38E8D165" w:rsidR="005C2A2E" w:rsidRPr="00941CB8" w:rsidRDefault="0061685D" w:rsidP="00920944">
      <w:pPr>
        <w:spacing w:before="120" w:after="120" w:line="288" w:lineRule="auto"/>
      </w:pPr>
      <w:r w:rsidRPr="00941CB8">
        <w:t>One of the most salient reforms in banking regulation is the issuance of ‘Commercial Bank Capital Management Measures’ – the China version of Basel III by the CBRC in 2012. It not only changes the way of China’s regulatory authorities regulating and supervising banks, but also requires commercial banks to be accountable for their business decisions. To some extent, this new regulation also can be viewed as the withdrawal of implicit government resor</w:t>
      </w:r>
      <w:r w:rsidR="00E50144" w:rsidRPr="00941CB8">
        <w:t>t as presented in the early years of the financial reforms</w:t>
      </w:r>
      <w:r w:rsidRPr="00941CB8">
        <w:t xml:space="preserve">. </w:t>
      </w:r>
    </w:p>
    <w:p w14:paraId="50C22A93" w14:textId="63CDA785" w:rsidR="0061685D" w:rsidRPr="00941CB8" w:rsidRDefault="00FA3CF0" w:rsidP="00920944">
      <w:pPr>
        <w:spacing w:before="120" w:after="120" w:line="288" w:lineRule="auto"/>
      </w:pPr>
      <w:r w:rsidRPr="00941CB8">
        <w:t xml:space="preserve">As part of the significant systemic industrial Reform in China’s economy, the financial reforms of the banking sector have dramatically changed the landscape and bring a long booming period. </w:t>
      </w:r>
      <w:bookmarkStart w:id="22" w:name="_Hlk49837154"/>
      <w:r w:rsidRPr="00941CB8">
        <w:t xml:space="preserve">The last four decades witnessed China’s commercial banks’ marketization, securitization, and globalization. </w:t>
      </w:r>
      <w:r w:rsidR="0061685D" w:rsidRPr="00941CB8">
        <w:t xml:space="preserve"> </w:t>
      </w:r>
      <w:r w:rsidRPr="00941CB8">
        <w:t>The reforms and development in legislation and transformation resulted in diversified ownership structures</w:t>
      </w:r>
      <w:r w:rsidR="00182532" w:rsidRPr="00941CB8">
        <w:t>, modern corporate governance, and market competition.</w:t>
      </w:r>
      <w:bookmarkEnd w:id="22"/>
      <w:r w:rsidR="00182532" w:rsidRPr="00941CB8">
        <w:t xml:space="preserve"> </w:t>
      </w:r>
      <w:r w:rsidR="00E50144" w:rsidRPr="00941CB8">
        <w:t>From the perspective of corporate governance, t</w:t>
      </w:r>
      <w:r w:rsidR="00182532" w:rsidRPr="00941CB8">
        <w:t xml:space="preserve">he direct government </w:t>
      </w:r>
      <w:proofErr w:type="gramStart"/>
      <w:r w:rsidR="00182532" w:rsidRPr="00941CB8">
        <w:t>intervenes</w:t>
      </w:r>
      <w:proofErr w:type="gramEnd"/>
      <w:r w:rsidR="00182532" w:rsidRPr="00941CB8">
        <w:t xml:space="preserve"> </w:t>
      </w:r>
      <w:r w:rsidR="00E50144" w:rsidRPr="00941CB8">
        <w:t>can be considered</w:t>
      </w:r>
      <w:r w:rsidR="00182532" w:rsidRPr="00941CB8">
        <w:t xml:space="preserve"> reced</w:t>
      </w:r>
      <w:r w:rsidR="00E50144" w:rsidRPr="00941CB8">
        <w:t>ing</w:t>
      </w:r>
      <w:r w:rsidR="00182532" w:rsidRPr="00941CB8">
        <w:t xml:space="preserve"> step by step in rounds of the reforms. The further deepening reforms after the 2007-2008 financial crisis are taking place in a fast pace and </w:t>
      </w:r>
      <w:r w:rsidR="00E50144" w:rsidRPr="00941CB8">
        <w:t>may contribute</w:t>
      </w:r>
      <w:r w:rsidR="00182532" w:rsidRPr="00941CB8">
        <w:t xml:space="preserve"> the further growth of China’s economy. </w:t>
      </w:r>
    </w:p>
    <w:p w14:paraId="6AAAA200" w14:textId="2B325064" w:rsidR="00311624" w:rsidRPr="00A558EA" w:rsidRDefault="00311624" w:rsidP="007A379E">
      <w:pPr>
        <w:pStyle w:val="Heading2"/>
        <w:spacing w:before="120" w:after="120" w:line="288" w:lineRule="auto"/>
        <w:jc w:val="center"/>
        <w:rPr>
          <w:rFonts w:ascii="Corbel" w:hAnsi="Corbel"/>
        </w:rPr>
      </w:pPr>
      <w:r w:rsidRPr="00A558EA">
        <w:rPr>
          <w:rFonts w:ascii="Corbel" w:hAnsi="Corbel"/>
        </w:rPr>
        <w:t>Part II</w:t>
      </w:r>
      <w:r w:rsidR="005150CD" w:rsidRPr="00A558EA">
        <w:rPr>
          <w:rFonts w:ascii="Corbel" w:hAnsi="Corbel"/>
        </w:rPr>
        <w:t>:</w:t>
      </w:r>
      <w:r w:rsidRPr="00A558EA">
        <w:rPr>
          <w:rFonts w:ascii="Corbel" w:hAnsi="Corbel"/>
        </w:rPr>
        <w:t xml:space="preserve"> </w:t>
      </w:r>
      <w:r w:rsidR="00E50144">
        <w:rPr>
          <w:rFonts w:ascii="Corbel" w:hAnsi="Corbel"/>
        </w:rPr>
        <w:t xml:space="preserve">the Chinese </w:t>
      </w:r>
      <w:r w:rsidRPr="00A558EA">
        <w:rPr>
          <w:rFonts w:ascii="Corbel" w:hAnsi="Corbel"/>
        </w:rPr>
        <w:t xml:space="preserve">banking regulatory framework </w:t>
      </w:r>
    </w:p>
    <w:p w14:paraId="4F9D583E" w14:textId="39CB8DEA" w:rsidR="00B818DB" w:rsidRPr="00B818DB" w:rsidRDefault="00B818DB" w:rsidP="00B818DB">
      <w:r>
        <w:t xml:space="preserve">Along with the </w:t>
      </w:r>
      <w:r w:rsidR="00E50144">
        <w:t xml:space="preserve">overall banking sector </w:t>
      </w:r>
      <w:r>
        <w:t xml:space="preserve">reforms, the banking regulatory framework has also experienced </w:t>
      </w:r>
      <w:r w:rsidR="00E50144">
        <w:t>considerable</w:t>
      </w:r>
      <w:r>
        <w:t xml:space="preserve"> changes. In this sect</w:t>
      </w:r>
      <w:r w:rsidR="00E50144">
        <w:t>ion</w:t>
      </w:r>
      <w:r>
        <w:t xml:space="preserve">, we will briefly review the evolution of the banking regulatory framework, then introduce the main factors of the framework </w:t>
      </w:r>
      <w:r w:rsidR="00E50144">
        <w:t>as follows</w:t>
      </w:r>
      <w:r>
        <w:t xml:space="preserve">: the regulatory authorities, the regulated </w:t>
      </w:r>
      <w:r w:rsidR="00EC5796">
        <w:t>institutions,</w:t>
      </w:r>
      <w:r>
        <w:t xml:space="preserve"> and the regulated </w:t>
      </w:r>
      <w:r w:rsidR="00E50144">
        <w:t>fields</w:t>
      </w:r>
      <w:r>
        <w:t xml:space="preserve">. </w:t>
      </w:r>
    </w:p>
    <w:p w14:paraId="2F15CF44" w14:textId="0A644D2D" w:rsidR="00311624" w:rsidRPr="00A558EA" w:rsidRDefault="00E50144" w:rsidP="007A379E">
      <w:pPr>
        <w:pStyle w:val="Heading2"/>
        <w:spacing w:before="120" w:after="120" w:line="288" w:lineRule="auto"/>
        <w:rPr>
          <w:rFonts w:ascii="Corbel" w:hAnsi="Corbel"/>
          <w:i/>
          <w:iCs/>
          <w:u w:val="single"/>
        </w:rPr>
      </w:pPr>
      <w:r>
        <w:rPr>
          <w:rFonts w:ascii="Corbel" w:hAnsi="Corbel"/>
          <w:i/>
          <w:iCs/>
          <w:u w:val="single"/>
        </w:rPr>
        <w:t>H</w:t>
      </w:r>
      <w:r w:rsidR="00311624" w:rsidRPr="00A558EA">
        <w:rPr>
          <w:rFonts w:ascii="Corbel" w:hAnsi="Corbel"/>
          <w:i/>
          <w:iCs/>
          <w:u w:val="single"/>
        </w:rPr>
        <w:t xml:space="preserve">istorical overview of </w:t>
      </w:r>
      <w:r>
        <w:rPr>
          <w:rFonts w:ascii="Corbel" w:hAnsi="Corbel"/>
          <w:i/>
          <w:iCs/>
          <w:u w:val="single"/>
        </w:rPr>
        <w:t xml:space="preserve">the Chinese </w:t>
      </w:r>
      <w:r w:rsidR="00311624" w:rsidRPr="00A558EA">
        <w:rPr>
          <w:rFonts w:ascii="Corbel" w:hAnsi="Corbel"/>
          <w:i/>
          <w:iCs/>
          <w:u w:val="single"/>
        </w:rPr>
        <w:t>banking regulators</w:t>
      </w:r>
    </w:p>
    <w:p w14:paraId="72BD2171" w14:textId="493C6DE3" w:rsidR="00311624" w:rsidRPr="00A558EA" w:rsidRDefault="00E50144" w:rsidP="007A379E">
      <w:pPr>
        <w:spacing w:before="120" w:after="120" w:line="288" w:lineRule="auto"/>
      </w:pPr>
      <w:r>
        <w:t xml:space="preserve">We begin with </w:t>
      </w:r>
      <w:r w:rsidR="00311624" w:rsidRPr="00A558EA">
        <w:t xml:space="preserve">a brief history </w:t>
      </w:r>
      <w:r>
        <w:t xml:space="preserve">of </w:t>
      </w:r>
      <w:r w:rsidR="00311624" w:rsidRPr="00A558EA">
        <w:t xml:space="preserve">the evolution of banking regulators in China. </w:t>
      </w:r>
    </w:p>
    <w:p w14:paraId="5CB8DFAA" w14:textId="5A9B6617" w:rsidR="00311624" w:rsidRPr="00A558EA" w:rsidRDefault="00311624" w:rsidP="007A379E">
      <w:pPr>
        <w:spacing w:before="120" w:after="120" w:line="288" w:lineRule="auto"/>
      </w:pPr>
      <w:r w:rsidRPr="00A558EA">
        <w:t xml:space="preserve">Until 1978, </w:t>
      </w:r>
      <w:r w:rsidR="00E50144">
        <w:t xml:space="preserve">the </w:t>
      </w:r>
      <w:r w:rsidRPr="00A558EA">
        <w:t xml:space="preserve">Chinese banking system was following the mono-bank model. The </w:t>
      </w:r>
      <w:r w:rsidR="00E50144">
        <w:t xml:space="preserve">only bank, - the </w:t>
      </w:r>
      <w:r w:rsidRPr="00A558EA">
        <w:t>People’s Bank of China (PBOC), which acted as a unit of the State Council and was appointed as ‘a National Bank’, undertook functions including ‘issuing national currency, managing national treasury, managing national finance, stabilizing financial markets and supporting economic recovery’</w:t>
      </w:r>
      <w:r w:rsidRPr="00A558EA">
        <w:rPr>
          <w:rStyle w:val="FootnoteReference"/>
        </w:rPr>
        <w:footnoteReference w:id="27"/>
      </w:r>
      <w:r w:rsidRPr="00A558EA">
        <w:t xml:space="preserve"> </w:t>
      </w:r>
      <w:r w:rsidR="007F4E36">
        <w:t>following its establishment</w:t>
      </w:r>
      <w:r w:rsidRPr="00A558EA">
        <w:t xml:space="preserve">. </w:t>
      </w:r>
      <w:r w:rsidR="007F4E36">
        <w:t>Following</w:t>
      </w:r>
      <w:r w:rsidRPr="00A558EA">
        <w:t xml:space="preserve"> the incorporation of private financial institutions into the financial system, the PBOC played </w:t>
      </w:r>
      <w:r w:rsidR="007F4E36">
        <w:t>a</w:t>
      </w:r>
      <w:r w:rsidRPr="00A558EA">
        <w:t xml:space="preserve"> dual role in the financial system: a central bank </w:t>
      </w:r>
      <w:r w:rsidR="007F4E36">
        <w:t>as well as</w:t>
      </w:r>
      <w:r w:rsidRPr="00A558EA">
        <w:t xml:space="preserve"> a commercial bank. The PBOC performed its supervisory function through directly controlling permission </w:t>
      </w:r>
      <w:r w:rsidR="007F4E36">
        <w:t>for the</w:t>
      </w:r>
      <w:r w:rsidRPr="00A558EA">
        <w:t xml:space="preserve"> establishment of financial institutions, approval of their key operational decisions, and senior management appointments in financial institutions. </w:t>
      </w:r>
    </w:p>
    <w:p w14:paraId="3B696116" w14:textId="1C10CECE" w:rsidR="00311624" w:rsidRPr="00A558EA" w:rsidRDefault="00311624" w:rsidP="007A379E">
      <w:pPr>
        <w:spacing w:before="120" w:after="120" w:line="288" w:lineRule="auto"/>
      </w:pPr>
      <w:r w:rsidRPr="00A558EA">
        <w:t xml:space="preserve">The national economic reform </w:t>
      </w:r>
      <w:r w:rsidR="007F4E36">
        <w:t>began</w:t>
      </w:r>
      <w:r w:rsidRPr="00A558EA">
        <w:t xml:space="preserve"> </w:t>
      </w:r>
      <w:r w:rsidR="007F4E36">
        <w:t xml:space="preserve">in </w:t>
      </w:r>
      <w:r w:rsidRPr="00A558EA">
        <w:t xml:space="preserve">1979, which necessitates the function transformation of the PBOC and establishment of a diverse financial system. Since 1984, the PBOC </w:t>
      </w:r>
      <w:proofErr w:type="gramStart"/>
      <w:r w:rsidRPr="00A558EA">
        <w:t>perform</w:t>
      </w:r>
      <w:proofErr w:type="gramEnd"/>
      <w:r w:rsidRPr="00A558EA">
        <w:t xml:space="preserve"> </w:t>
      </w:r>
      <w:r w:rsidR="007F4E36">
        <w:t>solely</w:t>
      </w:r>
      <w:r w:rsidRPr="00A558EA">
        <w:t xml:space="preserve"> </w:t>
      </w:r>
      <w:r w:rsidR="007F4E36">
        <w:t xml:space="preserve">as </w:t>
      </w:r>
      <w:r w:rsidRPr="00A558EA">
        <w:t xml:space="preserve">a central bank, which was decided by the State Council the year before. </w:t>
      </w:r>
      <w:r w:rsidR="007F4E36">
        <w:t>I</w:t>
      </w:r>
      <w:r w:rsidRPr="00A558EA">
        <w:t xml:space="preserve">n </w:t>
      </w:r>
      <w:bookmarkStart w:id="23" w:name="_Hlk43547965"/>
      <w:r w:rsidR="006E22E7" w:rsidRPr="00A558EA">
        <w:t>1995, ‘</w:t>
      </w:r>
      <w:r w:rsidRPr="00A558EA">
        <w:t xml:space="preserve">the People’s Bank of China Law of the People’s Republic of China’ </w:t>
      </w:r>
      <w:bookmarkEnd w:id="23"/>
      <w:r w:rsidRPr="00A558EA">
        <w:t xml:space="preserve">reinforced the PBOC’s status as a central bank </w:t>
      </w:r>
      <w:r w:rsidR="007F4E36">
        <w:t xml:space="preserve">through </w:t>
      </w:r>
      <w:r w:rsidRPr="00A558EA">
        <w:t xml:space="preserve">legislation. </w:t>
      </w:r>
    </w:p>
    <w:p w14:paraId="54BE6B26" w14:textId="01BE485A" w:rsidR="00311624" w:rsidRPr="00A558EA" w:rsidRDefault="00311624" w:rsidP="007A379E">
      <w:pPr>
        <w:spacing w:before="120" w:after="120" w:line="288" w:lineRule="auto"/>
      </w:pPr>
      <w:r w:rsidRPr="00A558EA">
        <w:t>In 2003 the regulatory function was officially separated from the PBOC and transferred to the new</w:t>
      </w:r>
      <w:r w:rsidR="007F4E36">
        <w:t>ly</w:t>
      </w:r>
      <w:r w:rsidRPr="00A558EA">
        <w:t xml:space="preserve"> founded supervisory body</w:t>
      </w:r>
      <w:r w:rsidR="007F4E36">
        <w:t>,</w:t>
      </w:r>
      <w:r w:rsidRPr="00A558EA">
        <w:t xml:space="preserve"> - the China Banking Regulatory Commission (CBRC)</w:t>
      </w:r>
      <w:r w:rsidRPr="00A558EA">
        <w:rPr>
          <w:rStyle w:val="FootnoteReference"/>
        </w:rPr>
        <w:footnoteReference w:id="28"/>
      </w:r>
      <w:r w:rsidRPr="00A558EA">
        <w:t>. Since then, the CBRC has been regulating banks and financial institutions other than insurance companies and securities firms.  In 2018, the CBRC was merged with the China Insurance Regulatory Commission into a new regulatory body</w:t>
      </w:r>
      <w:r w:rsidR="007F4E36">
        <w:t>,</w:t>
      </w:r>
      <w:r w:rsidRPr="00A558EA">
        <w:t xml:space="preserve"> - the China Banking and Insurance Regulatory Commission (CBIRC) which is responsible for regulating banking and insurance sectors</w:t>
      </w:r>
      <w:r w:rsidRPr="00A558EA">
        <w:rPr>
          <w:rStyle w:val="FootnoteReference"/>
        </w:rPr>
        <w:footnoteReference w:id="29"/>
      </w:r>
      <w:r w:rsidRPr="00A558EA">
        <w:t xml:space="preserve">.  </w:t>
      </w:r>
    </w:p>
    <w:p w14:paraId="282168B3" w14:textId="7CC726DA" w:rsidR="00311624" w:rsidRPr="00A558EA" w:rsidRDefault="00311624" w:rsidP="007A379E">
      <w:pPr>
        <w:pStyle w:val="Heading2"/>
        <w:spacing w:before="120" w:after="120" w:line="288" w:lineRule="auto"/>
        <w:rPr>
          <w:rFonts w:ascii="Corbel" w:hAnsi="Corbel"/>
          <w:i/>
          <w:iCs/>
          <w:u w:val="single"/>
        </w:rPr>
      </w:pPr>
      <w:r w:rsidRPr="00A558EA">
        <w:rPr>
          <w:rFonts w:ascii="Corbel" w:hAnsi="Corbel"/>
          <w:i/>
          <w:iCs/>
          <w:u w:val="single"/>
        </w:rPr>
        <w:t>The</w:t>
      </w:r>
      <w:r w:rsidR="007F4E36">
        <w:rPr>
          <w:rFonts w:ascii="Corbel" w:hAnsi="Corbel"/>
          <w:i/>
          <w:iCs/>
          <w:u w:val="single"/>
        </w:rPr>
        <w:t xml:space="preserve"> current</w:t>
      </w:r>
      <w:r w:rsidRPr="00A558EA">
        <w:rPr>
          <w:rFonts w:ascii="Corbel" w:hAnsi="Corbel"/>
          <w:i/>
          <w:iCs/>
          <w:u w:val="single"/>
        </w:rPr>
        <w:t xml:space="preserve"> main regulators in banking regulation and supervision</w:t>
      </w:r>
    </w:p>
    <w:p w14:paraId="24BA50FA" w14:textId="3F3E6BE5" w:rsidR="00311624" w:rsidRDefault="00311624" w:rsidP="007A379E">
      <w:pPr>
        <w:spacing w:before="120" w:after="120" w:line="288" w:lineRule="auto"/>
      </w:pPr>
      <w:r w:rsidRPr="00A558EA">
        <w:t xml:space="preserve">Authorized by </w:t>
      </w:r>
      <w:r w:rsidR="007F4E36">
        <w:t>its</w:t>
      </w:r>
      <w:r w:rsidRPr="00A558EA">
        <w:t xml:space="preserve"> founding laws, the China </w:t>
      </w:r>
      <w:proofErr w:type="gramStart"/>
      <w:r w:rsidRPr="00A558EA">
        <w:t>Banking</w:t>
      </w:r>
      <w:proofErr w:type="gramEnd"/>
      <w:r w:rsidRPr="00A558EA">
        <w:t xml:space="preserve"> and Insurance Regulatory Commission (CBIRC) and the People’s Bank of China (PBOC) are the two main regulators in bank regulation and supervision in China. These two regulators have the authorit</w:t>
      </w:r>
      <w:r w:rsidR="007F4E36">
        <w:t>y</w:t>
      </w:r>
      <w:r w:rsidRPr="00A558EA">
        <w:t xml:space="preserve"> to issue regulatory documents in </w:t>
      </w:r>
      <w:proofErr w:type="gramStart"/>
      <w:r w:rsidRPr="00A558EA">
        <w:t>forms</w:t>
      </w:r>
      <w:proofErr w:type="gramEnd"/>
      <w:r w:rsidRPr="00A558EA">
        <w:t xml:space="preserve"> of rules, decrees, notices, </w:t>
      </w:r>
      <w:r w:rsidR="007A379E" w:rsidRPr="00A558EA">
        <w:t>etc.</w:t>
      </w:r>
      <w:r w:rsidRPr="00A558EA">
        <w:t xml:space="preserve"> to regulate and oversee financial institutions. A chart of the structure of the framework of regulation and supervision in China </w:t>
      </w:r>
      <w:r w:rsidR="00B818DB">
        <w:t>can be found</w:t>
      </w:r>
      <w:r w:rsidRPr="00A558EA">
        <w:t xml:space="preserve"> in </w:t>
      </w:r>
      <w:r w:rsidR="00944648">
        <w:t>Figure 2</w:t>
      </w:r>
      <w:r w:rsidRPr="00A558EA">
        <w:t xml:space="preserve">. </w:t>
      </w:r>
    </w:p>
    <w:p w14:paraId="0CFEB27A" w14:textId="26B30B8D" w:rsidR="00E54D8D" w:rsidRDefault="00E54D8D" w:rsidP="007A379E">
      <w:pPr>
        <w:spacing w:before="120" w:after="120" w:line="288" w:lineRule="auto"/>
      </w:pPr>
    </w:p>
    <w:p w14:paraId="3DCEEC0D" w14:textId="464281AB" w:rsidR="00E54D8D" w:rsidRDefault="00E54D8D" w:rsidP="007A379E">
      <w:pPr>
        <w:spacing w:before="120" w:after="120" w:line="288" w:lineRule="auto"/>
      </w:pPr>
    </w:p>
    <w:p w14:paraId="007559E3" w14:textId="310607FF" w:rsidR="00E54D8D" w:rsidRDefault="00E54D8D" w:rsidP="007A379E">
      <w:pPr>
        <w:spacing w:before="120" w:after="120" w:line="288" w:lineRule="auto"/>
      </w:pPr>
    </w:p>
    <w:p w14:paraId="4F6D93C2" w14:textId="39CA61D1" w:rsidR="00E54D8D" w:rsidRDefault="00E54D8D" w:rsidP="007A379E">
      <w:pPr>
        <w:spacing w:before="120" w:after="120" w:line="288" w:lineRule="auto"/>
      </w:pPr>
    </w:p>
    <w:p w14:paraId="2417531D" w14:textId="2DDC3E40" w:rsidR="00E54D8D" w:rsidRDefault="00E54D8D" w:rsidP="007A379E">
      <w:pPr>
        <w:spacing w:before="120" w:after="120" w:line="288" w:lineRule="auto"/>
      </w:pPr>
    </w:p>
    <w:p w14:paraId="44ACCAE0" w14:textId="7D309FA0" w:rsidR="00944648" w:rsidRPr="007F4E36" w:rsidRDefault="00944648" w:rsidP="00944648">
      <w:pPr>
        <w:pStyle w:val="Heading2"/>
        <w:jc w:val="center"/>
        <w:rPr>
          <w:rStyle w:val="Emphasis"/>
          <w:rFonts w:ascii="Corbel" w:hAnsi="Corbel"/>
          <w:i w:val="0"/>
          <w:iCs w:val="0"/>
          <w:color w:val="auto"/>
          <w:sz w:val="22"/>
          <w:szCs w:val="22"/>
        </w:rPr>
      </w:pPr>
      <w:r w:rsidRPr="007F4E36">
        <w:rPr>
          <w:rStyle w:val="Emphasis"/>
          <w:rFonts w:ascii="Corbel" w:hAnsi="Corbel"/>
          <w:i w:val="0"/>
          <w:iCs w:val="0"/>
          <w:color w:val="auto"/>
          <w:sz w:val="22"/>
          <w:szCs w:val="22"/>
        </w:rPr>
        <w:t>Figure 2: The structure of the banking regulatory and supervisory framework in China</w:t>
      </w:r>
    </w:p>
    <w:p w14:paraId="4D68A5E0" w14:textId="77777777" w:rsidR="00E54D8D" w:rsidRPr="00E54D8D" w:rsidRDefault="00E54D8D" w:rsidP="00E54D8D"/>
    <w:p w14:paraId="02C3E140" w14:textId="41FFE589" w:rsidR="00944648" w:rsidRDefault="00944648" w:rsidP="00944648">
      <w:pPr>
        <w:rPr>
          <w:rStyle w:val="Emphasis"/>
          <w:rFonts w:eastAsia="黑体"/>
          <w:i w:val="0"/>
          <w:iCs w:val="0"/>
          <w:sz w:val="24"/>
          <w:szCs w:val="24"/>
        </w:rPr>
      </w:pPr>
      <w:r>
        <w:rPr>
          <w:rFonts w:hint="eastAsia"/>
          <w:noProof/>
        </w:rPr>
        <mc:AlternateContent>
          <mc:Choice Requires="wps">
            <w:drawing>
              <wp:anchor distT="0" distB="0" distL="114300" distR="114300" simplePos="0" relativeHeight="251722752" behindDoc="1" locked="0" layoutInCell="1" allowOverlap="1" wp14:anchorId="71779992" wp14:editId="144B6649">
                <wp:simplePos x="0" y="0"/>
                <wp:positionH relativeFrom="column">
                  <wp:posOffset>1757172</wp:posOffset>
                </wp:positionH>
                <wp:positionV relativeFrom="paragraph">
                  <wp:posOffset>222631</wp:posOffset>
                </wp:positionV>
                <wp:extent cx="1591056" cy="530352"/>
                <wp:effectExtent l="38100" t="38100" r="123825" b="117475"/>
                <wp:wrapTight wrapText="bothSides">
                  <wp:wrapPolygon edited="0">
                    <wp:start x="1293" y="-1552"/>
                    <wp:lineTo x="-517" y="-776"/>
                    <wp:lineTo x="-517" y="20953"/>
                    <wp:lineTo x="1035" y="25610"/>
                    <wp:lineTo x="21471" y="25610"/>
                    <wp:lineTo x="22247" y="24057"/>
                    <wp:lineTo x="23023" y="12417"/>
                    <wp:lineTo x="23023" y="6984"/>
                    <wp:lineTo x="21988" y="-776"/>
                    <wp:lineTo x="21212" y="-1552"/>
                    <wp:lineTo x="1293" y="-1552"/>
                  </wp:wrapPolygon>
                </wp:wrapTight>
                <wp:docPr id="2" name="Rectangle: Rounded Corners 2"/>
                <wp:cNvGraphicFramePr/>
                <a:graphic xmlns:a="http://schemas.openxmlformats.org/drawingml/2006/main">
                  <a:graphicData uri="http://schemas.microsoft.com/office/word/2010/wordprocessingShape">
                    <wps:wsp>
                      <wps:cNvSpPr/>
                      <wps:spPr>
                        <a:xfrm>
                          <a:off x="0" y="0"/>
                          <a:ext cx="1591056" cy="530352"/>
                        </a:xfrm>
                        <a:prstGeom prst="round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effectLst>
                          <a:outerShdw blurRad="50800" dist="38100" dir="2700000" algn="tl" rotWithShape="0">
                            <a:srgbClr val="002060">
                              <a:alpha val="40000"/>
                            </a:srgb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15CA87E" w14:textId="77777777" w:rsidR="00E10EE6" w:rsidRPr="00F230AC" w:rsidRDefault="00E10EE6" w:rsidP="00944648">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30A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National People’s Congress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779992" id="Rectangle: Rounded Corners 2" o:spid="_x0000_s1036" style="position:absolute;margin-left:138.35pt;margin-top:17.55pt;width:125.3pt;height:41.75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" fillcolor="#f6f8fc [180]" strokecolor="#1f3763 [1604]" strokeweight="1pt">
                <v:fill color2="#c7d4ed [980]" colors="0 #f6f8fc;48497f #abc0e4;54395f #abc0e4;1 #c7d5ed" focus="100%" type="gradient"/>
                <v:stroke joinstyle="miter"/>
                <v:shadow on="t" color="#002060" opacity="26214f" origin="-.5,-.5" offset=".74836mm,.74836mm"/>
                <v:textbox>
                  <w:txbxContent>
                    <w:p w14:paraId="515CA87E" w14:textId="77777777" w:rsidR="00E10EE6" w:rsidRPr="00F230AC" w:rsidRDefault="00E10EE6" w:rsidP="00944648">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30A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National People’s Congress</w:t>
                      </w:r>
                    </w:p>
                  </w:txbxContent>
                </v:textbox>
                <w10:wrap type="tight"/>
              </v:roundrect>
            </w:pict>
          </mc:Fallback>
        </mc:AlternateContent>
      </w:r>
    </w:p>
    <w:p w14:paraId="1AC15845" w14:textId="7DAEE3DE" w:rsidR="00311624" w:rsidRPr="00E54D8D" w:rsidRDefault="00944648" w:rsidP="00E54D8D">
      <w:pPr>
        <w:pStyle w:val="Heading3"/>
        <w:spacing w:before="120" w:after="120" w:line="288" w:lineRule="auto"/>
        <w:ind w:left="360"/>
        <w:rPr>
          <w:rFonts w:ascii="Corbel" w:hAnsi="Corbel"/>
        </w:rPr>
      </w:pPr>
      <w:r>
        <w:rPr>
          <w:rFonts w:eastAsia="黑体"/>
          <w:noProof/>
        </w:rPr>
        <mc:AlternateContent>
          <mc:Choice Requires="wps">
            <w:drawing>
              <wp:anchor distT="0" distB="0" distL="114300" distR="114300" simplePos="0" relativeHeight="251727872" behindDoc="0" locked="0" layoutInCell="1" allowOverlap="1" wp14:anchorId="2B9FB5E5" wp14:editId="2911CE96">
                <wp:simplePos x="0" y="0"/>
                <wp:positionH relativeFrom="column">
                  <wp:posOffset>-1657</wp:posOffset>
                </wp:positionH>
                <wp:positionV relativeFrom="paragraph">
                  <wp:posOffset>2143705</wp:posOffset>
                </wp:positionV>
                <wp:extent cx="1141095" cy="1416988"/>
                <wp:effectExtent l="38100" t="38100" r="116205" b="107315"/>
                <wp:wrapNone/>
                <wp:docPr id="3" name="Rectangle: Rounded Corners 3"/>
                <wp:cNvGraphicFramePr/>
                <a:graphic xmlns:a="http://schemas.openxmlformats.org/drawingml/2006/main">
                  <a:graphicData uri="http://schemas.microsoft.com/office/word/2010/wordprocessingShape">
                    <wps:wsp>
                      <wps:cNvSpPr/>
                      <wps:spPr>
                        <a:xfrm>
                          <a:off x="0" y="0"/>
                          <a:ext cx="1141095" cy="1416988"/>
                        </a:xfrm>
                        <a:prstGeom prst="round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effectLst>
                          <a:outerShdw blurRad="50800" dist="38100" dir="2700000" algn="tl" rotWithShape="0">
                            <a:srgbClr val="002060">
                              <a:alpha val="40000"/>
                            </a:srgb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EDBBCB2" w14:textId="77777777" w:rsidR="00E10EE6" w:rsidRPr="0043611D" w:rsidRDefault="00E10EE6" w:rsidP="00944648">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Banking and Insurance Regulatory Commission (CBIRC)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9FB5E5" id="Rectangle: Rounded Corners 3" o:spid="_x0000_s1037" style="position:absolute;left:0;text-align:left;margin-left:-.15pt;margin-top:168.8pt;width:89.85pt;height:111.5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" fillcolor="#f6f8fc [180]" strokecolor="#1f3763 [1604]" strokeweight="1pt">
                <v:fill color2="#c7d4ed [980]" colors="0 #f6f8fc;48497f #abc0e4;54395f #abc0e4;1 #c7d5ed" focus="100%" type="gradient"/>
                <v:stroke joinstyle="miter"/>
                <v:shadow on="t" color="#002060" opacity="26214f" origin="-.5,-.5" offset=".74836mm,.74836mm"/>
                <v:textbox>
                  <w:txbxContent>
                    <w:p w14:paraId="4EDBBCB2" w14:textId="77777777" w:rsidR="00E10EE6" w:rsidRPr="0043611D" w:rsidRDefault="00E10EE6" w:rsidP="00944648">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Banking and Insurance Regulatory Commission (CBIRC)</w:t>
                      </w:r>
                    </w:p>
                  </w:txbxContent>
                </v:textbox>
              </v:roundrect>
            </w:pict>
          </mc:Fallback>
        </mc:AlternateContent>
      </w:r>
      <w:r>
        <w:rPr>
          <w:rFonts w:eastAsia="黑体"/>
          <w:noProof/>
        </w:rPr>
        <mc:AlternateContent>
          <mc:Choice Requires="wps">
            <w:drawing>
              <wp:anchor distT="0" distB="0" distL="114300" distR="114300" simplePos="0" relativeHeight="251732992" behindDoc="0" locked="0" layoutInCell="1" allowOverlap="1" wp14:anchorId="2B2F1368" wp14:editId="48083820">
                <wp:simplePos x="0" y="0"/>
                <wp:positionH relativeFrom="margin">
                  <wp:posOffset>4459025</wp:posOffset>
                </wp:positionH>
                <wp:positionV relativeFrom="paragraph">
                  <wp:posOffset>2135754</wp:posOffset>
                </wp:positionV>
                <wp:extent cx="1152525" cy="1424940"/>
                <wp:effectExtent l="38100" t="38100" r="123825" b="118110"/>
                <wp:wrapNone/>
                <wp:docPr id="7" name="Rectangle: Rounded Corners 7"/>
                <wp:cNvGraphicFramePr/>
                <a:graphic xmlns:a="http://schemas.openxmlformats.org/drawingml/2006/main">
                  <a:graphicData uri="http://schemas.microsoft.com/office/word/2010/wordprocessingShape">
                    <wps:wsp>
                      <wps:cNvSpPr/>
                      <wps:spPr>
                        <a:xfrm>
                          <a:off x="0" y="0"/>
                          <a:ext cx="1152525" cy="1424940"/>
                        </a:xfrm>
                        <a:prstGeom prst="round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effectLst>
                          <a:outerShdw blurRad="50800" dist="38100" dir="2700000" algn="tl" rotWithShape="0">
                            <a:srgbClr val="002060">
                              <a:alpha val="40000"/>
                            </a:srgb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3FD4C379" w14:textId="77777777" w:rsidR="00E10EE6" w:rsidRPr="003D05EB" w:rsidRDefault="00E10EE6" w:rsidP="00944648">
                            <w:pPr>
                              <w:jc w:val="center"/>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3611D">
                              <w:rPr>
                                <w:rStyle w:val="IntenseEmphasi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National Audit Office of the People’s Republic of </w:t>
                            </w:r>
                            <w:r w:rsidRPr="003D05EB">
                              <w:rPr>
                                <w:rStyle w:val="IntenseEmphasi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China (NAO)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2F1368" id="Rectangle: Rounded Corners 7" o:spid="_x0000_s1038" style="position:absolute;left:0;text-align:left;margin-left:351.1pt;margin-top:168.15pt;width:90.75pt;height:112.2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" fillcolor="#f6f8fc [180]" strokecolor="#1f3763 [1604]" strokeweight="1pt">
                <v:fill color2="#c7d4ed [980]" colors="0 #f6f8fc;48497f #abc0e4;54395f #abc0e4;1 #c7d5ed" focus="100%" type="gradient"/>
                <v:stroke joinstyle="miter"/>
                <v:shadow on="t" color="#002060" opacity="26214f" origin="-.5,-.5" offset=".74836mm,.74836mm"/>
                <v:textbox>
                  <w:txbxContent>
                    <w:p w14:paraId="3FD4C379" w14:textId="77777777" w:rsidR="00E10EE6" w:rsidRPr="003D05EB" w:rsidRDefault="00E10EE6" w:rsidP="00944648">
                      <w:pPr>
                        <w:jc w:val="center"/>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3611D">
                        <w:rPr>
                          <w:rStyle w:val="IntenseEmphasi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National Audit Office of the People’s Republic of </w:t>
                      </w:r>
                      <w:r w:rsidRPr="003D05EB">
                        <w:rPr>
                          <w:rStyle w:val="IntenseEmphasi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China (NAO)</w:t>
                      </w:r>
                    </w:p>
                  </w:txbxContent>
                </v:textbox>
                <w10:wrap anchorx="margin"/>
              </v:roundrect>
            </w:pict>
          </mc:Fallback>
        </mc:AlternateContent>
      </w:r>
      <w:r>
        <w:rPr>
          <w:rFonts w:eastAsia="黑体"/>
          <w:noProof/>
        </w:rPr>
        <mc:AlternateContent>
          <mc:Choice Requires="wps">
            <w:drawing>
              <wp:anchor distT="0" distB="0" distL="114300" distR="114300" simplePos="0" relativeHeight="251734016" behindDoc="0" locked="0" layoutInCell="1" allowOverlap="1" wp14:anchorId="7E5DF811" wp14:editId="76029936">
                <wp:simplePos x="0" y="0"/>
                <wp:positionH relativeFrom="column">
                  <wp:posOffset>2972131</wp:posOffset>
                </wp:positionH>
                <wp:positionV relativeFrom="paragraph">
                  <wp:posOffset>2135754</wp:posOffset>
                </wp:positionV>
                <wp:extent cx="1235710" cy="1424940"/>
                <wp:effectExtent l="38100" t="38100" r="116840" b="118110"/>
                <wp:wrapNone/>
                <wp:docPr id="28" name="Rectangle: Rounded Corners 28"/>
                <wp:cNvGraphicFramePr/>
                <a:graphic xmlns:a="http://schemas.openxmlformats.org/drawingml/2006/main">
                  <a:graphicData uri="http://schemas.microsoft.com/office/word/2010/wordprocessingShape">
                    <wps:wsp>
                      <wps:cNvSpPr/>
                      <wps:spPr>
                        <a:xfrm>
                          <a:off x="0" y="0"/>
                          <a:ext cx="1235710" cy="1424940"/>
                        </a:xfrm>
                        <a:prstGeom prst="round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effectLst>
                          <a:outerShdw blurRad="50800" dist="38100" dir="2700000" algn="tl" rotWithShape="0">
                            <a:srgbClr val="002060">
                              <a:alpha val="40000"/>
                            </a:srgb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3E7EC499" w14:textId="77777777" w:rsidR="00E10EE6" w:rsidRPr="0043611D" w:rsidRDefault="00E10EE6" w:rsidP="00944648">
                            <w:pPr>
                              <w:jc w:val="center"/>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3611D">
                              <w:rPr>
                                <w:rStyle w:val="IntenseEmphasi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China Securities Regulatory Commission (CSRC)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5DF811" id="Rectangle: Rounded Corners 28" o:spid="_x0000_s1039" style="position:absolute;left:0;text-align:left;margin-left:234.05pt;margin-top:168.15pt;width:97.3pt;height:112.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" fillcolor="#f6f8fc [180]" strokecolor="#1f3763 [1604]" strokeweight="1pt">
                <v:fill color2="#c7d4ed [980]" colors="0 #f6f8fc;48497f #abc0e4;54395f #abc0e4;1 #c7d5ed" focus="100%" type="gradient"/>
                <v:stroke joinstyle="miter"/>
                <v:shadow on="t" color="#002060" opacity="26214f" origin="-.5,-.5" offset=".74836mm,.74836mm"/>
                <v:textbox>
                  <w:txbxContent>
                    <w:p w14:paraId="3E7EC499" w14:textId="77777777" w:rsidR="00E10EE6" w:rsidRPr="0043611D" w:rsidRDefault="00E10EE6" w:rsidP="00944648">
                      <w:pPr>
                        <w:jc w:val="center"/>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3611D">
                        <w:rPr>
                          <w:rStyle w:val="IntenseEmphasi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China Securities Regulatory Commission (CSRC)</w:t>
                      </w:r>
                    </w:p>
                  </w:txbxContent>
                </v:textbox>
              </v:roundrect>
            </w:pict>
          </mc:Fallback>
        </mc:AlternateContent>
      </w:r>
      <w:r>
        <w:rPr>
          <w:rFonts w:eastAsia="黑体"/>
          <w:noProof/>
        </w:rPr>
        <mc:AlternateContent>
          <mc:Choice Requires="wps">
            <w:drawing>
              <wp:anchor distT="0" distB="0" distL="114300" distR="114300" simplePos="0" relativeHeight="251735040" behindDoc="0" locked="0" layoutInCell="1" allowOverlap="1" wp14:anchorId="5CBCA254" wp14:editId="4BAC5824">
                <wp:simplePos x="0" y="0"/>
                <wp:positionH relativeFrom="column">
                  <wp:posOffset>1397773</wp:posOffset>
                </wp:positionH>
                <wp:positionV relativeFrom="paragraph">
                  <wp:posOffset>2135753</wp:posOffset>
                </wp:positionV>
                <wp:extent cx="1153795" cy="1424940"/>
                <wp:effectExtent l="38100" t="38100" r="122555" b="118110"/>
                <wp:wrapNone/>
                <wp:docPr id="29" name="Rectangle: Rounded Corners 29"/>
                <wp:cNvGraphicFramePr/>
                <a:graphic xmlns:a="http://schemas.openxmlformats.org/drawingml/2006/main">
                  <a:graphicData uri="http://schemas.microsoft.com/office/word/2010/wordprocessingShape">
                    <wps:wsp>
                      <wps:cNvSpPr/>
                      <wps:spPr>
                        <a:xfrm>
                          <a:off x="0" y="0"/>
                          <a:ext cx="1153795" cy="1424940"/>
                        </a:xfrm>
                        <a:prstGeom prst="round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effectLst>
                          <a:outerShdw blurRad="50800" dist="38100" dir="2700000" algn="tl" rotWithShape="0">
                            <a:srgbClr val="002060">
                              <a:alpha val="40000"/>
                            </a:srgb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CF5F7FB" w14:textId="77777777" w:rsidR="00E10EE6" w:rsidRPr="0043611D" w:rsidRDefault="00E10EE6" w:rsidP="00944648">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People’s Bank of China (PBOC)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BCA254" id="Rectangle: Rounded Corners 29" o:spid="_x0000_s1040" style="position:absolute;left:0;text-align:left;margin-left:110.05pt;margin-top:168.15pt;width:90.85pt;height:112.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" fillcolor="#f6f8fc [180]" strokecolor="#1f3763 [1604]" strokeweight="1pt">
                <v:fill color2="#c7d4ed [980]" colors="0 #f6f8fc;48497f #abc0e4;54395f #abc0e4;1 #c7d5ed" focus="100%" type="gradient"/>
                <v:stroke joinstyle="miter"/>
                <v:shadow on="t" color="#002060" opacity="26214f" origin="-.5,-.5" offset=".74836mm,.74836mm"/>
                <v:textbox>
                  <w:txbxContent>
                    <w:p w14:paraId="2CF5F7FB" w14:textId="77777777" w:rsidR="00E10EE6" w:rsidRPr="0043611D" w:rsidRDefault="00E10EE6" w:rsidP="00944648">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People’s Bank of China (PBOC)</w:t>
                      </w:r>
                    </w:p>
                  </w:txbxContent>
                </v:textbox>
              </v:roundrect>
            </w:pict>
          </mc:Fallback>
        </mc:AlternateContent>
      </w:r>
      <w:r>
        <w:rPr>
          <w:rFonts w:eastAsia="黑体"/>
          <w:noProof/>
        </w:rPr>
        <mc:AlternateContent>
          <mc:Choice Requires="wps">
            <w:drawing>
              <wp:anchor distT="0" distB="0" distL="114300" distR="114300" simplePos="0" relativeHeight="251745280" behindDoc="0" locked="0" layoutInCell="1" allowOverlap="1" wp14:anchorId="2DBE3EF0" wp14:editId="76813934">
                <wp:simplePos x="0" y="0"/>
                <wp:positionH relativeFrom="column">
                  <wp:posOffset>2349703</wp:posOffset>
                </wp:positionH>
                <wp:positionV relativeFrom="paragraph">
                  <wp:posOffset>4180331</wp:posOffset>
                </wp:positionV>
                <wp:extent cx="1812290" cy="604825"/>
                <wp:effectExtent l="38100" t="38100" r="111760" b="119380"/>
                <wp:wrapNone/>
                <wp:docPr id="30" name="Rectangle: Rounded Corners 30"/>
                <wp:cNvGraphicFramePr/>
                <a:graphic xmlns:a="http://schemas.openxmlformats.org/drawingml/2006/main">
                  <a:graphicData uri="http://schemas.microsoft.com/office/word/2010/wordprocessingShape">
                    <wps:wsp>
                      <wps:cNvSpPr/>
                      <wps:spPr>
                        <a:xfrm>
                          <a:off x="0" y="0"/>
                          <a:ext cx="1812290" cy="604825"/>
                        </a:xfrm>
                        <a:prstGeom prst="round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effectLst>
                          <a:outerShdw blurRad="50800" dist="38100" dir="2700000" algn="tl" rotWithShape="0">
                            <a:srgbClr val="002060">
                              <a:alpha val="40000"/>
                            </a:srgb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8307A39" w14:textId="77777777" w:rsidR="00E10EE6" w:rsidRPr="005508D8" w:rsidRDefault="00E10EE6" w:rsidP="00944648">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Other financial institutions as credit intermediation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BE3EF0" id="Rectangle: Rounded Corners 30" o:spid="_x0000_s1041" style="position:absolute;left:0;text-align:left;margin-left:185pt;margin-top:329.15pt;width:142.7pt;height:47.6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" fillcolor="#f6f8fc [180]" strokecolor="#1f3763 [1604]" strokeweight="1pt">
                <v:fill color2="#c7d4ed [980]" colors="0 #f6f8fc;48497f #abc0e4;54395f #abc0e4;1 #c7d5ed" focus="100%" type="gradient"/>
                <v:stroke joinstyle="miter"/>
                <v:shadow on="t" color="#002060" opacity="26214f" origin="-.5,-.5" offset=".74836mm,.74836mm"/>
                <v:textbox>
                  <w:txbxContent>
                    <w:p w14:paraId="28307A39" w14:textId="77777777" w:rsidR="00E10EE6" w:rsidRPr="005508D8" w:rsidRDefault="00E10EE6" w:rsidP="00944648">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Other financial institutions as credit intermediation</w:t>
                      </w:r>
                    </w:p>
                  </w:txbxContent>
                </v:textbox>
              </v:roundrect>
            </w:pict>
          </mc:Fallback>
        </mc:AlternateContent>
      </w:r>
      <w:r>
        <w:rPr>
          <w:rFonts w:eastAsia="黑体"/>
          <w:noProof/>
        </w:rPr>
        <mc:AlternateContent>
          <mc:Choice Requires="wps">
            <w:drawing>
              <wp:anchor distT="0" distB="0" distL="114300" distR="114300" simplePos="0" relativeHeight="251743232" behindDoc="0" locked="0" layoutInCell="1" allowOverlap="1" wp14:anchorId="567C6CAF" wp14:editId="7E626BE2">
                <wp:simplePos x="0" y="0"/>
                <wp:positionH relativeFrom="column">
                  <wp:posOffset>3192806</wp:posOffset>
                </wp:positionH>
                <wp:positionV relativeFrom="paragraph">
                  <wp:posOffset>3945890</wp:posOffset>
                </wp:positionV>
                <wp:extent cx="0" cy="226771"/>
                <wp:effectExtent l="0" t="0" r="38100" b="20955"/>
                <wp:wrapNone/>
                <wp:docPr id="31" name="Straight Connector 31"/>
                <wp:cNvGraphicFramePr/>
                <a:graphic xmlns:a="http://schemas.openxmlformats.org/drawingml/2006/main">
                  <a:graphicData uri="http://schemas.microsoft.com/office/word/2010/wordprocessingShape">
                    <wps:wsp>
                      <wps:cNvCnPr/>
                      <wps:spPr>
                        <a:xfrm>
                          <a:off x="0" y="0"/>
                          <a:ext cx="0" cy="22677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CB067C" id="Straight Connector 31" o:spid="_x0000_s1026" style="position:absolute;z-index:251743232;visibility:visible;mso-wrap-style:square;mso-wrap-distance-left:9pt;mso-wrap-distance-top:0;mso-wrap-distance-right:9pt;mso-wrap-distance-bottom:0;mso-position-horizontal:absolute;mso-position-horizontal-relative:text;mso-position-vertical:absolute;mso-position-vertical-relative:text" from="251.4pt,310.7pt" to="251.4pt,3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" strokecolor="#4472c4 [3204]" strokeweight=".5pt">
                <v:stroke joinstyle="miter"/>
              </v:line>
            </w:pict>
          </mc:Fallback>
        </mc:AlternateContent>
      </w:r>
      <w:r>
        <w:rPr>
          <w:rFonts w:eastAsia="黑体"/>
          <w:noProof/>
        </w:rPr>
        <mc:AlternateContent>
          <mc:Choice Requires="wps">
            <w:drawing>
              <wp:anchor distT="0" distB="0" distL="114300" distR="114300" simplePos="0" relativeHeight="251744256" behindDoc="0" locked="0" layoutInCell="1" allowOverlap="1" wp14:anchorId="20D1B60A" wp14:editId="284157B4">
                <wp:simplePos x="0" y="0"/>
                <wp:positionH relativeFrom="column">
                  <wp:posOffset>1142695</wp:posOffset>
                </wp:positionH>
                <wp:positionV relativeFrom="paragraph">
                  <wp:posOffset>4173017</wp:posOffset>
                </wp:positionV>
                <wp:extent cx="1036955" cy="612470"/>
                <wp:effectExtent l="38100" t="38100" r="106045" b="111760"/>
                <wp:wrapNone/>
                <wp:docPr id="32" name="Rectangle: Rounded Corners 32"/>
                <wp:cNvGraphicFramePr/>
                <a:graphic xmlns:a="http://schemas.openxmlformats.org/drawingml/2006/main">
                  <a:graphicData uri="http://schemas.microsoft.com/office/word/2010/wordprocessingShape">
                    <wps:wsp>
                      <wps:cNvSpPr/>
                      <wps:spPr>
                        <a:xfrm>
                          <a:off x="0" y="0"/>
                          <a:ext cx="1036955" cy="612470"/>
                        </a:xfrm>
                        <a:prstGeom prst="round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effectLst>
                          <a:outerShdw blurRad="50800" dist="38100" dir="2700000" algn="tl" rotWithShape="0">
                            <a:srgbClr val="002060">
                              <a:alpha val="40000"/>
                            </a:srgb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7AE1418C" w14:textId="77777777" w:rsidR="00E10EE6" w:rsidRPr="005508D8" w:rsidRDefault="00E10EE6" w:rsidP="00944648">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Insurance companies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0D1B60A" id="Rectangle: Rounded Corners 32" o:spid="_x0000_s1042" style="position:absolute;left:0;text-align:left;margin-left:90pt;margin-top:328.6pt;width:81.65pt;height:48.25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" fillcolor="#f6f8fc [180]" strokecolor="#1f3763 [1604]" strokeweight="1pt">
                <v:fill color2="#c7d4ed [980]" colors="0 #f6f8fc;48497f #abc0e4;54395f #abc0e4;1 #c7d5ed" focus="100%" type="gradient"/>
                <v:stroke joinstyle="miter"/>
                <v:shadow on="t" color="#002060" opacity="26214f" origin="-.5,-.5" offset=".74836mm,.74836mm"/>
                <v:textbox>
                  <w:txbxContent>
                    <w:p w14:paraId="7AE1418C" w14:textId="77777777" w:rsidR="00E10EE6" w:rsidRPr="005508D8" w:rsidRDefault="00E10EE6" w:rsidP="00944648">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Insurance companies</w:t>
                      </w:r>
                    </w:p>
                  </w:txbxContent>
                </v:textbox>
              </v:roundrect>
            </w:pict>
          </mc:Fallback>
        </mc:AlternateContent>
      </w:r>
      <w:r>
        <w:rPr>
          <w:rFonts w:eastAsia="黑体"/>
          <w:noProof/>
        </w:rPr>
        <mc:AlternateContent>
          <mc:Choice Requires="wps">
            <w:drawing>
              <wp:anchor distT="0" distB="0" distL="114300" distR="114300" simplePos="0" relativeHeight="251740160" behindDoc="0" locked="0" layoutInCell="1" allowOverlap="1" wp14:anchorId="6DCE6576" wp14:editId="22174E3D">
                <wp:simplePos x="0" y="0"/>
                <wp:positionH relativeFrom="column">
                  <wp:posOffset>1524</wp:posOffset>
                </wp:positionH>
                <wp:positionV relativeFrom="paragraph">
                  <wp:posOffset>4180333</wp:posOffset>
                </wp:positionV>
                <wp:extent cx="1028700" cy="605638"/>
                <wp:effectExtent l="38100" t="38100" r="114300" b="118745"/>
                <wp:wrapNone/>
                <wp:docPr id="33" name="Rectangle: Rounded Corners 33"/>
                <wp:cNvGraphicFramePr/>
                <a:graphic xmlns:a="http://schemas.openxmlformats.org/drawingml/2006/main">
                  <a:graphicData uri="http://schemas.microsoft.com/office/word/2010/wordprocessingShape">
                    <wps:wsp>
                      <wps:cNvSpPr/>
                      <wps:spPr>
                        <a:xfrm>
                          <a:off x="0" y="0"/>
                          <a:ext cx="1028700" cy="605638"/>
                        </a:xfrm>
                        <a:prstGeom prst="round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effectLst>
                          <a:outerShdw blurRad="50800" dist="38100" dir="2700000" algn="tl" rotWithShape="0">
                            <a:srgbClr val="002060">
                              <a:alpha val="40000"/>
                            </a:srgb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9236851" w14:textId="77777777" w:rsidR="00E10EE6" w:rsidRPr="005508D8" w:rsidRDefault="00E10EE6" w:rsidP="00944648">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Banking institutions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DCE6576" id="Rectangle: Rounded Corners 33" o:spid="_x0000_s1043" style="position:absolute;left:0;text-align:left;margin-left:.1pt;margin-top:329.15pt;width:81pt;height:47.7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" fillcolor="#f6f8fc [180]" strokecolor="#1f3763 [1604]" strokeweight="1pt">
                <v:fill color2="#c7d4ed [980]" colors="0 #f6f8fc;48497f #abc0e4;54395f #abc0e4;1 #c7d5ed" focus="100%" type="gradient"/>
                <v:stroke joinstyle="miter"/>
                <v:shadow on="t" color="#002060" opacity="26214f" origin="-.5,-.5" offset=".74836mm,.74836mm"/>
                <v:textbox>
                  <w:txbxContent>
                    <w:p w14:paraId="49236851" w14:textId="77777777" w:rsidR="00E10EE6" w:rsidRPr="005508D8" w:rsidRDefault="00E10EE6" w:rsidP="00944648">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Banking institutions</w:t>
                      </w:r>
                    </w:p>
                  </w:txbxContent>
                </v:textbox>
              </v:roundrect>
            </w:pict>
          </mc:Fallback>
        </mc:AlternateContent>
      </w:r>
      <w:r>
        <w:rPr>
          <w:rFonts w:eastAsia="黑体"/>
          <w:noProof/>
        </w:rPr>
        <mc:AlternateContent>
          <mc:Choice Requires="wps">
            <w:drawing>
              <wp:anchor distT="0" distB="0" distL="114300" distR="114300" simplePos="0" relativeHeight="251742208" behindDoc="0" locked="0" layoutInCell="1" allowOverlap="1" wp14:anchorId="73214310" wp14:editId="5E16B2E6">
                <wp:simplePos x="0" y="0"/>
                <wp:positionH relativeFrom="column">
                  <wp:posOffset>1600200</wp:posOffset>
                </wp:positionH>
                <wp:positionV relativeFrom="paragraph">
                  <wp:posOffset>3952037</wp:posOffset>
                </wp:positionV>
                <wp:extent cx="0" cy="226771"/>
                <wp:effectExtent l="0" t="0" r="38100" b="20955"/>
                <wp:wrapNone/>
                <wp:docPr id="34" name="Straight Connector 34"/>
                <wp:cNvGraphicFramePr/>
                <a:graphic xmlns:a="http://schemas.openxmlformats.org/drawingml/2006/main">
                  <a:graphicData uri="http://schemas.microsoft.com/office/word/2010/wordprocessingShape">
                    <wps:wsp>
                      <wps:cNvCnPr/>
                      <wps:spPr>
                        <a:xfrm>
                          <a:off x="0" y="0"/>
                          <a:ext cx="0" cy="22677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6829C2" id="Straight Connector 34"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126pt,311.2pt" to="126pt,3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" strokecolor="#4472c4 [3204]" strokeweight=".5pt">
                <v:stroke joinstyle="miter"/>
              </v:line>
            </w:pict>
          </mc:Fallback>
        </mc:AlternateContent>
      </w:r>
      <w:r>
        <w:rPr>
          <w:rFonts w:eastAsia="黑体"/>
          <w:noProof/>
        </w:rPr>
        <mc:AlternateContent>
          <mc:Choice Requires="wps">
            <w:drawing>
              <wp:anchor distT="0" distB="0" distL="114300" distR="114300" simplePos="0" relativeHeight="251737088" behindDoc="0" locked="0" layoutInCell="1" allowOverlap="1" wp14:anchorId="27DA0596" wp14:editId="721511C6">
                <wp:simplePos x="0" y="0"/>
                <wp:positionH relativeFrom="column">
                  <wp:posOffset>570586</wp:posOffset>
                </wp:positionH>
                <wp:positionV relativeFrom="paragraph">
                  <wp:posOffset>3491178</wp:posOffset>
                </wp:positionV>
                <wp:extent cx="914" cy="692201"/>
                <wp:effectExtent l="0" t="0" r="37465" b="31750"/>
                <wp:wrapNone/>
                <wp:docPr id="35" name="Straight Connector 35"/>
                <wp:cNvGraphicFramePr/>
                <a:graphic xmlns:a="http://schemas.openxmlformats.org/drawingml/2006/main">
                  <a:graphicData uri="http://schemas.microsoft.com/office/word/2010/wordprocessingShape">
                    <wps:wsp>
                      <wps:cNvCnPr/>
                      <wps:spPr>
                        <a:xfrm flipH="1">
                          <a:off x="0" y="0"/>
                          <a:ext cx="914" cy="69220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43613C" id="Straight Connector 35" o:spid="_x0000_s1026" style="position:absolute;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95pt,274.9pt" to="45pt,3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" strokecolor="#4472c4 [3204]" strokeweight=".5pt">
                <v:stroke joinstyle="miter"/>
              </v:line>
            </w:pict>
          </mc:Fallback>
        </mc:AlternateContent>
      </w:r>
      <w:r>
        <w:rPr>
          <w:rFonts w:eastAsia="黑体"/>
          <w:noProof/>
        </w:rPr>
        <mc:AlternateContent>
          <mc:Choice Requires="wps">
            <w:drawing>
              <wp:anchor distT="0" distB="0" distL="114300" distR="114300" simplePos="0" relativeHeight="251723776" behindDoc="0" locked="0" layoutInCell="1" allowOverlap="1" wp14:anchorId="2D57C14E" wp14:editId="1A9FA83A">
                <wp:simplePos x="0" y="0"/>
                <wp:positionH relativeFrom="column">
                  <wp:posOffset>2501494</wp:posOffset>
                </wp:positionH>
                <wp:positionV relativeFrom="paragraph">
                  <wp:posOffset>484505</wp:posOffset>
                </wp:positionV>
                <wp:extent cx="0" cy="438912"/>
                <wp:effectExtent l="0" t="0" r="38100" b="37465"/>
                <wp:wrapNone/>
                <wp:docPr id="36" name="Straight Connector 36"/>
                <wp:cNvGraphicFramePr/>
                <a:graphic xmlns:a="http://schemas.openxmlformats.org/drawingml/2006/main">
                  <a:graphicData uri="http://schemas.microsoft.com/office/word/2010/wordprocessingShape">
                    <wps:wsp>
                      <wps:cNvCnPr/>
                      <wps:spPr>
                        <a:xfrm>
                          <a:off x="0" y="0"/>
                          <a:ext cx="0" cy="43891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D18905" id="Straight Connector 36" o:spid="_x0000_s1026" style="position:absolute;z-index:251723776;visibility:visible;mso-wrap-style:square;mso-wrap-distance-left:9pt;mso-wrap-distance-top:0;mso-wrap-distance-right:9pt;mso-wrap-distance-bottom:0;mso-position-horizontal:absolute;mso-position-horizontal-relative:text;mso-position-vertical:absolute;mso-position-vertical-relative:text" from="196.95pt,38.15pt" to="196.95pt,7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" strokecolor="#4472c4 [3204]" strokeweight=".5pt">
                <v:stroke joinstyle="miter"/>
              </v:line>
            </w:pict>
          </mc:Fallback>
        </mc:AlternateContent>
      </w:r>
      <w:r>
        <w:rPr>
          <w:rFonts w:eastAsia="黑体"/>
          <w:noProof/>
        </w:rPr>
        <mc:AlternateContent>
          <mc:Choice Requires="wps">
            <w:drawing>
              <wp:anchor distT="0" distB="0" distL="114300" distR="114300" simplePos="0" relativeHeight="251726848" behindDoc="0" locked="0" layoutInCell="1" allowOverlap="1" wp14:anchorId="7A057935" wp14:editId="3F07D2AD">
                <wp:simplePos x="0" y="0"/>
                <wp:positionH relativeFrom="column">
                  <wp:posOffset>555956</wp:posOffset>
                </wp:positionH>
                <wp:positionV relativeFrom="paragraph">
                  <wp:posOffset>1903171</wp:posOffset>
                </wp:positionV>
                <wp:extent cx="4593616" cy="610"/>
                <wp:effectExtent l="0" t="0" r="0" b="0"/>
                <wp:wrapNone/>
                <wp:docPr id="37" name="Straight Connector 37"/>
                <wp:cNvGraphicFramePr/>
                <a:graphic xmlns:a="http://schemas.openxmlformats.org/drawingml/2006/main">
                  <a:graphicData uri="http://schemas.microsoft.com/office/word/2010/wordprocessingShape">
                    <wps:wsp>
                      <wps:cNvCnPr/>
                      <wps:spPr>
                        <a:xfrm>
                          <a:off x="0" y="0"/>
                          <a:ext cx="4593616" cy="6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6B8C16" id="Straight Connector 37"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8pt,149.85pt" to="405.5pt,14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" strokecolor="#4472c4 [3204]" strokeweight=".5pt">
                <v:stroke joinstyle="miter"/>
              </v:line>
            </w:pict>
          </mc:Fallback>
        </mc:AlternateContent>
      </w:r>
      <w:r>
        <w:rPr>
          <w:rFonts w:eastAsia="黑体"/>
          <w:noProof/>
        </w:rPr>
        <mc:AlternateContent>
          <mc:Choice Requires="wps">
            <w:drawing>
              <wp:anchor distT="0" distB="0" distL="114300" distR="114300" simplePos="0" relativeHeight="251730944" behindDoc="0" locked="0" layoutInCell="1" allowOverlap="1" wp14:anchorId="2A2A0A65" wp14:editId="29DD8C79">
                <wp:simplePos x="0" y="0"/>
                <wp:positionH relativeFrom="column">
                  <wp:posOffset>3541725</wp:posOffset>
                </wp:positionH>
                <wp:positionV relativeFrom="paragraph">
                  <wp:posOffset>1915820</wp:posOffset>
                </wp:positionV>
                <wp:extent cx="0" cy="211760"/>
                <wp:effectExtent l="0" t="0" r="38100" b="36195"/>
                <wp:wrapNone/>
                <wp:docPr id="38" name="Straight Connector 38"/>
                <wp:cNvGraphicFramePr/>
                <a:graphic xmlns:a="http://schemas.openxmlformats.org/drawingml/2006/main">
                  <a:graphicData uri="http://schemas.microsoft.com/office/word/2010/wordprocessingShape">
                    <wps:wsp>
                      <wps:cNvCnPr/>
                      <wps:spPr>
                        <a:xfrm flipH="1">
                          <a:off x="0" y="0"/>
                          <a:ext cx="0" cy="2117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76821E" id="Straight Connector 38" o:spid="_x0000_s1026" style="position:absolute;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8.9pt,150.85pt" to="278.9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" strokecolor="#4472c4 [3204]" strokeweight=".5pt">
                <v:stroke joinstyle="miter"/>
              </v:line>
            </w:pict>
          </mc:Fallback>
        </mc:AlternateContent>
      </w:r>
      <w:r>
        <w:rPr>
          <w:rFonts w:eastAsia="黑体"/>
          <w:noProof/>
        </w:rPr>
        <mc:AlternateContent>
          <mc:Choice Requires="wps">
            <w:drawing>
              <wp:anchor distT="0" distB="0" distL="114300" distR="114300" simplePos="0" relativeHeight="251728896" behindDoc="0" locked="0" layoutInCell="1" allowOverlap="1" wp14:anchorId="3362D83F" wp14:editId="720EBE01">
                <wp:simplePos x="0" y="0"/>
                <wp:positionH relativeFrom="column">
                  <wp:posOffset>555676</wp:posOffset>
                </wp:positionH>
                <wp:positionV relativeFrom="paragraph">
                  <wp:posOffset>1920240</wp:posOffset>
                </wp:positionV>
                <wp:extent cx="0" cy="211760"/>
                <wp:effectExtent l="0" t="0" r="38100" b="36195"/>
                <wp:wrapNone/>
                <wp:docPr id="45" name="Straight Connector 45"/>
                <wp:cNvGraphicFramePr/>
                <a:graphic xmlns:a="http://schemas.openxmlformats.org/drawingml/2006/main">
                  <a:graphicData uri="http://schemas.microsoft.com/office/word/2010/wordprocessingShape">
                    <wps:wsp>
                      <wps:cNvCnPr/>
                      <wps:spPr>
                        <a:xfrm flipH="1">
                          <a:off x="0" y="0"/>
                          <a:ext cx="0" cy="2117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D0A59D" id="Straight Connector 45" o:spid="_x0000_s1026" style="position:absolute;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75pt,151.2pt" to="43.75pt,1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" strokecolor="#4472c4 [3204]" strokeweight=".5pt">
                <v:stroke joinstyle="miter"/>
              </v:line>
            </w:pict>
          </mc:Fallback>
        </mc:AlternateContent>
      </w:r>
      <w:r>
        <w:rPr>
          <w:rFonts w:eastAsia="黑体"/>
          <w:noProof/>
        </w:rPr>
        <mc:AlternateContent>
          <mc:Choice Requires="wps">
            <w:drawing>
              <wp:anchor distT="0" distB="0" distL="114300" distR="114300" simplePos="0" relativeHeight="251741184" behindDoc="0" locked="0" layoutInCell="1" allowOverlap="1" wp14:anchorId="3A9C1364" wp14:editId="10A0B3E1">
                <wp:simplePos x="0" y="0"/>
                <wp:positionH relativeFrom="column">
                  <wp:posOffset>570586</wp:posOffset>
                </wp:positionH>
                <wp:positionV relativeFrom="paragraph">
                  <wp:posOffset>3954729</wp:posOffset>
                </wp:positionV>
                <wp:extent cx="2629814" cy="0"/>
                <wp:effectExtent l="0" t="0" r="0" b="0"/>
                <wp:wrapNone/>
                <wp:docPr id="48" name="Straight Connector 48"/>
                <wp:cNvGraphicFramePr/>
                <a:graphic xmlns:a="http://schemas.openxmlformats.org/drawingml/2006/main">
                  <a:graphicData uri="http://schemas.microsoft.com/office/word/2010/wordprocessingShape">
                    <wps:wsp>
                      <wps:cNvCnPr/>
                      <wps:spPr>
                        <a:xfrm>
                          <a:off x="0" y="0"/>
                          <a:ext cx="262981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7682D6" id="Straight Connector 48" o:spid="_x0000_s1026" style="position:absolute;z-index:251741184;visibility:visible;mso-wrap-style:square;mso-wrap-distance-left:9pt;mso-wrap-distance-top:0;mso-wrap-distance-right:9pt;mso-wrap-distance-bottom:0;mso-position-horizontal:absolute;mso-position-horizontal-relative:text;mso-position-vertical:absolute;mso-position-vertical-relative:text" from="44.95pt,311.4pt" to="252pt,3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" strokecolor="#4472c4 [3204]" strokeweight=".5pt">
                <v:stroke joinstyle="miter"/>
              </v:line>
            </w:pict>
          </mc:Fallback>
        </mc:AlternateContent>
      </w:r>
      <w:r>
        <w:rPr>
          <w:rFonts w:eastAsia="黑体"/>
          <w:noProof/>
        </w:rPr>
        <mc:AlternateContent>
          <mc:Choice Requires="wps">
            <w:drawing>
              <wp:anchor distT="0" distB="0" distL="114300" distR="114300" simplePos="0" relativeHeight="251739136" behindDoc="0" locked="0" layoutInCell="1" allowOverlap="1" wp14:anchorId="00217C55" wp14:editId="1FAB8832">
                <wp:simplePos x="0" y="0"/>
                <wp:positionH relativeFrom="column">
                  <wp:posOffset>1945361</wp:posOffset>
                </wp:positionH>
                <wp:positionV relativeFrom="paragraph">
                  <wp:posOffset>3497326</wp:posOffset>
                </wp:positionV>
                <wp:extent cx="482" cy="227940"/>
                <wp:effectExtent l="0" t="0" r="38100" b="20320"/>
                <wp:wrapNone/>
                <wp:docPr id="49" name="Straight Connector 49"/>
                <wp:cNvGraphicFramePr/>
                <a:graphic xmlns:a="http://schemas.openxmlformats.org/drawingml/2006/main">
                  <a:graphicData uri="http://schemas.microsoft.com/office/word/2010/wordprocessingShape">
                    <wps:wsp>
                      <wps:cNvCnPr/>
                      <wps:spPr>
                        <a:xfrm flipV="1">
                          <a:off x="0" y="0"/>
                          <a:ext cx="482" cy="227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E4433F" id="Straight Connector 49" o:spid="_x0000_s1026" style="position:absolute;flip:y;z-index:251739136;visibility:visible;mso-wrap-style:square;mso-wrap-distance-left:9pt;mso-wrap-distance-top:0;mso-wrap-distance-right:9pt;mso-wrap-distance-bottom:0;mso-position-horizontal:absolute;mso-position-horizontal-relative:text;mso-position-vertical:absolute;mso-position-vertical-relative:text" from="153.2pt,275.4pt" to="153.25pt,29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" strokecolor="#4472c4 [3204]" strokeweight=".5pt">
                <v:stroke joinstyle="miter"/>
              </v:line>
            </w:pict>
          </mc:Fallback>
        </mc:AlternateContent>
      </w:r>
      <w:r>
        <w:rPr>
          <w:rFonts w:eastAsia="黑体"/>
          <w:noProof/>
        </w:rPr>
        <mc:AlternateContent>
          <mc:Choice Requires="wps">
            <w:drawing>
              <wp:anchor distT="0" distB="0" distL="114300" distR="114300" simplePos="0" relativeHeight="251738112" behindDoc="0" locked="0" layoutInCell="1" allowOverlap="1" wp14:anchorId="1294AC4D" wp14:editId="6CA2C86F">
                <wp:simplePos x="0" y="0"/>
                <wp:positionH relativeFrom="column">
                  <wp:posOffset>570585</wp:posOffset>
                </wp:positionH>
                <wp:positionV relativeFrom="paragraph">
                  <wp:posOffset>3726180</wp:posOffset>
                </wp:positionV>
                <wp:extent cx="1375257" cy="0"/>
                <wp:effectExtent l="0" t="0" r="0" b="0"/>
                <wp:wrapNone/>
                <wp:docPr id="50" name="Straight Connector 50"/>
                <wp:cNvGraphicFramePr/>
                <a:graphic xmlns:a="http://schemas.openxmlformats.org/drawingml/2006/main">
                  <a:graphicData uri="http://schemas.microsoft.com/office/word/2010/wordprocessingShape">
                    <wps:wsp>
                      <wps:cNvCnPr/>
                      <wps:spPr>
                        <a:xfrm>
                          <a:off x="0" y="0"/>
                          <a:ext cx="137525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406146" id="Straight Connector 50" o:spid="_x0000_s1026" style="position:absolute;z-index:251738112;visibility:visible;mso-wrap-style:square;mso-wrap-distance-left:9pt;mso-wrap-distance-top:0;mso-wrap-distance-right:9pt;mso-wrap-distance-bottom:0;mso-position-horizontal:absolute;mso-position-horizontal-relative:text;mso-position-vertical:absolute;mso-position-vertical-relative:text" from="44.95pt,293.4pt" to="153.25pt,29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" strokecolor="#4472c4 [3204]" strokeweight=".5pt">
                <v:stroke joinstyle="miter"/>
              </v:line>
            </w:pict>
          </mc:Fallback>
        </mc:AlternateContent>
      </w:r>
      <w:r>
        <w:rPr>
          <w:rFonts w:eastAsia="黑体"/>
          <w:noProof/>
        </w:rPr>
        <mc:AlternateContent>
          <mc:Choice Requires="wps">
            <w:drawing>
              <wp:anchor distT="0" distB="0" distL="114300" distR="114300" simplePos="0" relativeHeight="251729920" behindDoc="0" locked="0" layoutInCell="1" allowOverlap="1" wp14:anchorId="3BF02896" wp14:editId="0751C974">
                <wp:simplePos x="0" y="0"/>
                <wp:positionH relativeFrom="column">
                  <wp:posOffset>5149697</wp:posOffset>
                </wp:positionH>
                <wp:positionV relativeFrom="paragraph">
                  <wp:posOffset>1901825</wp:posOffset>
                </wp:positionV>
                <wp:extent cx="0" cy="211760"/>
                <wp:effectExtent l="0" t="0" r="38100" b="36195"/>
                <wp:wrapNone/>
                <wp:docPr id="51" name="Straight Connector 51"/>
                <wp:cNvGraphicFramePr/>
                <a:graphic xmlns:a="http://schemas.openxmlformats.org/drawingml/2006/main">
                  <a:graphicData uri="http://schemas.microsoft.com/office/word/2010/wordprocessingShape">
                    <wps:wsp>
                      <wps:cNvCnPr/>
                      <wps:spPr>
                        <a:xfrm flipH="1">
                          <a:off x="0" y="0"/>
                          <a:ext cx="0" cy="2117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60885F" id="Straight Connector 51" o:spid="_x0000_s1026" style="position:absolute;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5pt,149.75pt" to="405.5pt,16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" strokecolor="#4472c4 [3204]" strokeweight=".5pt">
                <v:stroke joinstyle="miter"/>
              </v:line>
            </w:pict>
          </mc:Fallback>
        </mc:AlternateContent>
      </w:r>
      <w:r>
        <w:rPr>
          <w:rFonts w:eastAsia="黑体"/>
          <w:noProof/>
        </w:rPr>
        <mc:AlternateContent>
          <mc:Choice Requires="wps">
            <w:drawing>
              <wp:anchor distT="0" distB="0" distL="114300" distR="114300" simplePos="0" relativeHeight="251731968" behindDoc="0" locked="0" layoutInCell="1" allowOverlap="1" wp14:anchorId="67AA1B24" wp14:editId="03E0102B">
                <wp:simplePos x="0" y="0"/>
                <wp:positionH relativeFrom="column">
                  <wp:posOffset>1944040</wp:posOffset>
                </wp:positionH>
                <wp:positionV relativeFrom="paragraph">
                  <wp:posOffset>1900860</wp:posOffset>
                </wp:positionV>
                <wp:extent cx="0" cy="211760"/>
                <wp:effectExtent l="0" t="0" r="38100" b="36195"/>
                <wp:wrapNone/>
                <wp:docPr id="52" name="Straight Connector 52"/>
                <wp:cNvGraphicFramePr/>
                <a:graphic xmlns:a="http://schemas.openxmlformats.org/drawingml/2006/main">
                  <a:graphicData uri="http://schemas.microsoft.com/office/word/2010/wordprocessingShape">
                    <wps:wsp>
                      <wps:cNvCnPr/>
                      <wps:spPr>
                        <a:xfrm flipH="1">
                          <a:off x="0" y="0"/>
                          <a:ext cx="0" cy="2117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18550C" id="Straight Connector 52" o:spid="_x0000_s1026" style="position:absolute;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05pt,149.65pt" to="153.05pt,16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" strokecolor="#4472c4 [3204]" strokeweight=".5pt">
                <v:stroke joinstyle="miter"/>
              </v:line>
            </w:pict>
          </mc:Fallback>
        </mc:AlternateContent>
      </w:r>
      <w:r>
        <w:rPr>
          <w:rFonts w:eastAsia="黑体"/>
          <w:noProof/>
        </w:rPr>
        <mc:AlternateContent>
          <mc:Choice Requires="wps">
            <w:drawing>
              <wp:anchor distT="0" distB="0" distL="114300" distR="114300" simplePos="0" relativeHeight="251725824" behindDoc="0" locked="0" layoutInCell="1" allowOverlap="1" wp14:anchorId="540F7F46" wp14:editId="03FEE03A">
                <wp:simplePos x="0" y="0"/>
                <wp:positionH relativeFrom="column">
                  <wp:posOffset>2523414</wp:posOffset>
                </wp:positionH>
                <wp:positionV relativeFrom="paragraph">
                  <wp:posOffset>1552651</wp:posOffset>
                </wp:positionV>
                <wp:extent cx="0" cy="351130"/>
                <wp:effectExtent l="0" t="0" r="38100" b="30480"/>
                <wp:wrapNone/>
                <wp:docPr id="54" name="Straight Connector 54"/>
                <wp:cNvGraphicFramePr/>
                <a:graphic xmlns:a="http://schemas.openxmlformats.org/drawingml/2006/main">
                  <a:graphicData uri="http://schemas.microsoft.com/office/word/2010/wordprocessingShape">
                    <wps:wsp>
                      <wps:cNvCnPr/>
                      <wps:spPr>
                        <a:xfrm>
                          <a:off x="0" y="0"/>
                          <a:ext cx="0" cy="3511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6F9379" id="Straight Connector 54" o:spid="_x0000_s1026" style="position:absolute;z-index:251725824;visibility:visible;mso-wrap-style:square;mso-wrap-distance-left:9pt;mso-wrap-distance-top:0;mso-wrap-distance-right:9pt;mso-wrap-distance-bottom:0;mso-position-horizontal:absolute;mso-position-horizontal-relative:text;mso-position-vertical:absolute;mso-position-vertical-relative:text" from="198.7pt,122.25pt" to="198.7pt,14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" strokecolor="#4472c4 [3204]" strokeweight=".5pt">
                <v:stroke joinstyle="miter"/>
              </v:line>
            </w:pict>
          </mc:Fallback>
        </mc:AlternateContent>
      </w:r>
      <w:r>
        <w:rPr>
          <w:rFonts w:eastAsia="黑体"/>
          <w:noProof/>
        </w:rPr>
        <mc:AlternateContent>
          <mc:Choice Requires="wps">
            <w:drawing>
              <wp:anchor distT="0" distB="0" distL="114300" distR="114300" simplePos="0" relativeHeight="251724800" behindDoc="0" locked="0" layoutInCell="1" allowOverlap="1" wp14:anchorId="1AB742C2" wp14:editId="0388D8D5">
                <wp:simplePos x="0" y="0"/>
                <wp:positionH relativeFrom="column">
                  <wp:posOffset>1741018</wp:posOffset>
                </wp:positionH>
                <wp:positionV relativeFrom="paragraph">
                  <wp:posOffset>923417</wp:posOffset>
                </wp:positionV>
                <wp:extent cx="1580921" cy="615417"/>
                <wp:effectExtent l="38100" t="38100" r="114935" b="108585"/>
                <wp:wrapNone/>
                <wp:docPr id="62" name="Rectangle: Rounded Corners 62"/>
                <wp:cNvGraphicFramePr/>
                <a:graphic xmlns:a="http://schemas.openxmlformats.org/drawingml/2006/main">
                  <a:graphicData uri="http://schemas.microsoft.com/office/word/2010/wordprocessingShape">
                    <wps:wsp>
                      <wps:cNvSpPr/>
                      <wps:spPr>
                        <a:xfrm>
                          <a:off x="0" y="0"/>
                          <a:ext cx="1580921" cy="615417"/>
                        </a:xfrm>
                        <a:prstGeom prst="round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effectLst>
                          <a:outerShdw blurRad="50800" dist="38100" dir="2700000" algn="tl" rotWithShape="0">
                            <a:srgbClr val="0070C0">
                              <a:alpha val="40000"/>
                            </a:srgb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BE2D5D1" w14:textId="77777777" w:rsidR="00E10EE6" w:rsidRPr="00F230AC" w:rsidRDefault="00E10EE6" w:rsidP="00944648">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30A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State Council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B742C2" id="Rectangle: Rounded Corners 62" o:spid="_x0000_s1044" style="position:absolute;left:0;text-align:left;margin-left:137.1pt;margin-top:72.7pt;width:124.5pt;height:48.4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" fillcolor="#f6f8fc [180]" strokecolor="#1f3763 [1604]" strokeweight="1pt">
                <v:fill color2="#c7d4ed [980]" colors="0 #f6f8fc;48497f #abc0e4;54395f #abc0e4;1 #c7d5ed" focus="100%" type="gradient"/>
                <v:stroke joinstyle="miter"/>
                <v:shadow on="t" color="#0070c0" opacity="26214f" origin="-.5,-.5" offset=".74836mm,.74836mm"/>
                <v:textbox>
                  <w:txbxContent>
                    <w:p w14:paraId="4BE2D5D1" w14:textId="77777777" w:rsidR="00E10EE6" w:rsidRPr="00F230AC" w:rsidRDefault="00E10EE6" w:rsidP="00944648">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30A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State Council</w:t>
                      </w:r>
                    </w:p>
                  </w:txbxContent>
                </v:textbox>
              </v:roundrect>
            </w:pict>
          </mc:Fallback>
        </mc:AlternateContent>
      </w:r>
      <w:r w:rsidRPr="00E54D8D">
        <w:rPr>
          <w:rStyle w:val="Emphasis"/>
          <w:rFonts w:eastAsia="黑体"/>
        </w:rPr>
        <w:br w:type="page"/>
        <w:t>a</w:t>
      </w:r>
      <w:r w:rsidRPr="00E54D8D">
        <w:rPr>
          <w:rFonts w:ascii="Corbel" w:hAnsi="Corbel"/>
        </w:rPr>
        <w:t xml:space="preserve">) </w:t>
      </w:r>
      <w:r w:rsidR="00311624" w:rsidRPr="00E54D8D">
        <w:rPr>
          <w:rFonts w:ascii="Corbel" w:hAnsi="Corbel"/>
        </w:rPr>
        <w:t>The China Banking and Insurance Regulatory Commission (CBIRC)</w:t>
      </w:r>
    </w:p>
    <w:p w14:paraId="0664138E" w14:textId="38A15C36" w:rsidR="00311624" w:rsidRPr="00A558EA" w:rsidRDefault="00311624" w:rsidP="007A379E">
      <w:pPr>
        <w:spacing w:before="120" w:after="120" w:line="288" w:lineRule="auto"/>
      </w:pPr>
      <w:bookmarkStart w:id="24" w:name="_Hlk43652959"/>
      <w:r w:rsidRPr="00A558EA">
        <w:t xml:space="preserve">The China Banking and Insurance Regulatory Commission (CBIRC) </w:t>
      </w:r>
      <w:bookmarkEnd w:id="24"/>
      <w:r w:rsidRPr="00A558EA">
        <w:t xml:space="preserve">was established in 2018 </w:t>
      </w:r>
      <w:r w:rsidR="007F4E36">
        <w:t>combining</w:t>
      </w:r>
      <w:r w:rsidRPr="00A558EA">
        <w:t xml:space="preserve"> two previously separated regulatory commissions</w:t>
      </w:r>
      <w:r w:rsidR="007F4E36">
        <w:t>,</w:t>
      </w:r>
      <w:r w:rsidRPr="00A558EA">
        <w:t xml:space="preserve"> – the China Banking Regulatory Commission (CBRC) and </w:t>
      </w:r>
      <w:bookmarkStart w:id="25" w:name="_Hlk43652922"/>
      <w:r w:rsidRPr="00A558EA">
        <w:t xml:space="preserve">the China Insurance Regulatory Commission (CIRC). </w:t>
      </w:r>
      <w:bookmarkEnd w:id="25"/>
      <w:r w:rsidRPr="00A558EA">
        <w:t xml:space="preserve">The theory behind the combination of these two regulatory commissions is that there </w:t>
      </w:r>
      <w:r w:rsidR="007F4E36">
        <w:t>were</w:t>
      </w:r>
      <w:r w:rsidRPr="00A558EA">
        <w:t xml:space="preserve"> supervision gaps between banking and insurance sectors </w:t>
      </w:r>
      <w:r w:rsidR="00587F51">
        <w:t xml:space="preserve">as well as </w:t>
      </w:r>
      <w:r w:rsidRPr="00A558EA">
        <w:t xml:space="preserve">the imbalance of supervisory </w:t>
      </w:r>
      <w:proofErr w:type="gramStart"/>
      <w:r w:rsidRPr="00A558EA">
        <w:t>resource</w:t>
      </w:r>
      <w:proofErr w:type="gramEnd"/>
      <w:r w:rsidRPr="00A558EA">
        <w:t xml:space="preserve">. The aims of the </w:t>
      </w:r>
      <w:r w:rsidR="00587F51">
        <w:t>merger</w:t>
      </w:r>
      <w:r w:rsidRPr="00A558EA">
        <w:t xml:space="preserve"> are to eliminate the supervisory gaps and to clarify the supervisory responsibilities as well as optimizing allocation of supervisory resource</w:t>
      </w:r>
      <w:r w:rsidRPr="00A558EA">
        <w:rPr>
          <w:rStyle w:val="FootnoteReference"/>
        </w:rPr>
        <w:footnoteReference w:id="30"/>
      </w:r>
      <w:r w:rsidRPr="00A558EA">
        <w:t xml:space="preserve">. </w:t>
      </w:r>
    </w:p>
    <w:p w14:paraId="484EE2D0" w14:textId="77777777" w:rsidR="00311624" w:rsidRPr="00A558EA" w:rsidRDefault="00311624" w:rsidP="007A379E">
      <w:pPr>
        <w:spacing w:before="120" w:after="120" w:line="288" w:lineRule="auto"/>
      </w:pPr>
      <w:r w:rsidRPr="00A558EA">
        <w:t xml:space="preserve">The CBIRC is the major player in the Chinese banking regulatory framework. Besides the official document issued by the Chinese Government, the CBIRC is empowered by </w:t>
      </w:r>
      <w:bookmarkStart w:id="26" w:name="_Hlk43653500"/>
      <w:r w:rsidRPr="00A558EA">
        <w:t>the Law of the People’s Republic of China on Banking Supervision</w:t>
      </w:r>
      <w:bookmarkEnd w:id="26"/>
      <w:r w:rsidRPr="00A558EA">
        <w:rPr>
          <w:rStyle w:val="FootnoteReference"/>
        </w:rPr>
        <w:footnoteReference w:id="31"/>
      </w:r>
      <w:r w:rsidRPr="00A558EA">
        <w:t>, the Law of the People’s Republic of China on Commercial Banks</w:t>
      </w:r>
      <w:r w:rsidRPr="00A558EA">
        <w:rPr>
          <w:rStyle w:val="FootnoteReference"/>
        </w:rPr>
        <w:footnoteReference w:id="32"/>
      </w:r>
      <w:r w:rsidRPr="00A558EA">
        <w:t>, and other relevant laws and administrative documents such as the Law of the People’s Republic of China on the People’s Bank of China</w:t>
      </w:r>
      <w:r w:rsidRPr="00A558EA">
        <w:rPr>
          <w:rStyle w:val="FootnoteReference"/>
        </w:rPr>
        <w:footnoteReference w:id="33"/>
      </w:r>
      <w:r w:rsidRPr="00A558EA">
        <w:t xml:space="preserve"> and the state government document ‘China Banking Insurance Regulatory Commission’s functional configuration, internal institutions and staffing regulations’</w:t>
      </w:r>
      <w:r w:rsidRPr="00A558EA">
        <w:rPr>
          <w:rStyle w:val="FootnoteReference"/>
        </w:rPr>
        <w:footnoteReference w:id="34"/>
      </w:r>
      <w:r w:rsidRPr="00A558EA">
        <w:t xml:space="preserve">. </w:t>
      </w:r>
    </w:p>
    <w:p w14:paraId="15601032" w14:textId="77777777" w:rsidR="00311624" w:rsidRPr="00A558EA" w:rsidRDefault="00311624" w:rsidP="007A379E">
      <w:pPr>
        <w:spacing w:before="120" w:after="120" w:line="288" w:lineRule="auto"/>
      </w:pPr>
      <w:r w:rsidRPr="00A558EA">
        <w:t>The mandates listed in the above central document and its official website of the CBIRC include:</w:t>
      </w:r>
    </w:p>
    <w:p w14:paraId="2159FE58" w14:textId="77777777" w:rsidR="00311624" w:rsidRPr="00A558EA" w:rsidRDefault="00311624" w:rsidP="007A379E">
      <w:pPr>
        <w:pStyle w:val="Heading4"/>
        <w:numPr>
          <w:ilvl w:val="0"/>
          <w:numId w:val="3"/>
        </w:numPr>
        <w:spacing w:before="120" w:after="120" w:line="288" w:lineRule="auto"/>
        <w:rPr>
          <w:rFonts w:ascii="Corbel" w:eastAsia="楷体" w:hAnsi="Corbel"/>
        </w:rPr>
      </w:pPr>
      <w:r w:rsidRPr="00A558EA">
        <w:rPr>
          <w:rFonts w:ascii="Corbel" w:eastAsia="楷体" w:hAnsi="Corbel"/>
        </w:rPr>
        <w:t>Rulemaking and enforcement</w:t>
      </w:r>
    </w:p>
    <w:p w14:paraId="147F47F1" w14:textId="4F503149" w:rsidR="00311624" w:rsidRPr="00A558EA" w:rsidRDefault="00311624" w:rsidP="007A379E">
      <w:pPr>
        <w:spacing w:before="120" w:after="120" w:line="288" w:lineRule="auto"/>
      </w:pPr>
      <w:bookmarkStart w:id="27" w:name="_Hlk49837385"/>
      <w:r w:rsidRPr="00A558EA">
        <w:t>The CBIRC is authorized by the People’s Congress to issue two types of regulatory rules: regulations and regulatory documents</w:t>
      </w:r>
      <w:bookmarkEnd w:id="27"/>
      <w:r w:rsidR="00587F51">
        <w:rPr>
          <w:rStyle w:val="FootnoteReference"/>
        </w:rPr>
        <w:footnoteReference w:id="35"/>
      </w:r>
      <w:r w:rsidRPr="00A558EA">
        <w:t xml:space="preserve">. Most of these rules are issued in the </w:t>
      </w:r>
      <w:proofErr w:type="gramStart"/>
      <w:r w:rsidRPr="00A558EA">
        <w:t>forms</w:t>
      </w:r>
      <w:proofErr w:type="gramEnd"/>
      <w:r w:rsidRPr="00A558EA">
        <w:t xml:space="preserve"> of Notices or Decrees by the CBIRC. The regulatory rules are legally </w:t>
      </w:r>
      <w:proofErr w:type="gramStart"/>
      <w:r w:rsidRPr="00A558EA">
        <w:t>bound</w:t>
      </w:r>
      <w:proofErr w:type="gramEnd"/>
      <w:r w:rsidRPr="00A558EA">
        <w:t xml:space="preserve"> and the breaches would be subject to </w:t>
      </w:r>
      <w:proofErr w:type="gramStart"/>
      <w:r w:rsidRPr="00A558EA">
        <w:t>the commensurate</w:t>
      </w:r>
      <w:proofErr w:type="gramEnd"/>
      <w:r w:rsidRPr="00A558EA">
        <w:t xml:space="preserve"> legal punishment according to the legal force of the regulations or the regulatory documents. </w:t>
      </w:r>
    </w:p>
    <w:p w14:paraId="71F7B773" w14:textId="77777777" w:rsidR="00311624" w:rsidRPr="00A558EA" w:rsidRDefault="00311624" w:rsidP="007A379E">
      <w:pPr>
        <w:pStyle w:val="Heading4"/>
        <w:numPr>
          <w:ilvl w:val="0"/>
          <w:numId w:val="3"/>
        </w:numPr>
        <w:spacing w:before="120" w:after="120" w:line="288" w:lineRule="auto"/>
        <w:rPr>
          <w:rFonts w:ascii="Corbel" w:hAnsi="Corbel"/>
        </w:rPr>
      </w:pPr>
      <w:r w:rsidRPr="00A558EA">
        <w:rPr>
          <w:rFonts w:ascii="Corbel" w:hAnsi="Corbel"/>
        </w:rPr>
        <w:t>Oversight and supervision</w:t>
      </w:r>
    </w:p>
    <w:p w14:paraId="47459AE2" w14:textId="77777777" w:rsidR="00311624" w:rsidRPr="00A558EA" w:rsidRDefault="00311624" w:rsidP="007A379E">
      <w:pPr>
        <w:spacing w:before="120" w:after="120" w:line="288" w:lineRule="auto"/>
      </w:pPr>
      <w:r w:rsidRPr="00A558EA">
        <w:t xml:space="preserve">The CBIRC ensures that the regulatory rules are adhered through their oversight and supervision </w:t>
      </w:r>
      <w:proofErr w:type="gramStart"/>
      <w:r w:rsidRPr="00A558EA">
        <w:t>on</w:t>
      </w:r>
      <w:proofErr w:type="gramEnd"/>
      <w:r w:rsidRPr="00A558EA">
        <w:t xml:space="preserve"> financial institutions’ behavior and disclosure. The CBIRC may conduct on-site inspection and compliance assessments as well as supervise banks (and insurance companies) on corporate governance, risk management and internal control. The CBIRC also establishes risk monitoring and evaluation systems on banks (and insurance companies) in terms of capital adequacy, solvency and other stability and soundness requirements. </w:t>
      </w:r>
    </w:p>
    <w:p w14:paraId="54539D5A" w14:textId="77777777" w:rsidR="00311624" w:rsidRPr="00A558EA" w:rsidRDefault="00311624" w:rsidP="007A379E">
      <w:pPr>
        <w:pStyle w:val="Heading4"/>
        <w:numPr>
          <w:ilvl w:val="0"/>
          <w:numId w:val="3"/>
        </w:numPr>
        <w:spacing w:before="120" w:after="120" w:line="288" w:lineRule="auto"/>
        <w:rPr>
          <w:rFonts w:ascii="Corbel" w:hAnsi="Corbel"/>
        </w:rPr>
      </w:pPr>
      <w:r w:rsidRPr="00A558EA">
        <w:rPr>
          <w:rFonts w:ascii="Corbel" w:hAnsi="Corbel"/>
        </w:rPr>
        <w:t>Licensing, chartering, and registration</w:t>
      </w:r>
    </w:p>
    <w:p w14:paraId="26C869F4" w14:textId="77777777" w:rsidR="00311624" w:rsidRPr="00A558EA" w:rsidRDefault="00311624" w:rsidP="007A379E">
      <w:pPr>
        <w:spacing w:before="120" w:after="120" w:line="288" w:lineRule="auto"/>
      </w:pPr>
      <w:r w:rsidRPr="00A558EA">
        <w:t xml:space="preserve">The CBIRC issues licenses and charters to banks (and insurance companies) in </w:t>
      </w:r>
      <w:proofErr w:type="gramStart"/>
      <w:r w:rsidRPr="00A558EA">
        <w:t>term</w:t>
      </w:r>
      <w:proofErr w:type="gramEnd"/>
      <w:r w:rsidRPr="00A558EA">
        <w:t xml:space="preserve"> of the access to financial markets and the business scopes. It also has the authority to influence the appointment of senior management in the regulated financial institutions. </w:t>
      </w:r>
    </w:p>
    <w:p w14:paraId="71956A76" w14:textId="3C3E6AFA" w:rsidR="00311624" w:rsidRPr="00A558EA" w:rsidRDefault="00311624" w:rsidP="007A379E">
      <w:pPr>
        <w:spacing w:before="120" w:after="120" w:line="288" w:lineRule="auto"/>
      </w:pPr>
      <w:r w:rsidRPr="00A558EA">
        <w:t xml:space="preserve">The banking regulatory framework in China is a ‘CBIRC centric’ framework. The CBIRC has established its dispatched agencies and affiliates in all provinces and eight key cities such as Beijing, </w:t>
      </w:r>
      <w:r w:rsidR="007A379E" w:rsidRPr="00A558EA">
        <w:t>Shanghai,</w:t>
      </w:r>
      <w:r w:rsidRPr="00A558EA">
        <w:t xml:space="preserve"> and Shenzhen on the mainland. These affiliates in different regions are called ‘Supervision Bureaus’ which directly report to the CBIRC </w:t>
      </w:r>
      <w:proofErr w:type="gramStart"/>
      <w:r w:rsidRPr="00A558EA">
        <w:t>headquarter</w:t>
      </w:r>
      <w:proofErr w:type="gramEnd"/>
      <w:r w:rsidRPr="00A558EA">
        <w:t xml:space="preserve">. This two-tier structure facilitates the effective execution of regulations and supervision. </w:t>
      </w:r>
    </w:p>
    <w:p w14:paraId="0C22333F" w14:textId="20867C1A" w:rsidR="00311624" w:rsidRPr="00A558EA" w:rsidRDefault="00311624" w:rsidP="00DC2590">
      <w:pPr>
        <w:pStyle w:val="Heading3"/>
        <w:numPr>
          <w:ilvl w:val="0"/>
          <w:numId w:val="16"/>
        </w:numPr>
        <w:spacing w:before="120" w:after="120" w:line="288" w:lineRule="auto"/>
        <w:rPr>
          <w:rFonts w:ascii="Corbel" w:hAnsi="Corbel"/>
        </w:rPr>
      </w:pPr>
      <w:r w:rsidRPr="00A558EA">
        <w:rPr>
          <w:rFonts w:ascii="Corbel" w:hAnsi="Corbel"/>
        </w:rPr>
        <w:t>The central bank – the People’s Bank of China (PBOC)</w:t>
      </w:r>
    </w:p>
    <w:p w14:paraId="1714AD77" w14:textId="684634F5" w:rsidR="00311624" w:rsidRPr="00A558EA" w:rsidRDefault="00311624" w:rsidP="007A379E">
      <w:pPr>
        <w:spacing w:before="120" w:after="120" w:line="288" w:lineRule="auto"/>
      </w:pPr>
      <w:bookmarkStart w:id="28" w:name="_Hlk43652635"/>
      <w:r w:rsidRPr="00A558EA">
        <w:t xml:space="preserve">Most of regulatory duties performed by the People’s Bank of China (PBOC) during the initial stages of the economic recovery and reform has been transferred to the CBRC since 2003. </w:t>
      </w:r>
      <w:bookmarkEnd w:id="28"/>
      <w:r w:rsidRPr="00A558EA">
        <w:t>The legal status of the PBOC as the central bank of the People’s Republic of China was established by the Law of the People’s Republic of China on the People’s Bank of China in 2003. As the central bank, the PBOC conducts monetary policies, targeting short-term interest rates through open market operations</w:t>
      </w:r>
      <w:r w:rsidR="00587F51">
        <w:rPr>
          <w:rStyle w:val="FootnoteReference"/>
        </w:rPr>
        <w:footnoteReference w:id="36"/>
      </w:r>
      <w:r w:rsidRPr="00A558EA">
        <w:t xml:space="preserve">. The PBOC also may provide loans to commercial banks, acting as a ‘lender of last resort’. </w:t>
      </w:r>
    </w:p>
    <w:p w14:paraId="0F4F5CD7" w14:textId="435E2A8B" w:rsidR="00311624" w:rsidRDefault="00311624" w:rsidP="007A379E">
      <w:pPr>
        <w:spacing w:before="120" w:after="120" w:line="288" w:lineRule="auto"/>
      </w:pPr>
      <w:r w:rsidRPr="00A558EA">
        <w:t>The PBOC is still clo</w:t>
      </w:r>
      <w:r w:rsidR="00587F51">
        <w:t>sely</w:t>
      </w:r>
      <w:r w:rsidRPr="00A558EA">
        <w:t xml:space="preserve"> tied to the stability and soundness of the financial system in China. The regulatory functions of the PBOC focus on regulating bank behavior in interbank markets involving repurchase agreements (Repo), interbank foreign exchanges, and interbank bonds. The PBOC also issues regulatory rules on the payment system cooperating with the CBIRC. </w:t>
      </w:r>
    </w:p>
    <w:p w14:paraId="73AE18EF" w14:textId="520FD807" w:rsidR="0070375F" w:rsidRPr="00941CB8" w:rsidRDefault="0070375F" w:rsidP="007A379E">
      <w:pPr>
        <w:spacing w:before="120" w:after="120" w:line="288" w:lineRule="auto"/>
      </w:pPr>
      <w:bookmarkStart w:id="29" w:name="_Hlk49837601"/>
      <w:r w:rsidRPr="00941CB8">
        <w:t xml:space="preserve">China takes the form of </w:t>
      </w:r>
      <w:r w:rsidR="00B6748E" w:rsidRPr="00941CB8">
        <w:t xml:space="preserve">the </w:t>
      </w:r>
      <w:r w:rsidRPr="00941CB8">
        <w:t xml:space="preserve">dual-regulator architecture on banking supervision. The PBOC </w:t>
      </w:r>
      <w:r w:rsidR="0093496A" w:rsidRPr="00941CB8">
        <w:t xml:space="preserve">acts as the monetary authority of </w:t>
      </w:r>
      <w:proofErr w:type="gramStart"/>
      <w:r w:rsidR="0093496A" w:rsidRPr="00941CB8">
        <w:t>China, and</w:t>
      </w:r>
      <w:proofErr w:type="gramEnd"/>
      <w:r w:rsidR="0093496A" w:rsidRPr="00941CB8">
        <w:t xml:space="preserve"> performs supervisory responsibility on payment system</w:t>
      </w:r>
      <w:r w:rsidR="00587F51" w:rsidRPr="00941CB8">
        <w:t>s</w:t>
      </w:r>
      <w:r w:rsidR="0093496A" w:rsidRPr="00941CB8">
        <w:t xml:space="preserve">. </w:t>
      </w:r>
      <w:bookmarkEnd w:id="29"/>
      <w:r w:rsidR="0093496A" w:rsidRPr="00941CB8">
        <w:t xml:space="preserve">The CBIRC acts as the primary regulatory authority of the banking sector. </w:t>
      </w:r>
      <w:r w:rsidR="00D60C3C" w:rsidRPr="00941CB8">
        <w:t xml:space="preserve">The adoption of a single regulator </w:t>
      </w:r>
      <w:r w:rsidR="00587F51" w:rsidRPr="00941CB8">
        <w:t>has been</w:t>
      </w:r>
      <w:r w:rsidR="00D60C3C" w:rsidRPr="00941CB8">
        <w:t xml:space="preserve"> a common </w:t>
      </w:r>
      <w:r w:rsidR="00587F51" w:rsidRPr="00941CB8">
        <w:t>feature</w:t>
      </w:r>
      <w:r w:rsidR="00D60C3C" w:rsidRPr="00941CB8">
        <w:t xml:space="preserve"> of banking during the last three decades </w:t>
      </w:r>
      <w:r w:rsidR="00D60C3C" w:rsidRPr="00941CB8">
        <w:fldChar w:fldCharType="begin"/>
      </w:r>
      <w:r w:rsidR="00D60C3C" w:rsidRPr="00941CB8">
        <w:instrText xml:space="preserve"> ADDIN EN.CITE &lt;EndNote&gt;&lt;Cite&gt;&lt;Author&gt;Herring&lt;/Author&gt;&lt;Year&gt;2008&lt;/Year&gt;&lt;RecNum&gt;132&lt;/RecNum&gt;&lt;DisplayText&gt;(Herring and Carmassi, 2008)&lt;/DisplayText&gt;&lt;record&gt;&lt;rec-number&gt;132&lt;/rec-number&gt;&lt;foreign-keys&gt;&lt;key app="EN" db-id="tewxv52070srvlesdv5x5srafe0w5fspwe2v" timestamp="1598117980"&gt;132&lt;/key&gt;&lt;/foreign-keys&gt;&lt;ref-type name="Journal Article"&gt;17&lt;/ref-type&gt;&lt;contributors&gt;&lt;authors&gt;&lt;author&gt;Herring, RichardJ.&lt;/author&gt;&lt;author&gt;Carmassi, Jacopo&lt;/author&gt;&lt;/authors&gt;&lt;/contributors&gt;&lt;titles&gt;&lt;title&gt;The Structure of Cross-Sector Financial Supervision&lt;/title&gt;&lt;secondary-title&gt;Financial Markets, Institutions &amp;amp; Instruments&lt;/secondary-title&gt;&lt;/titles&gt;&lt;periodical&gt;&lt;full-title&gt;Financial Markets, Institutions &amp;amp; Instruments&lt;/full-title&gt;&lt;/periodical&gt;&lt;pages&gt;51-76&lt;/pages&gt;&lt;volume&gt;17&lt;/volume&gt;&lt;number&gt;1&lt;/number&gt;&lt;dates&gt;&lt;year&gt;2008&lt;/year&gt;&lt;/dates&gt;&lt;isbn&gt;0963-8008&lt;/isbn&gt;&lt;urls&gt;&lt;related-urls&gt;&lt;url&gt;https://onlinelibrary.wiley.com/doi/abs/10.1111/j.1468-0416.2007.00132.x&lt;/url&gt;&lt;/related-urls&gt;&lt;/urls&gt;&lt;electronic-resource-num&gt;10.1111/j.1468-0416.2007.00132.x&lt;/electronic-resource-num&gt;&lt;/record&gt;&lt;/Cite&gt;&lt;/EndNote&gt;</w:instrText>
      </w:r>
      <w:r w:rsidR="00D60C3C" w:rsidRPr="00941CB8">
        <w:fldChar w:fldCharType="separate"/>
      </w:r>
      <w:r w:rsidR="00D60C3C" w:rsidRPr="00941CB8">
        <w:rPr>
          <w:noProof/>
        </w:rPr>
        <w:t>(Herring and Carmassi, 2008)</w:t>
      </w:r>
      <w:r w:rsidR="00D60C3C" w:rsidRPr="00941CB8">
        <w:fldChar w:fldCharType="end"/>
      </w:r>
      <w:r w:rsidR="00587F51" w:rsidRPr="00941CB8">
        <w:t>.</w:t>
      </w:r>
      <w:r w:rsidR="00D60C3C" w:rsidRPr="00941CB8">
        <w:t xml:space="preserve"> For example, the European Central Bank </w:t>
      </w:r>
      <w:r w:rsidR="00587F51" w:rsidRPr="00941CB8">
        <w:t>has</w:t>
      </w:r>
      <w:r w:rsidR="00D60C3C" w:rsidRPr="00941CB8">
        <w:t xml:space="preserve"> direct supervisory responsibilities over banks in the Eurozone and the Federal Reserve in the United States strengthened its supervisory power by Dodd-Frank Act. The advantages of the single regulator structure include economies of scale and scope, </w:t>
      </w:r>
      <w:r w:rsidR="00464703" w:rsidRPr="00941CB8">
        <w:t xml:space="preserve">reduction of potential regulatory arbitrage, the ability to supervise the complicated financial conglomerates, </w:t>
      </w:r>
      <w:r w:rsidR="002E48AE" w:rsidRPr="00941CB8">
        <w:t>among others</w:t>
      </w:r>
      <w:r w:rsidR="00464703" w:rsidRPr="00941CB8">
        <w:t xml:space="preserve"> </w:t>
      </w:r>
      <w:r w:rsidR="00464703" w:rsidRPr="00941CB8">
        <w:fldChar w:fldCharType="begin"/>
      </w:r>
      <w:r w:rsidR="00464703" w:rsidRPr="00941CB8">
        <w:instrText xml:space="preserve"> ADDIN EN.CITE &lt;EndNote&gt;&lt;Cite&gt;&lt;Author&gt;Doumpos&lt;/Author&gt;&lt;Year&gt;2015&lt;/Year&gt;&lt;RecNum&gt;160&lt;/RecNum&gt;&lt;DisplayText&gt;(Doumpos et al., 2015)&lt;/DisplayText&gt;&lt;record&gt;&lt;rec-number&gt;160&lt;/rec-number&gt;&lt;foreign-keys&gt;&lt;key app="EN" db-id="tewxv52070srvlesdv5x5srafe0w5fspwe2v" timestamp="1598119131"&gt;160&lt;/key&gt;&lt;/foreign-keys&gt;&lt;ref-type name="Journal Article"&gt;17&lt;/ref-type&gt;&lt;contributors&gt;&lt;authors&gt;&lt;author&gt;Doumpos, Michael&lt;/author&gt;&lt;author&gt;Gaganis, Chrysovalantis&lt;/author&gt;&lt;author&gt;Pasiouras, Fotios&lt;/author&gt;&lt;/authors&gt;&lt;/contributors&gt;&lt;titles&gt;&lt;title&gt;Central bank independence, financial supervision structure and bank soundness: An empirical analysis around the crisis&lt;/title&gt;&lt;secondary-title&gt;Journal of Banking &amp;amp; Finance&lt;/secondary-title&gt;&lt;/titles&gt;&lt;periodical&gt;&lt;full-title&gt;Journal of Banking &amp;amp; Finance&lt;/full-title&gt;&lt;/periodical&gt;&lt;pages&gt;S69-S83&lt;/pages&gt;&lt;volume&gt;61&lt;/volume&gt;&lt;keywords&gt;&lt;keyword&gt;Bank soundness&lt;/keyword&gt;&lt;keyword&gt;Central bank independence&lt;/keyword&gt;&lt;keyword&gt;Crisis&lt;/keyword&gt;&lt;keyword&gt;Supervisory architecture&lt;/keyword&gt;&lt;/keywords&gt;&lt;dates&gt;&lt;year&gt;2015&lt;/year&gt;&lt;pub-dates&gt;&lt;date&gt;2015/12/01/&lt;/date&gt;&lt;/pub-dates&gt;&lt;/dates&gt;&lt;isbn&gt;0378-4266&lt;/isbn&gt;&lt;urls&gt;&lt;related-urls&gt;&lt;url&gt;http://www.sciencedirect.com/science/article/pii/S0378426615001296&lt;/url&gt;&lt;/related-urls&gt;&lt;/urls&gt;&lt;electronic-resource-num&gt;https://doi.org/10.1016/j.jbankfin.2015.04.017&lt;/electronic-resource-num&gt;&lt;/record&gt;&lt;/Cite&gt;&lt;/EndNote&gt;</w:instrText>
      </w:r>
      <w:r w:rsidR="00464703" w:rsidRPr="00941CB8">
        <w:fldChar w:fldCharType="separate"/>
      </w:r>
      <w:r w:rsidR="00464703" w:rsidRPr="00941CB8">
        <w:rPr>
          <w:noProof/>
        </w:rPr>
        <w:t>(Doumpos et al., 2015)</w:t>
      </w:r>
      <w:r w:rsidR="00464703" w:rsidRPr="00941CB8">
        <w:fldChar w:fldCharType="end"/>
      </w:r>
      <w:r w:rsidR="002E48AE" w:rsidRPr="00941CB8">
        <w:t xml:space="preserve">. Internationally, the Reserve Bank of Australia and the Bank of Japan do not perform the direct supervision over the domestic banking sectors </w:t>
      </w:r>
      <w:r w:rsidR="002E48AE" w:rsidRPr="00941CB8">
        <w:fldChar w:fldCharType="begin"/>
      </w:r>
      <w:r w:rsidR="002E48AE" w:rsidRPr="00941CB8">
        <w:instrText xml:space="preserve"> ADDIN EN.CITE &lt;EndNote&gt;&lt;Cite&gt;&lt;Author&gt;Berger&lt;/Author&gt;&lt;Year&gt;2017&lt;/Year&gt;&lt;RecNum&gt;131&lt;/RecNum&gt;&lt;DisplayText&gt;(Berger et al., 2017)&lt;/DisplayText&gt;&lt;record&gt;&lt;rec-number&gt;131&lt;/rec-number&gt;&lt;foreign-keys&gt;&lt;key app="EN" db-id="tewxv52070srvlesdv5x5srafe0w5fspwe2v" timestamp="1597858995"&gt;131&lt;/key&gt;&lt;/foreign-keys&gt;&lt;ref-type name="Book"&gt;6&lt;/ref-type&gt;&lt;contributors&gt;&lt;authors&gt;&lt;author&gt;Berger, Allen N.&lt;/author&gt;&lt;author&gt;Molyneux, Philip&lt;/author&gt;&lt;author&gt;Wilson, John O. S.&lt;/author&gt;&lt;/authors&gt;&lt;/contributors&gt;&lt;titles&gt;&lt;title&gt;The Oxford handbook of banking&lt;/title&gt;&lt;/titles&gt;&lt;dates&gt;&lt;year&gt;2017&lt;/year&gt;&lt;/dates&gt;&lt;isbn&gt;9780198802891 0198802897 9780199688500 0199688508&lt;/isbn&gt;&lt;urls&gt;&lt;/urls&gt;&lt;remote-database-name&gt;/z-wcorg/&lt;/remote-database-name&gt;&lt;remote-database-provider&gt;http://worldcat.org&lt;/remote-database-provider&gt;&lt;language&gt;English&lt;/language&gt;&lt;/record&gt;&lt;/Cite&gt;&lt;/EndNote&gt;</w:instrText>
      </w:r>
      <w:r w:rsidR="002E48AE" w:rsidRPr="00941CB8">
        <w:fldChar w:fldCharType="separate"/>
      </w:r>
      <w:r w:rsidR="002E48AE" w:rsidRPr="00941CB8">
        <w:rPr>
          <w:noProof/>
        </w:rPr>
        <w:t>(Berger et al., 2017)</w:t>
      </w:r>
      <w:r w:rsidR="002E48AE" w:rsidRPr="00941CB8">
        <w:fldChar w:fldCharType="end"/>
      </w:r>
      <w:r w:rsidR="002E48AE" w:rsidRPr="00941CB8">
        <w:t xml:space="preserve">. </w:t>
      </w:r>
      <w:r w:rsidR="00B6748E" w:rsidRPr="00941CB8">
        <w:t xml:space="preserve">China takes the dual-regulator architecture which might avoid the disadvantages of the single-regulator structure, such as potential conflict within a single regulator, the monopoly power and the moral hazard issues, as reported in </w:t>
      </w:r>
      <w:r w:rsidR="00B6748E" w:rsidRPr="00941CB8">
        <w:fldChar w:fldCharType="begin"/>
      </w:r>
      <w:r w:rsidR="00B6748E" w:rsidRPr="00941CB8">
        <w:instrText xml:space="preserve"> ADDIN EN.CITE &lt;EndNote&gt;&lt;Cite&gt;&lt;Author&gt;Doumpos&lt;/Author&gt;&lt;Year&gt;2015&lt;/Year&gt;&lt;RecNum&gt;160&lt;/RecNum&gt;&lt;DisplayText&gt;(Doumpos et al., 2015)&lt;/DisplayText&gt;&lt;record&gt;&lt;rec-number&gt;160&lt;/rec-number&gt;&lt;foreign-keys&gt;&lt;key app="EN" db-id="tewxv52070srvlesdv5x5srafe0w5fspwe2v" timestamp="1598119131"&gt;160&lt;/key&gt;&lt;/foreign-keys&gt;&lt;ref-type name="Journal Article"&gt;17&lt;/ref-type&gt;&lt;contributors&gt;&lt;authors&gt;&lt;author&gt;Doumpos, Michael&lt;/author&gt;&lt;author&gt;Gaganis, Chrysovalantis&lt;/author&gt;&lt;author&gt;Pasiouras, Fotios&lt;/author&gt;&lt;/authors&gt;&lt;/contributors&gt;&lt;titles&gt;&lt;title&gt;Central bank independence, financial supervision structure and bank soundness: An empirical analysis around the crisis&lt;/title&gt;&lt;secondary-title&gt;Journal of Banking &amp;amp; Finance&lt;/secondary-title&gt;&lt;/titles&gt;&lt;periodical&gt;&lt;full-title&gt;Journal of Banking &amp;amp; Finance&lt;/full-title&gt;&lt;/periodical&gt;&lt;pages&gt;S69-S83&lt;/pages&gt;&lt;volume&gt;61&lt;/volume&gt;&lt;keywords&gt;&lt;keyword&gt;Bank soundness&lt;/keyword&gt;&lt;keyword&gt;Central bank independence&lt;/keyword&gt;&lt;keyword&gt;Crisis&lt;/keyword&gt;&lt;keyword&gt;Supervisory architecture&lt;/keyword&gt;&lt;/keywords&gt;&lt;dates&gt;&lt;year&gt;2015&lt;/year&gt;&lt;pub-dates&gt;&lt;date&gt;2015/12/01/&lt;/date&gt;&lt;/pub-dates&gt;&lt;/dates&gt;&lt;isbn&gt;0378-4266&lt;/isbn&gt;&lt;urls&gt;&lt;related-urls&gt;&lt;url&gt;http://www.sciencedirect.com/science/article/pii/S0378426615001296&lt;/url&gt;&lt;/related-urls&gt;&lt;/urls&gt;&lt;electronic-resource-num&gt;https://doi.org/10.1016/j.jbankfin.2015.04.017&lt;/electronic-resource-num&gt;&lt;/record&gt;&lt;/Cite&gt;&lt;/EndNote&gt;</w:instrText>
      </w:r>
      <w:r w:rsidR="00B6748E" w:rsidRPr="00941CB8">
        <w:fldChar w:fldCharType="separate"/>
      </w:r>
      <w:r w:rsidR="00B6748E" w:rsidRPr="00941CB8">
        <w:rPr>
          <w:noProof/>
        </w:rPr>
        <w:t>(Doumpos et al., 2015)</w:t>
      </w:r>
      <w:r w:rsidR="00B6748E" w:rsidRPr="00941CB8">
        <w:fldChar w:fldCharType="end"/>
      </w:r>
      <w:r w:rsidR="00B6748E" w:rsidRPr="00941CB8">
        <w:t xml:space="preserve">. </w:t>
      </w:r>
    </w:p>
    <w:p w14:paraId="72A956D4" w14:textId="3741F798" w:rsidR="00311624" w:rsidRPr="00A558EA" w:rsidRDefault="00311624" w:rsidP="007A379E">
      <w:pPr>
        <w:pStyle w:val="Heading2"/>
        <w:spacing w:before="120" w:after="120" w:line="288" w:lineRule="auto"/>
        <w:rPr>
          <w:rFonts w:ascii="Corbel" w:hAnsi="Corbel"/>
          <w:i/>
          <w:iCs/>
          <w:u w:val="single"/>
        </w:rPr>
      </w:pPr>
      <w:r w:rsidRPr="00A558EA">
        <w:rPr>
          <w:rFonts w:ascii="Corbel" w:hAnsi="Corbel"/>
          <w:i/>
          <w:iCs/>
          <w:u w:val="single"/>
        </w:rPr>
        <w:t xml:space="preserve">Other </w:t>
      </w:r>
      <w:r w:rsidR="002E48AE">
        <w:rPr>
          <w:rFonts w:ascii="Corbel" w:hAnsi="Corbel"/>
          <w:i/>
          <w:iCs/>
          <w:u w:val="single"/>
        </w:rPr>
        <w:t xml:space="preserve">relevant </w:t>
      </w:r>
      <w:r w:rsidRPr="00A558EA">
        <w:rPr>
          <w:rFonts w:ascii="Corbel" w:hAnsi="Corbel"/>
          <w:i/>
          <w:iCs/>
          <w:u w:val="single"/>
        </w:rPr>
        <w:t>regulators</w:t>
      </w:r>
    </w:p>
    <w:p w14:paraId="65750218" w14:textId="3ABEA89A" w:rsidR="00311624" w:rsidRPr="00A558EA" w:rsidRDefault="00311624" w:rsidP="007A379E">
      <w:pPr>
        <w:spacing w:before="120" w:after="120" w:line="288" w:lineRule="auto"/>
        <w:rPr>
          <w:color w:val="2F5496" w:themeColor="accent1" w:themeShade="BF"/>
        </w:rPr>
      </w:pPr>
      <w:r w:rsidRPr="00A558EA">
        <w:t>Chinese banks are also subject to other regulators in the regulatory framework</w:t>
      </w:r>
      <w:r w:rsidR="002E48AE">
        <w:t xml:space="preserve"> other than those two major players discussed before</w:t>
      </w:r>
      <w:r w:rsidRPr="00A558EA">
        <w:t xml:space="preserve">. These regulators, as components of the whole regulatory framework, have specific regulatory functions and regulatory objectives. The following regulators involved in banking regulation and supervision usually do not issue specific regulatory documents targeting financial institutions; rather, financial institutions </w:t>
      </w:r>
      <w:r w:rsidR="002E48AE">
        <w:t>are required</w:t>
      </w:r>
      <w:r w:rsidRPr="00A558EA">
        <w:t xml:space="preserve"> to comply with the regulation issued by these regulato</w:t>
      </w:r>
      <w:r w:rsidR="002E48AE">
        <w:t>rs</w:t>
      </w:r>
      <w:r w:rsidRPr="00A558EA">
        <w:t>. Therefore, the duties of the following regulators complement the regulation and supervision performed by the two major regulators</w:t>
      </w:r>
      <w:r w:rsidR="002E48AE">
        <w:t>.</w:t>
      </w:r>
    </w:p>
    <w:p w14:paraId="54DE2EF4" w14:textId="3E841751" w:rsidR="00311624" w:rsidRPr="00A558EA" w:rsidRDefault="00311624" w:rsidP="007A379E">
      <w:pPr>
        <w:spacing w:before="120" w:after="120" w:line="288" w:lineRule="auto"/>
      </w:pPr>
      <w:r w:rsidRPr="00A558EA">
        <w:rPr>
          <w:rStyle w:val="IntenseEmphasis"/>
        </w:rPr>
        <w:t>The China Securities Regulatory Commission (CSRC)</w:t>
      </w:r>
      <w:r w:rsidRPr="00A558EA">
        <w:t xml:space="preserve"> </w:t>
      </w:r>
      <w:r w:rsidR="002E48AE">
        <w:t>was</w:t>
      </w:r>
      <w:r w:rsidRPr="00A558EA">
        <w:t xml:space="preserve"> founded to regulate the areas over the following: (</w:t>
      </w:r>
      <w:proofErr w:type="spellStart"/>
      <w:r w:rsidRPr="00A558EA">
        <w:t>i</w:t>
      </w:r>
      <w:proofErr w:type="spellEnd"/>
      <w:r w:rsidRPr="00A558EA">
        <w:t xml:space="preserve">) participants in securities markets; (ii) securities markets; and (iii) securities products. The CSRC is primarily concerned </w:t>
      </w:r>
      <w:r w:rsidR="002E48AE">
        <w:t>with</w:t>
      </w:r>
      <w:r w:rsidRPr="00A558EA">
        <w:t xml:space="preserve"> transparency and fairness of the securities markets and investor protection. According to the CSRC, by the end of the third quarter of 2019 there </w:t>
      </w:r>
      <w:r w:rsidR="002E48AE">
        <w:t>were</w:t>
      </w:r>
      <w:r w:rsidRPr="00A558EA">
        <w:t xml:space="preserve"> 34 banking firms</w:t>
      </w:r>
      <w:r w:rsidRPr="00A558EA">
        <w:rPr>
          <w:rStyle w:val="FootnoteReference"/>
        </w:rPr>
        <w:footnoteReference w:id="37"/>
      </w:r>
      <w:r w:rsidRPr="00A558EA">
        <w:t xml:space="preserve"> publicly traded in the domestic market and they are subject to supervision </w:t>
      </w:r>
      <w:r w:rsidR="002E48AE">
        <w:t xml:space="preserve">by </w:t>
      </w:r>
      <w:r w:rsidRPr="00A558EA">
        <w:t xml:space="preserve">the CSRC in terms of financial information disclosures, securities issuances, and other publicly trading information. </w:t>
      </w:r>
    </w:p>
    <w:p w14:paraId="6ABC377B" w14:textId="2D47E45F" w:rsidR="00311624" w:rsidRPr="00A558EA" w:rsidRDefault="00311624" w:rsidP="007A379E">
      <w:pPr>
        <w:spacing w:before="120" w:after="120" w:line="288" w:lineRule="auto"/>
      </w:pPr>
      <w:r w:rsidRPr="00A558EA">
        <w:t xml:space="preserve">Unlike banking regulators, the CSRC does not have regulatory force directly on banking firms and may not be able to intervene or prevent banks from taking excessive risks. However, under the supervision of the CSRC, listed banking firms are required to truthfully and thoroughly disclose their financial information which may indicate potential risks to investors. </w:t>
      </w:r>
      <w:r w:rsidR="002E48AE">
        <w:t>B</w:t>
      </w:r>
      <w:r w:rsidRPr="00A558EA">
        <w:t xml:space="preserve">anks </w:t>
      </w:r>
      <w:r w:rsidR="002E48AE">
        <w:t>that intend to</w:t>
      </w:r>
      <w:r w:rsidRPr="00A558EA">
        <w:t xml:space="preserve"> list </w:t>
      </w:r>
      <w:proofErr w:type="gramStart"/>
      <w:r w:rsidR="002E48AE">
        <w:t>in the near future</w:t>
      </w:r>
      <w:proofErr w:type="gramEnd"/>
      <w:r w:rsidRPr="00A558EA">
        <w:t xml:space="preserve"> </w:t>
      </w:r>
      <w:r w:rsidR="002E48AE">
        <w:t xml:space="preserve">must </w:t>
      </w:r>
      <w:r w:rsidRPr="00A558EA">
        <w:t xml:space="preserve">submit their financial and internal control reports to the CSRC. </w:t>
      </w:r>
    </w:p>
    <w:p w14:paraId="51A958A7" w14:textId="07B0A2C8" w:rsidR="00311624" w:rsidRPr="00A558EA" w:rsidRDefault="00311624" w:rsidP="007A379E">
      <w:pPr>
        <w:spacing w:before="120" w:after="120" w:line="288" w:lineRule="auto"/>
      </w:pPr>
      <w:r w:rsidRPr="00A558EA">
        <w:rPr>
          <w:rStyle w:val="IntenseEmphasis"/>
        </w:rPr>
        <w:t>The National Audit Office of the People’s Republic of China (NAO)</w:t>
      </w:r>
      <w:r w:rsidRPr="00A558EA">
        <w:t xml:space="preserve"> is a department of the State Council and has the authorized duty to audit the firms controlled or dominated by the State-owned capital</w:t>
      </w:r>
      <w:r w:rsidRPr="00A558EA">
        <w:rPr>
          <w:rStyle w:val="FootnoteReference"/>
        </w:rPr>
        <w:footnoteReference w:id="38"/>
      </w:r>
      <w:r w:rsidRPr="00A558EA">
        <w:t>. Differing from banking firms in most advanced countries, the five biggest banks in China</w:t>
      </w:r>
      <w:r w:rsidRPr="00A558EA">
        <w:rPr>
          <w:rStyle w:val="FootnoteReference"/>
        </w:rPr>
        <w:footnoteReference w:id="39"/>
      </w:r>
      <w:r w:rsidRPr="00A558EA">
        <w:t xml:space="preserve"> are controlled or dominated by either Central </w:t>
      </w:r>
      <w:proofErr w:type="spellStart"/>
      <w:r w:rsidRPr="00A558EA">
        <w:t>Huijin</w:t>
      </w:r>
      <w:proofErr w:type="spellEnd"/>
      <w:r w:rsidRPr="00A558EA">
        <w:t xml:space="preserve"> Investment Co., Ltd</w:t>
      </w:r>
      <w:r w:rsidRPr="00A558EA">
        <w:rPr>
          <w:rStyle w:val="FootnoteReference"/>
        </w:rPr>
        <w:footnoteReference w:id="40"/>
      </w:r>
      <w:r w:rsidRPr="00A558EA">
        <w:t xml:space="preserve"> or directly by the Ministry of Finance of the People’s Republic of China. These State-owned banks are also under the supervision of the NAO in terms of financial information and corporate governance. </w:t>
      </w:r>
      <w:proofErr w:type="gramStart"/>
      <w:r w:rsidRPr="00A558EA">
        <w:t>Similar to</w:t>
      </w:r>
      <w:proofErr w:type="gramEnd"/>
      <w:r w:rsidRPr="00A558EA">
        <w:t xml:space="preserve"> the CSRC, </w:t>
      </w:r>
      <w:r w:rsidR="00B87995">
        <w:t>bank</w:t>
      </w:r>
      <w:r w:rsidRPr="00A558EA">
        <w:t xml:space="preserve"> stability and soundness might be an indirect concern of the NAO over banking firms. As an auditor recruited by the State government, </w:t>
      </w:r>
      <w:bookmarkStart w:id="30" w:name="_Hlk49837859"/>
      <w:r w:rsidRPr="00A558EA">
        <w:t xml:space="preserve">the NAO mainly </w:t>
      </w:r>
      <w:proofErr w:type="gramStart"/>
      <w:r w:rsidRPr="00A558EA">
        <w:t>concerns about</w:t>
      </w:r>
      <w:proofErr w:type="gramEnd"/>
      <w:r w:rsidRPr="00A558EA">
        <w:t xml:space="preserve"> the truthful disclosure of the employment of the state capital </w:t>
      </w:r>
      <w:bookmarkEnd w:id="30"/>
      <w:r w:rsidRPr="00A558EA">
        <w:t xml:space="preserve">and there are no illegal activities that may harm the state capital in banks. However, banks are bound by the regular reports and inspections by the NAO and need to present their safety and soundness. </w:t>
      </w:r>
    </w:p>
    <w:p w14:paraId="68BAD8E1" w14:textId="77777777" w:rsidR="00311624" w:rsidRPr="00A558EA" w:rsidRDefault="00311624" w:rsidP="007A379E">
      <w:pPr>
        <w:pStyle w:val="Heading2"/>
        <w:spacing w:before="120" w:after="120" w:line="288" w:lineRule="auto"/>
        <w:rPr>
          <w:rFonts w:ascii="Corbel" w:hAnsi="Corbel"/>
          <w:i/>
          <w:iCs/>
          <w:u w:val="single"/>
        </w:rPr>
      </w:pPr>
      <w:r w:rsidRPr="00A558EA">
        <w:rPr>
          <w:rFonts w:ascii="Corbel" w:hAnsi="Corbel"/>
          <w:i/>
          <w:iCs/>
          <w:u w:val="single"/>
        </w:rPr>
        <w:t xml:space="preserve">Regulated financial institutions and regulated </w:t>
      </w:r>
      <w:proofErr w:type="gramStart"/>
      <w:r w:rsidRPr="00A558EA">
        <w:rPr>
          <w:rFonts w:ascii="Corbel" w:hAnsi="Corbel"/>
          <w:i/>
          <w:iCs/>
          <w:u w:val="single"/>
        </w:rPr>
        <w:t>businesses</w:t>
      </w:r>
      <w:proofErr w:type="gramEnd"/>
    </w:p>
    <w:p w14:paraId="631F2440" w14:textId="43765AFA" w:rsidR="00311624" w:rsidRPr="00A558EA" w:rsidRDefault="00311624" w:rsidP="007A379E">
      <w:pPr>
        <w:spacing w:before="120" w:after="120" w:line="288" w:lineRule="auto"/>
      </w:pPr>
      <w:r w:rsidRPr="00A558EA">
        <w:t xml:space="preserve">According to its founding laws, the CBRC has the authority to regulate and supervise all institutions in </w:t>
      </w:r>
      <w:r w:rsidR="00B87995">
        <w:t xml:space="preserve">the </w:t>
      </w:r>
      <w:r w:rsidRPr="00A558EA">
        <w:t xml:space="preserve">financial sector including ‘commercial banks, urban credit cooperatives, rural credit cooperatives and </w:t>
      </w:r>
      <w:commentRangeStart w:id="31"/>
      <w:r w:rsidRPr="00A558EA">
        <w:t xml:space="preserve">other financial institutions </w:t>
      </w:r>
      <w:commentRangeEnd w:id="31"/>
      <w:r w:rsidRPr="00A558EA">
        <w:rPr>
          <w:rStyle w:val="CommentReference"/>
        </w:rPr>
        <w:commentReference w:id="31"/>
      </w:r>
      <w:r w:rsidRPr="00A558EA">
        <w:t>and policy banks that absorb public deposits’</w:t>
      </w:r>
      <w:r w:rsidRPr="00A558EA">
        <w:rPr>
          <w:rStyle w:val="FootnoteReference"/>
        </w:rPr>
        <w:footnoteReference w:id="41"/>
      </w:r>
      <w:r w:rsidRPr="00A558EA">
        <w:t xml:space="preserve">. Besides these depository institutions, the CBRC extends its regulatory authority to asset management companies, trust and investment companies, internal financial intermediaries in corporations, financial lease companies, and other financial institutions permitted by law. These financial institutions are also legally bound by the Law of the People’s Republic of China on Banking Supervision. After the combination of the CBRC and the CIRC, the regulatory authority of the CBIRC extends to all insurance companies including insurance brokers. </w:t>
      </w:r>
    </w:p>
    <w:p w14:paraId="3CBE9666" w14:textId="1E8528BE" w:rsidR="00311624" w:rsidRPr="00A558EA" w:rsidRDefault="00311624" w:rsidP="007A379E">
      <w:pPr>
        <w:spacing w:before="120" w:after="120" w:line="288" w:lineRule="auto"/>
      </w:pPr>
      <w:r w:rsidRPr="00A558EA">
        <w:t>Foreign banks (including Chinese-foreign joint</w:t>
      </w:r>
      <w:r w:rsidR="00B818DB">
        <w:t>-stock</w:t>
      </w:r>
      <w:r w:rsidRPr="00A558EA">
        <w:t xml:space="preserve"> banks) are also subject to the regulation and supervision of the authorized regulators such as the CBIRC and the People’s Bank of China. The ‘Regulation of the People’s Republic of China on the Administration of Foreign Banks’, which has the highest legal force on foreign banks’ operating in financial markets in China, was issued in 2008 as a decree of the State Council and has been revised twice since then</w:t>
      </w:r>
      <w:r w:rsidRPr="00A558EA">
        <w:rPr>
          <w:rStyle w:val="FootnoteReference"/>
        </w:rPr>
        <w:footnoteReference w:id="42"/>
      </w:r>
      <w:r w:rsidRPr="00A558EA">
        <w:t>.  Respond</w:t>
      </w:r>
      <w:r w:rsidR="00B87995">
        <w:t xml:space="preserve">ing </w:t>
      </w:r>
      <w:r w:rsidRPr="00A558EA">
        <w:t>to this legal document, the CBIRC issued ‘People’s Republic of China Foreign Banks Regulations Implementation Rules’ in 2015</w:t>
      </w:r>
      <w:r w:rsidRPr="00A558EA">
        <w:rPr>
          <w:rStyle w:val="FootnoteReference"/>
        </w:rPr>
        <w:footnoteReference w:id="43"/>
      </w:r>
      <w:r w:rsidRPr="00A558EA">
        <w:t xml:space="preserve">. This implementation document </w:t>
      </w:r>
      <w:r w:rsidR="00B87995">
        <w:t>provides</w:t>
      </w:r>
      <w:r w:rsidRPr="00A558EA">
        <w:t xml:space="preserve"> more detailed guidance to foreign banks in all aspects of their operation in China. </w:t>
      </w:r>
    </w:p>
    <w:p w14:paraId="769C9726" w14:textId="77777777" w:rsidR="00311624" w:rsidRPr="00A558EA" w:rsidRDefault="00311624" w:rsidP="007A379E">
      <w:pPr>
        <w:spacing w:before="120" w:after="120" w:line="288" w:lineRule="auto"/>
      </w:pPr>
      <w:r w:rsidRPr="00A558EA">
        <w:t>It is noticeable that in the 2</w:t>
      </w:r>
      <w:r w:rsidRPr="00A558EA">
        <w:rPr>
          <w:vertAlign w:val="superscript"/>
        </w:rPr>
        <w:t>nd</w:t>
      </w:r>
      <w:r w:rsidRPr="00A558EA">
        <w:t xml:space="preserve"> amendment of the ‘Regulation of the People’s Republic of China on the Administration of Foreign Banks’, the requirements on the regulatory capital adequacy ratio </w:t>
      </w:r>
      <w:proofErr w:type="gramStart"/>
      <w:r w:rsidRPr="00A558EA">
        <w:t>has</w:t>
      </w:r>
      <w:proofErr w:type="gramEnd"/>
      <w:r w:rsidRPr="00A558EA">
        <w:t xml:space="preserve"> been underlined and included into legal articles. </w:t>
      </w:r>
    </w:p>
    <w:p w14:paraId="705F93AC" w14:textId="7578B6F8" w:rsidR="00311624" w:rsidRPr="00A558EA" w:rsidRDefault="00311624" w:rsidP="007A379E">
      <w:pPr>
        <w:spacing w:before="120" w:after="120" w:line="288" w:lineRule="auto"/>
      </w:pPr>
      <w:r w:rsidRPr="00A558EA">
        <w:t>According to the statistics from the CBIRC</w:t>
      </w:r>
      <w:r w:rsidRPr="00A558EA">
        <w:rPr>
          <w:rStyle w:val="FootnoteReference"/>
        </w:rPr>
        <w:footnoteReference w:id="44"/>
      </w:r>
      <w:r w:rsidRPr="00A558EA">
        <w:t>, by October 2019, the six largest banks</w:t>
      </w:r>
      <w:r w:rsidRPr="00A558EA">
        <w:rPr>
          <w:rStyle w:val="FootnoteReference"/>
        </w:rPr>
        <w:footnoteReference w:id="45"/>
      </w:r>
      <w:r w:rsidRPr="00A558EA">
        <w:t xml:space="preserve"> have a combined share of about 47.9% of the total assets of commercial banks. Four of these six largest banks (the Industrial and Commercial Bank of China, China Construction Bank, Agricultural Bank of China, Bank of China) have been listed as Global Systemically Important Banks (G-SIBs) by the Financial Stability Broad (FSB) in 2019</w:t>
      </w:r>
      <w:r w:rsidRPr="00A558EA">
        <w:rPr>
          <w:rStyle w:val="FootnoteReference"/>
        </w:rPr>
        <w:footnoteReference w:id="46"/>
      </w:r>
      <w:r w:rsidRPr="00A558EA">
        <w:t xml:space="preserve">. </w:t>
      </w:r>
    </w:p>
    <w:p w14:paraId="1DB12BE4" w14:textId="77777777" w:rsidR="00311624" w:rsidRPr="00A558EA" w:rsidRDefault="00311624" w:rsidP="007A379E">
      <w:pPr>
        <w:spacing w:before="120" w:after="120" w:line="288" w:lineRule="auto"/>
      </w:pPr>
      <w:r w:rsidRPr="00A558EA">
        <w:t xml:space="preserve">There two main areas of banking business are under the oversight of the CBIRC and the central bank. Apart from the expansion of regular banking business, the rapid growth of shadow banking has become a new concern and a key area that attracts regulation and supervision. </w:t>
      </w:r>
    </w:p>
    <w:p w14:paraId="30ED8DCA" w14:textId="77777777" w:rsidR="00311624" w:rsidRPr="00A558EA" w:rsidRDefault="00311624" w:rsidP="007A379E">
      <w:pPr>
        <w:pStyle w:val="Heading3"/>
        <w:numPr>
          <w:ilvl w:val="0"/>
          <w:numId w:val="4"/>
        </w:numPr>
        <w:spacing w:before="120" w:after="120" w:line="288" w:lineRule="auto"/>
        <w:rPr>
          <w:rFonts w:ascii="Corbel" w:hAnsi="Corbel"/>
          <w:sz w:val="22"/>
          <w:szCs w:val="22"/>
        </w:rPr>
      </w:pPr>
      <w:r w:rsidRPr="00A558EA">
        <w:rPr>
          <w:rFonts w:ascii="Corbel" w:hAnsi="Corbel"/>
          <w:sz w:val="22"/>
          <w:szCs w:val="22"/>
        </w:rPr>
        <w:t>Regular banking business</w:t>
      </w:r>
    </w:p>
    <w:p w14:paraId="24654E8F" w14:textId="6A8BB31B" w:rsidR="00311624" w:rsidRPr="00A558EA" w:rsidRDefault="00311624" w:rsidP="007A379E">
      <w:pPr>
        <w:spacing w:before="120" w:after="120" w:line="288" w:lineRule="auto"/>
      </w:pPr>
      <w:r w:rsidRPr="00A558EA">
        <w:t xml:space="preserve">According to the ‘Law of the People’s Republic of China on Banking Supervision’ and the ‘Commercial Bank Law of the People’s Republic of China’, all businesses and products within the business scopes of the domestic and foreign commercial banks should be either approved by or filed to the CBIRC and/or the People’s Bank of China. The regular banking business encompasses a broad range of products and transactions such as absorbing deposits and issuing loans, issuing financial bonds, interbank lending, </w:t>
      </w:r>
      <w:r w:rsidR="006F7335" w:rsidRPr="00A558EA">
        <w:t>buying,</w:t>
      </w:r>
      <w:r w:rsidRPr="00A558EA">
        <w:t xml:space="preserve"> and selling bonds, credit/debit card business, </w:t>
      </w:r>
      <w:r w:rsidR="00B87995">
        <w:t>among others</w:t>
      </w:r>
      <w:r w:rsidR="006F7335" w:rsidRPr="00A558EA">
        <w:t>.</w:t>
      </w:r>
      <w:r w:rsidRPr="00A558EA">
        <w:t xml:space="preserve"> </w:t>
      </w:r>
    </w:p>
    <w:p w14:paraId="5D83850F" w14:textId="77777777" w:rsidR="00311624" w:rsidRPr="00A558EA" w:rsidRDefault="00311624" w:rsidP="007A379E">
      <w:pPr>
        <w:pStyle w:val="Heading3"/>
        <w:numPr>
          <w:ilvl w:val="0"/>
          <w:numId w:val="4"/>
        </w:numPr>
        <w:spacing w:before="120" w:after="120" w:line="288" w:lineRule="auto"/>
        <w:rPr>
          <w:rFonts w:ascii="Corbel" w:hAnsi="Corbel"/>
          <w:sz w:val="22"/>
          <w:szCs w:val="22"/>
        </w:rPr>
      </w:pPr>
      <w:r w:rsidRPr="00A558EA">
        <w:rPr>
          <w:rFonts w:ascii="Corbel" w:hAnsi="Corbel"/>
          <w:sz w:val="22"/>
          <w:szCs w:val="22"/>
        </w:rPr>
        <w:t>Shadow banking</w:t>
      </w:r>
    </w:p>
    <w:p w14:paraId="19948ABC" w14:textId="00E96A84" w:rsidR="00311624" w:rsidRPr="00A558EA" w:rsidRDefault="00311624" w:rsidP="007A379E">
      <w:pPr>
        <w:spacing w:before="120" w:after="120" w:line="288" w:lineRule="auto"/>
        <w:rPr>
          <w:rFonts w:cstheme="minorHAnsi"/>
        </w:rPr>
      </w:pPr>
      <w:bookmarkStart w:id="32" w:name="_Hlk49838058"/>
      <w:r w:rsidRPr="00A558EA">
        <w:t>It is believed that the emergence of a large amount of Wealth Management Products (WMPs) indicates the rapid rise of shadow banking in China.</w:t>
      </w:r>
      <w:bookmarkEnd w:id="32"/>
      <w:r w:rsidRPr="00A558EA">
        <w:t xml:space="preserve"> </w:t>
      </w:r>
      <w:r w:rsidR="005150CD" w:rsidRPr="00A558EA">
        <w:t xml:space="preserve">As it is shown in Figure </w:t>
      </w:r>
      <w:r w:rsidR="00B87995">
        <w:t>3</w:t>
      </w:r>
      <w:bookmarkStart w:id="33" w:name="_Hlk49838098"/>
      <w:r w:rsidR="005150CD" w:rsidRPr="00A558EA">
        <w:t xml:space="preserve">, </w:t>
      </w:r>
      <w:r w:rsidRPr="00A558EA">
        <w:rPr>
          <w:rFonts w:cstheme="minorHAnsi"/>
        </w:rPr>
        <w:t>China’s other financial institution (OFI) assets have increased to 11.8 trillion US dollars in 2017, accounting for 10% of the global OFI asset shares and becoming the third-largest jurisdiction</w:t>
      </w:r>
      <w:r w:rsidRPr="00A558EA">
        <w:rPr>
          <w:rFonts w:cstheme="minorHAnsi"/>
        </w:rPr>
        <w:fldChar w:fldCharType="begin"/>
      </w:r>
      <w:r w:rsidR="00BD60A0">
        <w:rPr>
          <w:rFonts w:cstheme="minorHAnsi"/>
        </w:rPr>
        <w:instrText xml:space="preserve"> ADDIN EN.CITE &lt;EndNote&gt;&lt;Cite&gt;&lt;Author&gt;FSB&lt;/Author&gt;&lt;Year&gt;2019&lt;/Year&gt;&lt;RecNum&gt;89&lt;/RecNum&gt;&lt;IDText&gt;Global Monitoring Report on Non-Bank Financial Intermediation 2018&lt;/IDText&gt;&lt;DisplayText&gt;(FSB, 2019)&lt;/DisplayText&gt;&lt;record&gt;&lt;rec-number&gt;89&lt;/rec-number&gt;&lt;foreign-keys&gt;&lt;key app="EN" db-id="tewxv52070srvlesdv5x5srafe0w5fspwe2v" timestamp="1578144058"&gt;89&lt;/key&gt;&lt;key app="ENWeb" db-id=""&gt;0&lt;/key&gt;&lt;/foreign-keys&gt;&lt;ref-type name="Report"&gt;27&lt;/ref-type&gt;&lt;contributors&gt;&lt;authors&gt;&lt;author&gt;FSB, &lt;/author&gt;&lt;/authors&gt;&lt;/contributors&gt;&lt;titles&gt;&lt;title&gt;Global Monitoring Report on Non-Bank Financial Intermediation 2018&lt;/title&gt;&lt;/titles&gt;&lt;dates&gt;&lt;year&gt;2019&lt;/year&gt;&lt;/dates&gt;&lt;publisher&gt;Financial Stability Board&lt;/publisher&gt;&lt;urls&gt;&lt;/urls&gt;&lt;/record&gt;&lt;/Cite&gt;&lt;/EndNote&gt;</w:instrText>
      </w:r>
      <w:r w:rsidRPr="00A558EA">
        <w:rPr>
          <w:rFonts w:cstheme="minorHAnsi"/>
        </w:rPr>
        <w:fldChar w:fldCharType="separate"/>
      </w:r>
      <w:r w:rsidRPr="00A558EA">
        <w:rPr>
          <w:rFonts w:cstheme="minorHAnsi"/>
          <w:noProof/>
        </w:rPr>
        <w:t>(FSB, 2019)</w:t>
      </w:r>
      <w:r w:rsidRPr="00A558EA">
        <w:rPr>
          <w:rFonts w:cstheme="minorHAnsi"/>
        </w:rPr>
        <w:fldChar w:fldCharType="end"/>
      </w:r>
      <w:r w:rsidRPr="00A558EA">
        <w:rPr>
          <w:rFonts w:cstheme="minorHAnsi"/>
        </w:rPr>
        <w:t xml:space="preserve">. </w:t>
      </w:r>
      <w:bookmarkEnd w:id="33"/>
      <w:r w:rsidRPr="00A558EA">
        <w:rPr>
          <w:rFonts w:cstheme="minorHAnsi"/>
        </w:rPr>
        <w:t>FSB also reported that the shares of China’s shadow banking ha</w:t>
      </w:r>
      <w:r w:rsidR="00B87995">
        <w:rPr>
          <w:rFonts w:cstheme="minorHAnsi"/>
        </w:rPr>
        <w:t>ve</w:t>
      </w:r>
      <w:r w:rsidRPr="00A558EA">
        <w:rPr>
          <w:rFonts w:cstheme="minorHAnsi"/>
        </w:rPr>
        <w:t xml:space="preserve"> been monotonously increasing from 2011 to 2017 (as shown in the right histogram</w:t>
      </w:r>
      <w:r w:rsidR="00B87995">
        <w:rPr>
          <w:rFonts w:cstheme="minorHAnsi"/>
        </w:rPr>
        <w:t xml:space="preserve"> of Figure 3</w:t>
      </w:r>
      <w:r w:rsidRPr="00A558EA">
        <w:rPr>
          <w:rFonts w:cstheme="minorHAnsi"/>
        </w:rPr>
        <w:t xml:space="preserve">). </w:t>
      </w:r>
    </w:p>
    <w:p w14:paraId="729B128E" w14:textId="77777777" w:rsidR="00311624" w:rsidRDefault="00311624" w:rsidP="00311624">
      <w:pPr>
        <w:spacing w:before="100" w:beforeAutospacing="1" w:after="100" w:afterAutospacing="1"/>
        <w:rPr>
          <w:rFonts w:cstheme="minorHAnsi"/>
        </w:rPr>
      </w:pPr>
      <w:r>
        <w:rPr>
          <w:rFonts w:cstheme="minorHAnsi"/>
          <w:noProof/>
        </w:rPr>
        <w:drawing>
          <wp:inline distT="0" distB="0" distL="0" distR="0" wp14:anchorId="65873BDD" wp14:editId="101083E6">
            <wp:extent cx="5731510" cy="24384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 Shadow banking charts.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438400"/>
                    </a:xfrm>
                    <a:prstGeom prst="rect">
                      <a:avLst/>
                    </a:prstGeom>
                  </pic:spPr>
                </pic:pic>
              </a:graphicData>
            </a:graphic>
          </wp:inline>
        </w:drawing>
      </w:r>
    </w:p>
    <w:p w14:paraId="4223BDA2" w14:textId="77777777" w:rsidR="00311624" w:rsidRPr="00A558EA" w:rsidRDefault="00311624" w:rsidP="00311624">
      <w:pPr>
        <w:spacing w:before="100" w:beforeAutospacing="1" w:after="100" w:afterAutospacing="1"/>
        <w:rPr>
          <w:rFonts w:cstheme="minorHAnsi"/>
          <w:sz w:val="16"/>
          <w:szCs w:val="16"/>
        </w:rPr>
      </w:pPr>
      <w:r w:rsidRPr="00A558EA">
        <w:rPr>
          <w:rFonts w:cstheme="minorHAnsi"/>
          <w:sz w:val="16"/>
          <w:szCs w:val="16"/>
        </w:rPr>
        <w:t>Note: ‘CN’ is the abbreviation for China</w:t>
      </w:r>
    </w:p>
    <w:p w14:paraId="702EC6FE" w14:textId="6716E7FB" w:rsidR="00311624" w:rsidRDefault="00311624" w:rsidP="000F03AB">
      <w:pPr>
        <w:spacing w:after="0" w:line="288" w:lineRule="auto"/>
        <w:jc w:val="center"/>
        <w:rPr>
          <w:rFonts w:cstheme="minorHAnsi"/>
          <w:sz w:val="18"/>
          <w:szCs w:val="18"/>
        </w:rPr>
      </w:pPr>
      <w:r w:rsidRPr="000F03AB">
        <w:rPr>
          <w:rFonts w:cstheme="minorHAnsi"/>
          <w:sz w:val="18"/>
          <w:szCs w:val="18"/>
        </w:rPr>
        <w:t>Source: FSB Global Monitoring Report on Non-Bank Financial Intermediation 2018</w:t>
      </w:r>
    </w:p>
    <w:p w14:paraId="6EA87526" w14:textId="77777777" w:rsidR="00F16E01" w:rsidRPr="000F03AB" w:rsidRDefault="00F16E01" w:rsidP="00F16E01">
      <w:pPr>
        <w:spacing w:after="0" w:line="288" w:lineRule="auto"/>
        <w:jc w:val="center"/>
        <w:rPr>
          <w:rFonts w:cstheme="minorHAnsi"/>
          <w:sz w:val="18"/>
          <w:szCs w:val="18"/>
        </w:rPr>
      </w:pPr>
      <w:r w:rsidRPr="000F03AB">
        <w:rPr>
          <w:rFonts w:cstheme="minorHAnsi"/>
          <w:sz w:val="18"/>
          <w:szCs w:val="18"/>
        </w:rPr>
        <w:t xml:space="preserve">Figure </w:t>
      </w:r>
      <w:r>
        <w:rPr>
          <w:rFonts w:cstheme="minorHAnsi"/>
          <w:sz w:val="18"/>
          <w:szCs w:val="18"/>
        </w:rPr>
        <w:t>3</w:t>
      </w:r>
      <w:r w:rsidRPr="000F03AB">
        <w:rPr>
          <w:rFonts w:cstheme="minorHAnsi"/>
          <w:sz w:val="18"/>
          <w:szCs w:val="18"/>
        </w:rPr>
        <w:t>: China’s other financial institution assets share</w:t>
      </w:r>
    </w:p>
    <w:p w14:paraId="4D94E1A1" w14:textId="6F9F76A4" w:rsidR="00311624" w:rsidRPr="00A558EA" w:rsidRDefault="00311624" w:rsidP="000F03AB">
      <w:pPr>
        <w:spacing w:before="120" w:after="120" w:line="288" w:lineRule="auto"/>
      </w:pPr>
      <w:r w:rsidRPr="00A558EA">
        <w:t>Banks dominate the Chinese financial</w:t>
      </w:r>
      <w:r w:rsidR="00B87995">
        <w:t xml:space="preserve"> sector</w:t>
      </w:r>
      <w:r w:rsidRPr="00A558EA">
        <w:t>. It is understandable that commercial banks act as the largest and direct intermediaries in shadow banking in China</w:t>
      </w:r>
      <w:r w:rsidR="00B87995">
        <w:t xml:space="preserve"> </w:t>
      </w:r>
      <w:r w:rsidR="00B87995">
        <w:fldChar w:fldCharType="begin"/>
      </w:r>
      <w:r w:rsidR="00B87995">
        <w:instrText xml:space="preserve"> ADDIN EN.CITE &lt;EndNote&gt;&lt;Cite&gt;&lt;Author&gt;Berger&lt;/Author&gt;&lt;Year&gt;2017&lt;/Year&gt;&lt;RecNum&gt;131&lt;/RecNum&gt;&lt;DisplayText&gt;(Berger et al., 2017)&lt;/DisplayText&gt;&lt;record&gt;&lt;rec-number&gt;131&lt;/rec-number&gt;&lt;foreign-keys&gt;&lt;key app="EN" db-id="tewxv52070srvlesdv5x5srafe0w5fspwe2v" timestamp="1597858995"&gt;131&lt;/key&gt;&lt;/foreign-keys&gt;&lt;ref-type name="Book"&gt;6&lt;/ref-type&gt;&lt;contributors&gt;&lt;authors&gt;&lt;author&gt;Berger, Allen N.&lt;/author&gt;&lt;author&gt;Molyneux, Philip&lt;/author&gt;&lt;author&gt;Wilson, John O. S.&lt;/author&gt;&lt;/authors&gt;&lt;/contributors&gt;&lt;titles&gt;&lt;title&gt;The Oxford handbook of banking&lt;/title&gt;&lt;/titles&gt;&lt;dates&gt;&lt;year&gt;2017&lt;/year&gt;&lt;/dates&gt;&lt;isbn&gt;9780198802891 0198802897 9780199688500 0199688508&lt;/isbn&gt;&lt;urls&gt;&lt;/urls&gt;&lt;remote-database-name&gt;/z-wcorg/&lt;/remote-database-name&gt;&lt;remote-database-provider&gt;http://worldcat.org&lt;/remote-database-provider&gt;&lt;language&gt;English&lt;/language&gt;&lt;/record&gt;&lt;/Cite&gt;&lt;/EndNote&gt;</w:instrText>
      </w:r>
      <w:r w:rsidR="00B87995">
        <w:fldChar w:fldCharType="separate"/>
      </w:r>
      <w:r w:rsidR="00B87995">
        <w:rPr>
          <w:noProof/>
        </w:rPr>
        <w:t>(Berger et al., 2017)</w:t>
      </w:r>
      <w:r w:rsidR="00B87995">
        <w:fldChar w:fldCharType="end"/>
      </w:r>
      <w:r w:rsidRPr="00A558EA">
        <w:t xml:space="preserve">. Banks participating in shadow banking could be considered as a way of regulatory arbitrage. The risks involved in shadow banking such as liquidity risk, high leverage, and operational risk might also be imposed on the whole financial system and the real economy and cause </w:t>
      </w:r>
      <w:proofErr w:type="gramStart"/>
      <w:r w:rsidRPr="00A558EA">
        <w:t>the</w:t>
      </w:r>
      <w:proofErr w:type="gramEnd"/>
      <w:r w:rsidRPr="00A558EA">
        <w:t xml:space="preserve"> systematic breakdown. Shadow banking now has become one of the key areas which needs to be supervised by the national regulators through stricter regulatory initiatives. </w:t>
      </w:r>
    </w:p>
    <w:p w14:paraId="63A0B1EE" w14:textId="77777777" w:rsidR="00311624" w:rsidRPr="00A558EA" w:rsidRDefault="00311624" w:rsidP="000F03AB">
      <w:pPr>
        <w:pStyle w:val="Heading2"/>
        <w:spacing w:before="120" w:after="120" w:line="288" w:lineRule="auto"/>
        <w:rPr>
          <w:rFonts w:ascii="Corbel" w:hAnsi="Corbel"/>
          <w:i/>
          <w:iCs/>
          <w:u w:val="single"/>
        </w:rPr>
      </w:pPr>
      <w:r w:rsidRPr="00A558EA">
        <w:rPr>
          <w:rFonts w:ascii="Corbel" w:hAnsi="Corbel"/>
          <w:i/>
          <w:iCs/>
          <w:u w:val="single"/>
        </w:rPr>
        <w:t xml:space="preserve">Adoption of Basel III framework and rules issued to regulate the shadow-banking </w:t>
      </w:r>
      <w:proofErr w:type="gramStart"/>
      <w:r w:rsidRPr="00A558EA">
        <w:rPr>
          <w:rFonts w:ascii="Corbel" w:hAnsi="Corbel"/>
          <w:i/>
          <w:iCs/>
          <w:u w:val="single"/>
        </w:rPr>
        <w:t>system</w:t>
      </w:r>
      <w:proofErr w:type="gramEnd"/>
    </w:p>
    <w:p w14:paraId="26D6EC80" w14:textId="23677FF3" w:rsidR="00311624" w:rsidRPr="00A558EA" w:rsidRDefault="00311624" w:rsidP="000F03AB">
      <w:pPr>
        <w:spacing w:before="120" w:after="120" w:line="288" w:lineRule="auto"/>
      </w:pPr>
      <w:r w:rsidRPr="00A558EA">
        <w:t>As a member of the G20</w:t>
      </w:r>
      <w:r w:rsidR="00B87995">
        <w:rPr>
          <w:rStyle w:val="FootnoteReference"/>
        </w:rPr>
        <w:footnoteReference w:id="47"/>
      </w:r>
      <w:r w:rsidRPr="00A558EA">
        <w:t xml:space="preserve"> and the Basel Committee on Banking Supervision (BCBS, or the Basel Committee), China has been fully supporting and participating </w:t>
      </w:r>
      <w:r w:rsidR="001B5B85">
        <w:t>in t</w:t>
      </w:r>
      <w:r w:rsidRPr="00A558EA">
        <w:t>he global regulatory reform after the Great Financial Crisis</w:t>
      </w:r>
      <w:r w:rsidRPr="00A558EA">
        <w:rPr>
          <w:rStyle w:val="FootnoteReference"/>
        </w:rPr>
        <w:footnoteReference w:id="48"/>
      </w:r>
      <w:r w:rsidRPr="00A558EA">
        <w:t>.  In June 2012, the CBRC</w:t>
      </w:r>
      <w:r w:rsidRPr="00A558EA">
        <w:rPr>
          <w:rStyle w:val="FootnoteReference"/>
        </w:rPr>
        <w:footnoteReference w:id="49"/>
      </w:r>
      <w:r w:rsidRPr="00A558EA">
        <w:t xml:space="preserve"> issued the regulation ‘Commercial Bank Capital Management Measure (Trial)’, which means that the Basel III framework has been adopted and incorporated into the banking regulatory framework in China</w:t>
      </w:r>
      <w:r w:rsidRPr="00A558EA">
        <w:rPr>
          <w:rStyle w:val="FootnoteReference"/>
        </w:rPr>
        <w:footnoteReference w:id="50"/>
      </w:r>
      <w:r w:rsidRPr="00A558EA">
        <w:t xml:space="preserve">. The BCBS also assessed the adoption as ‘compliant’ and ‘largely compliant’ in their assessment report in the Regulatory Consistency Assessment Program (RCAP) in 2013 </w:t>
      </w:r>
      <w:r w:rsidRPr="00A558EA">
        <w:fldChar w:fldCharType="begin"/>
      </w:r>
      <w:r w:rsidRPr="00A558EA">
        <w:instrText xml:space="preserve"> ADDIN EN.CITE &lt;EndNote&gt;&lt;Cite&gt;&lt;Author&gt;BCBS&lt;/Author&gt;&lt;Year&gt;2013&lt;/Year&gt;&lt;RecNum&gt;0&lt;/RecNum&gt;&lt;IDText&gt;Regulatory Consistency Assessment Programme (RCAP) Assessment of Basel III Regulations - China&lt;/IDText&gt;&lt;DisplayText&gt;(BCBS, 2013)&lt;/DisplayText&gt;&lt;record&gt;&lt;ref-type name="Report"&gt;27&lt;/ref-type&gt;&lt;contributors&gt;&lt;authors&gt;&lt;author&gt;BCBS&lt;/author&gt;&lt;/authors&gt;&lt;/contributors&gt;&lt;titles&gt;&lt;title&gt;Regulatory Consistency Assessment Programme (RCAP) Assessment of Basel III Regulations - China&lt;/title&gt;&lt;/titles&gt;&lt;dates&gt;&lt;year&gt;2013&lt;/year&gt;&lt;/dates&gt;&lt;publisher&gt;Basel Committee on Banking Supervision&lt;/publisher&gt;&lt;/record&gt;&lt;/Cite&gt;&lt;/EndNote&gt;</w:instrText>
      </w:r>
      <w:r w:rsidRPr="00A558EA">
        <w:fldChar w:fldCharType="separate"/>
      </w:r>
      <w:r w:rsidRPr="00A558EA">
        <w:rPr>
          <w:noProof/>
        </w:rPr>
        <w:t>(BCBS, 2013)</w:t>
      </w:r>
      <w:r w:rsidRPr="00A558EA">
        <w:fldChar w:fldCharType="end"/>
      </w:r>
      <w:r w:rsidRPr="00A558EA">
        <w:fldChar w:fldCharType="begin" w:fldLock="1"/>
      </w:r>
      <w:r w:rsidRPr="00A558EA">
        <w:instrText>MERGEFIELD .wWw..wWw.QIQQA_CLUSTER.oOo.e167e131c3954ab18c46a3d21ccb1c2d.oOo..oOo.08144AA8-9EF0-4E38-B64C-6CE7F02C8C81.xXx.SEPARATE_AUTHOR_DATE.xXx..oOo. \* MERGEFORMAT</w:instrText>
      </w:r>
      <w:r w:rsidRPr="00A558EA">
        <w:fldChar w:fldCharType="end"/>
      </w:r>
      <w:r w:rsidRPr="00A558EA">
        <w:t xml:space="preserve">. </w:t>
      </w:r>
    </w:p>
    <w:p w14:paraId="1E3BB9B4" w14:textId="1A08B401" w:rsidR="00311624" w:rsidRPr="00A558EA" w:rsidRDefault="001B5B85" w:rsidP="000F03AB">
      <w:pPr>
        <w:spacing w:before="120" w:after="120" w:line="288" w:lineRule="auto"/>
      </w:pPr>
      <w:r>
        <w:t>Following 2012</w:t>
      </w:r>
      <w:r w:rsidR="00311624" w:rsidRPr="00A558EA">
        <w:t xml:space="preserve">, the CBRC </w:t>
      </w:r>
      <w:r>
        <w:t>issued</w:t>
      </w:r>
      <w:r w:rsidR="00311624" w:rsidRPr="00A558EA">
        <w:t xml:space="preserve"> or updat</w:t>
      </w:r>
      <w:r>
        <w:t>ed</w:t>
      </w:r>
      <w:r w:rsidR="00311624" w:rsidRPr="00A558EA">
        <w:t xml:space="preserve"> supplementary regulatory documents involving requirements covering all aspects of the Basel III framework to improve the banking regulatory framework in China.  Key regulatory documents can be found in </w:t>
      </w:r>
      <w:proofErr w:type="gramStart"/>
      <w:r w:rsidR="00311624" w:rsidRPr="00A558EA">
        <w:t xml:space="preserve">the </w:t>
      </w:r>
      <w:r>
        <w:t>A</w:t>
      </w:r>
      <w:r w:rsidR="00311624" w:rsidRPr="00A558EA">
        <w:t>ppendix</w:t>
      </w:r>
      <w:proofErr w:type="gramEnd"/>
      <w:r w:rsidR="00311624" w:rsidRPr="00A558EA">
        <w:t xml:space="preserve"> </w:t>
      </w:r>
      <w:r>
        <w:t>1</w:t>
      </w:r>
      <w:r w:rsidR="00311624" w:rsidRPr="00A558EA">
        <w:t xml:space="preserve">. </w:t>
      </w:r>
    </w:p>
    <w:p w14:paraId="744FE1A4" w14:textId="20EA589B" w:rsidR="00311624" w:rsidRPr="00A558EA" w:rsidRDefault="00311624" w:rsidP="000F03AB">
      <w:pPr>
        <w:spacing w:before="120" w:after="120" w:line="288" w:lineRule="auto"/>
      </w:pPr>
      <w:r w:rsidRPr="00A558EA">
        <w:t>Besides the full adoption of the Basel III framework, the Chinese banking regulatory authorities have noticed the rapid growth of shadow banking</w:t>
      </w:r>
      <w:r w:rsidR="001B5B85">
        <w:t xml:space="preserve"> (as shown in Figure 3)</w:t>
      </w:r>
      <w:r w:rsidRPr="00A558EA">
        <w:t xml:space="preserve">. As a member of G20, China commits to the annual monitoring exercise conducted by the Financial Stability Board (FSB). </w:t>
      </w:r>
      <w:bookmarkStart w:id="34" w:name="_Hlk49838163"/>
      <w:r w:rsidRPr="00A558EA">
        <w:t xml:space="preserve">The authorities also have started taking initiatives </w:t>
      </w:r>
      <w:proofErr w:type="gramStart"/>
      <w:r w:rsidRPr="00A558EA">
        <w:t>in order to</w:t>
      </w:r>
      <w:proofErr w:type="gramEnd"/>
      <w:r w:rsidRPr="00A558EA">
        <w:t xml:space="preserve"> regulate this particular area </w:t>
      </w:r>
      <w:bookmarkEnd w:id="34"/>
      <w:r w:rsidRPr="00A558EA">
        <w:t xml:space="preserve">to avoid the damage it </w:t>
      </w:r>
      <w:proofErr w:type="gramStart"/>
      <w:r w:rsidRPr="00A558EA">
        <w:t>would</w:t>
      </w:r>
      <w:proofErr w:type="gramEnd"/>
      <w:r w:rsidRPr="00A558EA">
        <w:t xml:space="preserve"> possibly cause. </w:t>
      </w:r>
    </w:p>
    <w:p w14:paraId="379033B6" w14:textId="5951FFE0" w:rsidR="00311624" w:rsidRPr="00A558EA" w:rsidRDefault="00311624" w:rsidP="000F03AB">
      <w:pPr>
        <w:spacing w:before="120" w:after="120" w:line="288" w:lineRule="auto"/>
      </w:pPr>
      <w:bookmarkStart w:id="35" w:name="_Hlk49838284"/>
      <w:r w:rsidRPr="00A558EA">
        <w:t>As early as in 2011, the CBRC issued the regulatory document ‘Measures for the Administration of Sales of Wealth Management Products (WMPs) of Commercial Banks’</w:t>
      </w:r>
      <w:r w:rsidRPr="00A558EA">
        <w:rPr>
          <w:rStyle w:val="FootnoteReference"/>
        </w:rPr>
        <w:footnoteReference w:id="51"/>
      </w:r>
      <w:r w:rsidRPr="00A558EA">
        <w:t xml:space="preserve">, requiring commercial banks to reveal the risk associated with the WMPs which they are selling to their customers. Also, in the same year, the CBRC issued a notice which is linked to a regulatory document targeted at the joint Wealth Management Products between banks and trusts. In this notice the CBRC further required </w:t>
      </w:r>
      <w:r w:rsidR="001B5B85">
        <w:t xml:space="preserve">that </w:t>
      </w:r>
      <w:r w:rsidRPr="00A558EA">
        <w:t>the amount of the WMPs should be reduced gradually. In 2017, the CBRC announced another notice addressing to stricter regulation on the WMPs joint business between banks and trusts</w:t>
      </w:r>
      <w:r w:rsidRPr="00A558EA">
        <w:rPr>
          <w:rStyle w:val="FootnoteReference"/>
        </w:rPr>
        <w:footnoteReference w:id="52"/>
      </w:r>
      <w:r w:rsidRPr="00A558EA">
        <w:t xml:space="preserve">. </w:t>
      </w:r>
    </w:p>
    <w:p w14:paraId="321C8C95" w14:textId="36FF562B" w:rsidR="00311624" w:rsidRPr="00941CB8" w:rsidRDefault="00311624" w:rsidP="000F03AB">
      <w:pPr>
        <w:spacing w:before="120" w:after="120" w:line="288" w:lineRule="auto"/>
      </w:pPr>
      <w:r w:rsidRPr="00A558EA">
        <w:t>In 2018, the CBIRC issued the regulation ‘Measures for the Supervision and Administration of Wealth Management Business of Commercial Banks’</w:t>
      </w:r>
      <w:r w:rsidRPr="00A558EA">
        <w:rPr>
          <w:rStyle w:val="FootnoteReference"/>
        </w:rPr>
        <w:footnoteReference w:id="53"/>
      </w:r>
      <w:r w:rsidRPr="00A558EA">
        <w:t xml:space="preserve"> which particularly addresses to commercial banks, the largest and direct intermediaries in shadow banking. As to those Special Purpose Vehicles (SPVs) founded by commercial banks to buying and selling WMPs, the CBIRC issued regulations ‘Measures for the Management of Wealth Management Subsidiaries of Commercial Banks’</w:t>
      </w:r>
      <w:r w:rsidRPr="00A558EA">
        <w:rPr>
          <w:rStyle w:val="FootnoteReference"/>
        </w:rPr>
        <w:footnoteReference w:id="54"/>
      </w:r>
      <w:r w:rsidRPr="00A558EA">
        <w:t xml:space="preserve"> and ‘Measures for the Management of Net Capital of Wealth Management Subsidiaries of Commercial </w:t>
      </w:r>
      <w:proofErr w:type="gramStart"/>
      <w:r w:rsidRPr="00A558EA">
        <w:t>Banks ’</w:t>
      </w:r>
      <w:proofErr w:type="gramEnd"/>
      <w:r w:rsidRPr="00A558EA">
        <w:rPr>
          <w:rStyle w:val="FootnoteReference"/>
        </w:rPr>
        <w:footnoteReference w:id="55"/>
      </w:r>
      <w:r w:rsidRPr="00A558EA">
        <w:t xml:space="preserve"> in 2018 and 2019 respectively</w:t>
      </w:r>
      <w:r w:rsidR="001B5B85">
        <w:t xml:space="preserve">. These regulations intend to </w:t>
      </w:r>
      <w:r w:rsidRPr="00A558EA">
        <w:t>impos</w:t>
      </w:r>
      <w:r w:rsidR="001B5B85">
        <w:t>e</w:t>
      </w:r>
      <w:r w:rsidRPr="00A558EA">
        <w:t xml:space="preserve"> more stringent regulation and supervision on the business line of </w:t>
      </w:r>
      <w:r w:rsidRPr="00941CB8">
        <w:t xml:space="preserve">WMPs. </w:t>
      </w:r>
    </w:p>
    <w:bookmarkEnd w:id="35"/>
    <w:p w14:paraId="1198A05E" w14:textId="18253505" w:rsidR="006F7335" w:rsidRPr="00941CB8" w:rsidRDefault="00B818DB" w:rsidP="000F03AB">
      <w:pPr>
        <w:spacing w:before="120" w:after="120" w:line="288" w:lineRule="auto"/>
      </w:pPr>
      <w:r w:rsidRPr="00941CB8">
        <w:t>Centering the two main regulators – the CBIRC and the PBOC</w:t>
      </w:r>
      <w:r w:rsidR="001B5B85" w:rsidRPr="00941CB8">
        <w:t>,</w:t>
      </w:r>
      <w:r w:rsidRPr="00941CB8">
        <w:t xml:space="preserve"> supplemented by other related regulated bodies such as the China Securities Regulatory Commission (CSRC), the banking regulatory framework </w:t>
      </w:r>
      <w:r w:rsidR="001B5B85" w:rsidRPr="00941CB8">
        <w:t xml:space="preserve">was </w:t>
      </w:r>
      <w:r w:rsidRPr="00941CB8">
        <w:t xml:space="preserve">established and evolved in the past four decades. </w:t>
      </w:r>
      <w:r w:rsidR="001B5B85" w:rsidRPr="00941CB8">
        <w:t>F</w:t>
      </w:r>
      <w:r w:rsidRPr="00941CB8">
        <w:t>inancial institutions involved with banking business</w:t>
      </w:r>
      <w:r w:rsidR="009C4C8A" w:rsidRPr="00941CB8">
        <w:t xml:space="preserve">, not only banks, </w:t>
      </w:r>
      <w:r w:rsidRPr="00941CB8">
        <w:t>are monitored and supervised under this regulatory framework. The full adoption of the Basel III framework not only symbolizes China’s support for the global regulatory reform, but also represents the further growth of China’s banking sector in terms of regulation and supervision.</w:t>
      </w:r>
      <w:r w:rsidR="00F4416B" w:rsidRPr="00941CB8">
        <w:t xml:space="preserve"> After the adoption of the Basel III framework, China’s two main regulators the CBIRC and the PBOC </w:t>
      </w:r>
      <w:r w:rsidR="00572860" w:rsidRPr="00941CB8">
        <w:t xml:space="preserve">have switched their focus to macroprudential supervision, as instructed by the Bank for International Settlement (BIS). </w:t>
      </w:r>
      <w:r w:rsidRPr="00941CB8">
        <w:t xml:space="preserve"> </w:t>
      </w:r>
      <w:r w:rsidR="003379DB" w:rsidRPr="00941CB8">
        <w:t xml:space="preserve">Because of the rapid growth of shadow banking globally as well as domestically and its potential influence on the stability of the whole banking system, shadow banking has become a focusing regulated area in China’s banking sector. As shown in </w:t>
      </w:r>
      <w:r w:rsidR="00BD60A0" w:rsidRPr="00941CB8">
        <w:fldChar w:fldCharType="begin">
          <w:fldData xml:space="preserve">PEVuZE5vdGU+PENpdGU+PEF1dGhvcj5GU0I8L0F1dGhvcj48WWVhcj4yMDIwPC9ZZWFyPjxSZWNO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==
</w:fldData>
        </w:fldChar>
      </w:r>
      <w:r w:rsidR="00BD60A0" w:rsidRPr="00941CB8">
        <w:instrText xml:space="preserve"> ADDIN EN.CITE </w:instrText>
      </w:r>
      <w:r w:rsidR="00BD60A0" w:rsidRPr="00941CB8">
        <w:fldChar w:fldCharType="begin">
          <w:fldData xml:space="preserve">PEVuZE5vdGU+PENpdGU+PEF1dGhvcj5GU0I8L0F1dGhvcj48WWVhcj4yMDIwPC9ZZWFyPjxSZWNO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==
</w:fldData>
        </w:fldChar>
      </w:r>
      <w:r w:rsidR="00BD60A0" w:rsidRPr="00941CB8">
        <w:instrText xml:space="preserve"> ADDIN EN.CITE.DATA </w:instrText>
      </w:r>
      <w:r w:rsidR="00BD60A0" w:rsidRPr="00941CB8">
        <w:fldChar w:fldCharType="end"/>
      </w:r>
      <w:r w:rsidR="00BD60A0" w:rsidRPr="00941CB8">
        <w:fldChar w:fldCharType="separate"/>
      </w:r>
      <w:r w:rsidR="00BD60A0" w:rsidRPr="00941CB8">
        <w:rPr>
          <w:noProof/>
        </w:rPr>
        <w:t>(FSB, 2020)</w:t>
      </w:r>
      <w:r w:rsidR="00BD60A0" w:rsidRPr="00941CB8">
        <w:fldChar w:fldCharType="end"/>
      </w:r>
      <w:r w:rsidR="00BD60A0" w:rsidRPr="00941CB8">
        <w:t xml:space="preserve">, the growth rate and the value of shadow banking already started to decelerate in terms of total financial assets, compared to the last year.  </w:t>
      </w:r>
    </w:p>
    <w:p w14:paraId="69F02358" w14:textId="2B1DBD5B" w:rsidR="00386C3D" w:rsidRPr="00A558EA" w:rsidRDefault="005150CD" w:rsidP="000F03AB">
      <w:pPr>
        <w:pStyle w:val="Heading2"/>
        <w:spacing w:before="120" w:after="120" w:line="288" w:lineRule="auto"/>
        <w:jc w:val="center"/>
        <w:rPr>
          <w:rFonts w:ascii="Corbel" w:hAnsi="Corbel"/>
        </w:rPr>
      </w:pPr>
      <w:r w:rsidRPr="00A558EA">
        <w:rPr>
          <w:rFonts w:ascii="Corbel" w:hAnsi="Corbel"/>
        </w:rPr>
        <w:t xml:space="preserve">Part III: </w:t>
      </w:r>
      <w:r w:rsidR="00FB5BE1" w:rsidRPr="00A558EA">
        <w:rPr>
          <w:rFonts w:ascii="Corbel" w:hAnsi="Corbel"/>
        </w:rPr>
        <w:t>Ratio analysis</w:t>
      </w:r>
    </w:p>
    <w:p w14:paraId="317AFFE4" w14:textId="48A22195" w:rsidR="00CB4DB1" w:rsidRPr="00A558EA" w:rsidRDefault="00CB4DB1" w:rsidP="000F03AB">
      <w:pPr>
        <w:pStyle w:val="Heading3"/>
        <w:numPr>
          <w:ilvl w:val="0"/>
          <w:numId w:val="2"/>
        </w:numPr>
        <w:spacing w:before="120" w:after="120" w:line="288" w:lineRule="auto"/>
        <w:rPr>
          <w:rFonts w:ascii="Corbel" w:hAnsi="Corbel"/>
        </w:rPr>
      </w:pPr>
      <w:r w:rsidRPr="00A558EA">
        <w:rPr>
          <w:rFonts w:ascii="Corbel" w:hAnsi="Corbel"/>
        </w:rPr>
        <w:t>Data</w:t>
      </w:r>
      <w:r w:rsidR="00FE6142" w:rsidRPr="00A558EA">
        <w:rPr>
          <w:rStyle w:val="FootnoteReference"/>
          <w:rFonts w:ascii="Corbel" w:hAnsi="Corbel"/>
        </w:rPr>
        <w:footnoteReference w:id="56"/>
      </w:r>
    </w:p>
    <w:p w14:paraId="341158A6" w14:textId="510B66CE" w:rsidR="003E682F" w:rsidRPr="00A558EA" w:rsidRDefault="00CB4DB1" w:rsidP="000F03AB">
      <w:pPr>
        <w:spacing w:before="120" w:after="120" w:line="288" w:lineRule="auto"/>
      </w:pPr>
      <w:r w:rsidRPr="00A558EA">
        <w:t>We use the SNL database (a service provided by S&amp;P Global Inc.) as our main data</w:t>
      </w:r>
      <w:r w:rsidR="00FE6142" w:rsidRPr="00A558EA">
        <w:t>. Our sample is unbalanced. In the analysis of total assets, our sample entails data of 5 banking subsectors - banks, insurance companies, securities firms (broker-dealers), trust companies and specialty lending companies- in total 34</w:t>
      </w:r>
      <w:r w:rsidR="00842E54" w:rsidRPr="00A558EA">
        <w:t>2</w:t>
      </w:r>
      <w:r w:rsidR="00FE6142" w:rsidRPr="00A558EA">
        <w:t xml:space="preserve"> financial institutions during 2010-201</w:t>
      </w:r>
      <w:r w:rsidR="004250CC">
        <w:t>9</w:t>
      </w:r>
      <w:r w:rsidR="00FE6142" w:rsidRPr="00A558EA">
        <w:t xml:space="preserve">. </w:t>
      </w:r>
      <w:r w:rsidR="00100A21" w:rsidRPr="00A558EA">
        <w:t xml:space="preserve">In the CAMEL system ratio analysis, we use </w:t>
      </w:r>
      <w:r w:rsidR="004F1BEA" w:rsidRPr="00A558EA">
        <w:t xml:space="preserve">data of </w:t>
      </w:r>
      <w:r w:rsidR="00100A21" w:rsidRPr="00A558EA">
        <w:t>23</w:t>
      </w:r>
      <w:r w:rsidR="00842E54" w:rsidRPr="00A558EA">
        <w:t>1</w:t>
      </w:r>
      <w:r w:rsidR="00100A21" w:rsidRPr="00A558EA">
        <w:t xml:space="preserve"> commercial banks</w:t>
      </w:r>
      <w:r w:rsidR="00100A21" w:rsidRPr="00A558EA">
        <w:rPr>
          <w:rStyle w:val="FootnoteReference"/>
        </w:rPr>
        <w:footnoteReference w:id="57"/>
      </w:r>
      <w:r w:rsidR="004F1BEA" w:rsidRPr="00A558EA">
        <w:t xml:space="preserve"> during 2010-201</w:t>
      </w:r>
      <w:r w:rsidR="006F3092">
        <w:t>9</w:t>
      </w:r>
      <w:r w:rsidR="004F1BEA" w:rsidRPr="00A558EA">
        <w:t xml:space="preserve">, totaling 2097 observations. In case the SNL database does not </w:t>
      </w:r>
      <w:proofErr w:type="gramStart"/>
      <w:r w:rsidR="004F1BEA" w:rsidRPr="00A558EA">
        <w:t>provided</w:t>
      </w:r>
      <w:proofErr w:type="gramEnd"/>
      <w:r w:rsidR="004F1BEA" w:rsidRPr="00A558EA">
        <w:t xml:space="preserve"> enough information or has doubtful values, we </w:t>
      </w:r>
      <w:r w:rsidR="006F3092">
        <w:t>hand-</w:t>
      </w:r>
      <w:r w:rsidR="004F1BEA" w:rsidRPr="00A558EA">
        <w:t>collect data from other official sources including the annual issues of China’s Statistical Yearbook, press</w:t>
      </w:r>
      <w:r w:rsidR="009C4C8A">
        <w:t xml:space="preserve"> releases</w:t>
      </w:r>
      <w:r w:rsidR="004F1BEA" w:rsidRPr="00A558EA">
        <w:t xml:space="preserve"> and the annual reports of the China Banking and Insurance Regulatory Commission (CBIRC), and the annual reports of individual banks and other types of financial institutions. </w:t>
      </w:r>
      <w:r w:rsidR="009E73E2" w:rsidRPr="00A558EA">
        <w:t xml:space="preserve">The categories of financial institutions of the banking sector and their ownership structures can be found </w:t>
      </w:r>
      <w:r w:rsidR="005150CD" w:rsidRPr="00A558EA">
        <w:t xml:space="preserve">in </w:t>
      </w:r>
      <w:r w:rsidR="003E682F" w:rsidRPr="00A558EA">
        <w:t xml:space="preserve">Table 1. </w:t>
      </w:r>
    </w:p>
    <w:p w14:paraId="0886D0CA" w14:textId="18829D2B" w:rsidR="00CB4DB1" w:rsidRDefault="00CB4DB1" w:rsidP="00CB4DB1"/>
    <w:p w14:paraId="5B82C5C5" w14:textId="77777777" w:rsidR="003E682F" w:rsidRDefault="003E682F" w:rsidP="00CB4DB1"/>
    <w:bookmarkStart w:id="36" w:name="_MON_1656186141"/>
    <w:bookmarkEnd w:id="36"/>
    <w:p w14:paraId="23AF0D9C" w14:textId="6F337032" w:rsidR="009E73E2" w:rsidRDefault="00BC02E1" w:rsidP="000F03AB">
      <w:pPr>
        <w:jc w:val="center"/>
      </w:pPr>
      <w:r>
        <w:object w:dxaOrig="6990" w:dyaOrig="11294" w14:anchorId="44FE2F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9.45pt;height:516.15pt" o:ole="">
            <v:imagedata r:id="rId13" o:title=""/>
          </v:shape>
          <o:OLEObject Type="Embed" ProgID="Excel.Sheet.12" ShapeID="_x0000_i1025" DrawAspect="Content" ObjectID="_1767565661" r:id="rId14"/>
        </w:object>
      </w:r>
    </w:p>
    <w:p w14:paraId="22DB416A" w14:textId="67BFBA75" w:rsidR="003E682F" w:rsidRDefault="003E682F" w:rsidP="000F03AB">
      <w:pPr>
        <w:jc w:val="center"/>
        <w:rPr>
          <w:sz w:val="18"/>
          <w:szCs w:val="18"/>
        </w:rPr>
      </w:pPr>
      <w:r w:rsidRPr="003E682F">
        <w:rPr>
          <w:sz w:val="18"/>
          <w:szCs w:val="18"/>
        </w:rPr>
        <w:t>Table 1: Ownership structure information of the banking sector</w:t>
      </w:r>
    </w:p>
    <w:p w14:paraId="43C37504" w14:textId="3D73DA9B" w:rsidR="000F03AB" w:rsidRPr="00B3657A" w:rsidRDefault="000F03AB" w:rsidP="000F03AB">
      <w:pPr>
        <w:rPr>
          <w:sz w:val="18"/>
          <w:szCs w:val="18"/>
        </w:rPr>
      </w:pPr>
      <w:r w:rsidRPr="00B3657A">
        <w:rPr>
          <w:sz w:val="18"/>
          <w:szCs w:val="18"/>
        </w:rPr>
        <w:t xml:space="preserve">Data source: </w:t>
      </w:r>
      <w:r>
        <w:rPr>
          <w:sz w:val="18"/>
          <w:szCs w:val="18"/>
        </w:rPr>
        <w:t xml:space="preserve">the SNL database, </w:t>
      </w:r>
      <w:r w:rsidRPr="00B3657A">
        <w:rPr>
          <w:sz w:val="18"/>
          <w:szCs w:val="18"/>
        </w:rPr>
        <w:t xml:space="preserve">the China </w:t>
      </w:r>
      <w:proofErr w:type="gramStart"/>
      <w:r w:rsidRPr="00B3657A">
        <w:rPr>
          <w:sz w:val="18"/>
          <w:szCs w:val="18"/>
        </w:rPr>
        <w:t>Banking</w:t>
      </w:r>
      <w:proofErr w:type="gramEnd"/>
      <w:r w:rsidRPr="00B3657A">
        <w:rPr>
          <w:sz w:val="18"/>
          <w:szCs w:val="18"/>
        </w:rPr>
        <w:t xml:space="preserve"> and Insurance Regulatory Commission (CBIRC) and manual calculation</w:t>
      </w:r>
    </w:p>
    <w:p w14:paraId="41611084" w14:textId="77777777" w:rsidR="000F03AB" w:rsidRPr="003E682F" w:rsidRDefault="000F03AB" w:rsidP="00CB4DB1">
      <w:pPr>
        <w:rPr>
          <w:sz w:val="18"/>
          <w:szCs w:val="18"/>
        </w:rPr>
      </w:pPr>
    </w:p>
    <w:p w14:paraId="0D7EFA92" w14:textId="77777777" w:rsidR="009E73E2" w:rsidRPr="00CB4DB1" w:rsidRDefault="009E73E2" w:rsidP="00CB4DB1"/>
    <w:p w14:paraId="283DBB2A" w14:textId="2C43003D" w:rsidR="00FB5BE1" w:rsidRDefault="00FB5BE1" w:rsidP="008D7E90">
      <w:pPr>
        <w:pStyle w:val="Heading3"/>
        <w:numPr>
          <w:ilvl w:val="0"/>
          <w:numId w:val="2"/>
        </w:numPr>
        <w:rPr>
          <w:rFonts w:ascii="Corbel" w:hAnsi="Corbel"/>
        </w:rPr>
      </w:pPr>
      <w:r w:rsidRPr="00B3657A">
        <w:rPr>
          <w:rFonts w:ascii="Corbel" w:hAnsi="Corbel"/>
        </w:rPr>
        <w:t>Total assets</w:t>
      </w:r>
    </w:p>
    <w:p w14:paraId="216CE127" w14:textId="77777777" w:rsidR="002C4CB6" w:rsidRPr="002C4CB6" w:rsidRDefault="002C4CB6" w:rsidP="002C4CB6"/>
    <w:p w14:paraId="285A2CED" w14:textId="14157375" w:rsidR="00540A0D" w:rsidRDefault="002C4CB6" w:rsidP="00540A0D">
      <w:r>
        <w:object w:dxaOrig="9765" w:dyaOrig="2784" w14:anchorId="4ED75E50">
          <v:shape id="_x0000_i1026" type="#_x0000_t75" style="width:430.65pt;height:129.6pt" o:ole="">
            <v:imagedata r:id="rId15" o:title=""/>
          </v:shape>
          <o:OLEObject Type="Embed" ProgID="Excel.Sheet.12" ShapeID="_x0000_i1026" DrawAspect="Content" ObjectID="_1767565662" r:id="rId16"/>
        </w:object>
      </w:r>
    </w:p>
    <w:p w14:paraId="07D60296" w14:textId="20670BF9" w:rsidR="002C4CB6" w:rsidRDefault="002C4CB6" w:rsidP="002C4CB6">
      <w:pPr>
        <w:jc w:val="center"/>
        <w:rPr>
          <w:sz w:val="18"/>
          <w:szCs w:val="18"/>
        </w:rPr>
      </w:pPr>
      <w:r>
        <w:rPr>
          <w:sz w:val="18"/>
          <w:szCs w:val="18"/>
        </w:rPr>
        <w:t>Table 2-1: Banking Sector Assets Total Shares - Overview</w:t>
      </w:r>
    </w:p>
    <w:p w14:paraId="382DE891" w14:textId="77777777" w:rsidR="002C4CB6" w:rsidRPr="00B3657A" w:rsidRDefault="002C4CB6" w:rsidP="002C4CB6">
      <w:pPr>
        <w:rPr>
          <w:sz w:val="18"/>
          <w:szCs w:val="18"/>
        </w:rPr>
      </w:pPr>
      <w:r w:rsidRPr="00B3657A">
        <w:rPr>
          <w:sz w:val="18"/>
          <w:szCs w:val="18"/>
        </w:rPr>
        <w:t xml:space="preserve">Data source: </w:t>
      </w:r>
      <w:r>
        <w:rPr>
          <w:sz w:val="18"/>
          <w:szCs w:val="18"/>
        </w:rPr>
        <w:t xml:space="preserve">the SNL database, the </w:t>
      </w:r>
      <w:r w:rsidRPr="00B3657A">
        <w:rPr>
          <w:sz w:val="18"/>
          <w:szCs w:val="18"/>
        </w:rPr>
        <w:t>release of the China Banking and Insurance Regulatory Commission (CBIRC) and manual calculation</w:t>
      </w:r>
    </w:p>
    <w:p w14:paraId="15FB090D" w14:textId="5A96FE61" w:rsidR="002C4CB6" w:rsidRDefault="002C4CB6" w:rsidP="00540A0D"/>
    <w:p w14:paraId="6DA9B417" w14:textId="77777777" w:rsidR="002C4CB6" w:rsidRPr="00540A0D" w:rsidRDefault="002C4CB6" w:rsidP="00540A0D"/>
    <w:bookmarkStart w:id="37" w:name="_MON_1767445472"/>
    <w:bookmarkEnd w:id="37"/>
    <w:p w14:paraId="32A4F642" w14:textId="74B1F8BD" w:rsidR="008D7E90" w:rsidRPr="00B3657A" w:rsidRDefault="00B77B77" w:rsidP="00BC02E1">
      <w:r>
        <w:object w:dxaOrig="12976" w:dyaOrig="11295" w14:anchorId="292F86D7">
          <v:shape id="_x0000_i1027" type="#_x0000_t75" style="width:440.55pt;height:467.6pt" o:ole="">
            <v:imagedata r:id="rId17" o:title=""/>
          </v:shape>
          <o:OLEObject Type="Embed" ProgID="Excel.Sheet.12" ShapeID="_x0000_i1027" DrawAspect="Content" ObjectID="_1767565663" r:id="rId18"/>
        </w:object>
      </w:r>
    </w:p>
    <w:p w14:paraId="3A8F52ED" w14:textId="3FD9210F" w:rsidR="00BC02E1" w:rsidRDefault="00BC02E1" w:rsidP="00BC02E1">
      <w:pPr>
        <w:jc w:val="center"/>
        <w:rPr>
          <w:sz w:val="18"/>
          <w:szCs w:val="18"/>
        </w:rPr>
      </w:pPr>
      <w:r>
        <w:rPr>
          <w:sz w:val="18"/>
          <w:szCs w:val="18"/>
        </w:rPr>
        <w:t>Table 2</w:t>
      </w:r>
      <w:r w:rsidR="002C4CB6">
        <w:rPr>
          <w:sz w:val="18"/>
          <w:szCs w:val="18"/>
        </w:rPr>
        <w:t>-2</w:t>
      </w:r>
      <w:r>
        <w:rPr>
          <w:sz w:val="18"/>
          <w:szCs w:val="18"/>
        </w:rPr>
        <w:t>: Banking Sector Assets Total Shares</w:t>
      </w:r>
      <w:r w:rsidR="002C4CB6">
        <w:rPr>
          <w:sz w:val="18"/>
          <w:szCs w:val="18"/>
        </w:rPr>
        <w:t>- Details</w:t>
      </w:r>
    </w:p>
    <w:p w14:paraId="5EC86B3D" w14:textId="24C1D183" w:rsidR="00B3657A" w:rsidRPr="00B3657A" w:rsidRDefault="00B3657A" w:rsidP="008D7E90">
      <w:pPr>
        <w:rPr>
          <w:sz w:val="18"/>
          <w:szCs w:val="18"/>
        </w:rPr>
      </w:pPr>
      <w:r w:rsidRPr="00B3657A">
        <w:rPr>
          <w:sz w:val="18"/>
          <w:szCs w:val="18"/>
        </w:rPr>
        <w:t xml:space="preserve">Data source: </w:t>
      </w:r>
      <w:r w:rsidR="00585CC7">
        <w:rPr>
          <w:sz w:val="18"/>
          <w:szCs w:val="18"/>
        </w:rPr>
        <w:t xml:space="preserve">the SNL database, the </w:t>
      </w:r>
      <w:r w:rsidRPr="00B3657A">
        <w:rPr>
          <w:sz w:val="18"/>
          <w:szCs w:val="18"/>
        </w:rPr>
        <w:t>release of the China Banking and Insurance Regulatory Commission (CBIRC) and manual calculation</w:t>
      </w:r>
    </w:p>
    <w:p w14:paraId="5DE7F4ED" w14:textId="5714CAA1" w:rsidR="00585CC7" w:rsidRPr="00A558EA" w:rsidRDefault="009C4C8A" w:rsidP="000F03AB">
      <w:pPr>
        <w:spacing w:before="120" w:after="120" w:line="288" w:lineRule="auto"/>
      </w:pPr>
      <w:r>
        <w:t>Table</w:t>
      </w:r>
      <w:r w:rsidR="008D7E90" w:rsidRPr="00A558EA">
        <w:t xml:space="preserve"> </w:t>
      </w:r>
      <w:r w:rsidR="00BC02E1" w:rsidRPr="00A558EA">
        <w:t>2</w:t>
      </w:r>
      <w:r w:rsidR="0073312E" w:rsidRPr="00A558EA">
        <w:t xml:space="preserve"> shows the shares of the total assets of </w:t>
      </w:r>
      <w:r w:rsidR="00585CC7" w:rsidRPr="00A558EA">
        <w:t xml:space="preserve">the subsectors (including banks, insurance companies, securities companies, trust companies and special lending companies) </w:t>
      </w:r>
      <w:r w:rsidR="0073312E" w:rsidRPr="00A558EA">
        <w:t>to the total assets of banking sector between 2010-201</w:t>
      </w:r>
      <w:r w:rsidR="00BC02E1" w:rsidRPr="00A558EA">
        <w:t>9</w:t>
      </w:r>
      <w:r w:rsidR="0073312E" w:rsidRPr="00A558EA">
        <w:t>. The sample banks are categorized by their ownership structure</w:t>
      </w:r>
      <w:r w:rsidR="00BC02E1" w:rsidRPr="00A558EA">
        <w:t>s</w:t>
      </w:r>
      <w:r w:rsidR="0073312E" w:rsidRPr="00A558EA">
        <w:t>.</w:t>
      </w:r>
    </w:p>
    <w:p w14:paraId="028D474C" w14:textId="0AD380CF" w:rsidR="00FB5BE1" w:rsidRPr="00A558EA" w:rsidRDefault="009C4C8A" w:rsidP="000F03AB">
      <w:pPr>
        <w:spacing w:before="120" w:after="120" w:line="288" w:lineRule="auto"/>
      </w:pPr>
      <w:bookmarkStart w:id="38" w:name="_Hlk49838561"/>
      <w:r>
        <w:t>T</w:t>
      </w:r>
      <w:r w:rsidR="009D0D86" w:rsidRPr="00A558EA">
        <w:t>he total assets of the whole banking sector (including banking and non-banking financial institutions) and of the banking institutions have been increasing between 2010-201</w:t>
      </w:r>
      <w:r w:rsidR="00BC02E1" w:rsidRPr="00A558EA">
        <w:t>9</w:t>
      </w:r>
      <w:r w:rsidR="009D0D86" w:rsidRPr="00A558EA">
        <w:t xml:space="preserve">. </w:t>
      </w:r>
      <w:bookmarkEnd w:id="38"/>
      <w:r w:rsidR="009D0D86" w:rsidRPr="00A558EA">
        <w:t>The total assets of the whole banking sector amount to RMB 2,</w:t>
      </w:r>
      <w:r w:rsidR="00BC02E1" w:rsidRPr="00A558EA">
        <w:t>825</w:t>
      </w:r>
      <w:r w:rsidR="009D0D86" w:rsidRPr="00A558EA">
        <w:t xml:space="preserve"> trillion (approximate USD </w:t>
      </w:r>
      <w:r w:rsidR="00BC02E1" w:rsidRPr="00A558EA">
        <w:t>403.5</w:t>
      </w:r>
      <w:r w:rsidR="009D0D86" w:rsidRPr="00A558EA">
        <w:t xml:space="preserve"> trillion) at the end of 201</w:t>
      </w:r>
      <w:r w:rsidR="00BC02E1" w:rsidRPr="00A558EA">
        <w:t>9</w:t>
      </w:r>
      <w:r w:rsidR="009D0D86" w:rsidRPr="00A558EA">
        <w:t xml:space="preserve">. </w:t>
      </w:r>
      <w:r>
        <w:t>Table 2</w:t>
      </w:r>
      <w:r w:rsidR="00585CC7" w:rsidRPr="00A558EA">
        <w:t xml:space="preserve"> clearly shows that the banks are the biggest subsector of the banking sector, in terms of the numbers of the institutions and their total assets. It also shows that </w:t>
      </w:r>
      <w:bookmarkStart w:id="39" w:name="_Hlk49838613"/>
      <w:r w:rsidR="00585CC7" w:rsidRPr="00A558EA">
        <w:t xml:space="preserve">the proportion of the total assets of the bank subsector have been </w:t>
      </w:r>
      <w:r w:rsidR="009D0D86" w:rsidRPr="00A558EA">
        <w:t>virtually</w:t>
      </w:r>
      <w:r w:rsidR="00585CC7" w:rsidRPr="00A558EA">
        <w:t xml:space="preserve"> decreasing between 2010 to 201</w:t>
      </w:r>
      <w:r w:rsidR="00BC02E1" w:rsidRPr="00A558EA">
        <w:t>9</w:t>
      </w:r>
      <w:r w:rsidR="00585CC7" w:rsidRPr="00A558EA">
        <w:t xml:space="preserve">, whereas other subsectors being increasing. </w:t>
      </w:r>
      <w:bookmarkEnd w:id="39"/>
      <w:r w:rsidR="009D0D86" w:rsidRPr="00A558EA">
        <w:t>The reason</w:t>
      </w:r>
      <w:r w:rsidR="00BC02E1" w:rsidRPr="00A558EA">
        <w:t>s</w:t>
      </w:r>
      <w:r w:rsidR="009D0D86" w:rsidRPr="00A558EA">
        <w:t xml:space="preserve"> that the shares of the sample banks have been remaining steady or even decreasing in recent three or four years could be the rising of the shares of other financial institutions, including securities firms, insurance companies, FinTech companies </w:t>
      </w:r>
      <w:r w:rsidR="000F03AB" w:rsidRPr="00A558EA">
        <w:t>etc.</w:t>
      </w:r>
      <w:r w:rsidR="009D0D86" w:rsidRPr="00A558EA">
        <w:t>, which also are incorporated into the whole banking sector</w:t>
      </w:r>
      <w:r>
        <w:t xml:space="preserve"> </w:t>
      </w:r>
      <w:r>
        <w:fldChar w:fldCharType="begin"/>
      </w:r>
      <w:r>
        <w:instrText xml:space="preserve"> ADDIN EN.CITE &lt;EndNote&gt;&lt;Cite&gt;&lt;Author&gt;Berger&lt;/Author&gt;&lt;Year&gt;2017&lt;/Year&gt;&lt;RecNum&gt;131&lt;/RecNum&gt;&lt;DisplayText&gt;(Berger et al., 2017)&lt;/DisplayText&gt;&lt;record&gt;&lt;rec-number&gt;131&lt;/rec-number&gt;&lt;foreign-keys&gt;&lt;key app="EN" db-id="tewxv52070srvlesdv5x5srafe0w5fspwe2v" timestamp="1597858995"&gt;131&lt;/key&gt;&lt;/foreign-keys&gt;&lt;ref-type name="Book"&gt;6&lt;/ref-type&gt;&lt;contributors&gt;&lt;authors&gt;&lt;author&gt;Berger, Allen N.&lt;/author&gt;&lt;author&gt;Molyneux, Philip&lt;/author&gt;&lt;author&gt;Wilson, John O. S.&lt;/author&gt;&lt;/authors&gt;&lt;/contributors&gt;&lt;titles&gt;&lt;title&gt;The Oxford handbook of banking&lt;/title&gt;&lt;/titles&gt;&lt;dates&gt;&lt;year&gt;2017&lt;/year&gt;&lt;/dates&gt;&lt;isbn&gt;9780198802891 0198802897 9780199688500 0199688508&lt;/isbn&gt;&lt;urls&gt;&lt;/urls&gt;&lt;remote-database-name&gt;/z-wcorg/&lt;/remote-database-name&gt;&lt;remote-database-provider&gt;http://worldcat.org&lt;/remote-database-provider&gt;&lt;language&gt;English&lt;/language&gt;&lt;/record&gt;&lt;/Cite&gt;&lt;/EndNote&gt;</w:instrText>
      </w:r>
      <w:r>
        <w:fldChar w:fldCharType="separate"/>
      </w:r>
      <w:r>
        <w:rPr>
          <w:noProof/>
        </w:rPr>
        <w:t>(Berger et al., 2017)</w:t>
      </w:r>
      <w:r>
        <w:fldChar w:fldCharType="end"/>
      </w:r>
      <w:r>
        <w:t>.</w:t>
      </w:r>
      <w:r w:rsidR="009D0D86" w:rsidRPr="00A558EA">
        <w:t xml:space="preserve"> </w:t>
      </w:r>
      <w:bookmarkStart w:id="40" w:name="_Hlk49838672"/>
      <w:r w:rsidR="00585CC7" w:rsidRPr="00A558EA">
        <w:t>Th</w:t>
      </w:r>
      <w:r w:rsidR="00B67E5B" w:rsidRPr="00A558EA">
        <w:t>is</w:t>
      </w:r>
      <w:r w:rsidR="00585CC7" w:rsidRPr="00A558EA">
        <w:t xml:space="preserve"> trend </w:t>
      </w:r>
      <w:r w:rsidR="00B67E5B" w:rsidRPr="00A558EA">
        <w:t xml:space="preserve">represents </w:t>
      </w:r>
      <w:r w:rsidR="00482EA5" w:rsidRPr="00A558EA">
        <w:t xml:space="preserve">that </w:t>
      </w:r>
      <w:r w:rsidR="00B67E5B" w:rsidRPr="00A558EA">
        <w:t xml:space="preserve">more financial services and functions have been put into China’s financial service system. </w:t>
      </w:r>
      <w:r w:rsidR="0073312E" w:rsidRPr="00A558EA">
        <w:t xml:space="preserve"> </w:t>
      </w:r>
      <w:bookmarkEnd w:id="40"/>
    </w:p>
    <w:p w14:paraId="36970B3A" w14:textId="3040F4AE" w:rsidR="00196AB3" w:rsidRPr="00A558EA" w:rsidRDefault="00482EA5" w:rsidP="000F03AB">
      <w:pPr>
        <w:spacing w:before="120" w:after="120" w:line="288" w:lineRule="auto"/>
      </w:pPr>
      <w:r w:rsidRPr="00A558EA">
        <w:t xml:space="preserve">From the perspective of ownership structure, the total assets of the state-owned banks, although </w:t>
      </w:r>
      <w:bookmarkStart w:id="41" w:name="_Hlk49838721"/>
      <w:r w:rsidRPr="00A558EA">
        <w:t>there are only 1</w:t>
      </w:r>
      <w:r w:rsidR="00BC02E1" w:rsidRPr="00A558EA">
        <w:t>4</w:t>
      </w:r>
      <w:r w:rsidRPr="00A558EA">
        <w:t xml:space="preserve"> of them out of total 23</w:t>
      </w:r>
      <w:r w:rsidR="00BC02E1" w:rsidRPr="00A558EA">
        <w:t>1</w:t>
      </w:r>
      <w:r w:rsidRPr="00A558EA">
        <w:t xml:space="preserve"> banks, account for over 50% of the total assets of the subsector. This means that the state-owned, big banks dominate the subsector. </w:t>
      </w:r>
      <w:bookmarkEnd w:id="41"/>
      <w:r w:rsidRPr="00A558EA">
        <w:t xml:space="preserve">However, it is not the case in other subsectors. The state-owned insurance companies account for </w:t>
      </w:r>
      <w:r w:rsidR="00196AB3" w:rsidRPr="00A558EA">
        <w:t xml:space="preserve">over 70% of total assets of the subsector and over 50% of total number of the institutions, which might be considered roughly proportionate. In the subsectors of securities companies and trust companies, the total assets of the state-owned institutions do not outnumber other ownership structures. </w:t>
      </w:r>
    </w:p>
    <w:p w14:paraId="6C101C76" w14:textId="7CEA864D" w:rsidR="007463D2" w:rsidRPr="00A558EA" w:rsidRDefault="009C4C8A" w:rsidP="000F03AB">
      <w:pPr>
        <w:spacing w:before="120" w:after="120" w:line="288" w:lineRule="auto"/>
      </w:pPr>
      <w:r>
        <w:t>Table 2</w:t>
      </w:r>
      <w:r w:rsidR="00196AB3" w:rsidRPr="00A558EA">
        <w:t xml:space="preserve"> also demonstrates the </w:t>
      </w:r>
      <w:r w:rsidR="00DD799C" w:rsidRPr="00A558EA">
        <w:t xml:space="preserve">change of the total assets </w:t>
      </w:r>
      <w:r w:rsidR="000F03AB">
        <w:t>about</w:t>
      </w:r>
      <w:r w:rsidR="00DD799C" w:rsidRPr="00A558EA">
        <w:t xml:space="preserve"> different ownership structures. </w:t>
      </w:r>
      <w:bookmarkStart w:id="42" w:name="_Hlk49838753"/>
      <w:r w:rsidR="00DD799C" w:rsidRPr="00A558EA">
        <w:t xml:space="preserve">The total assets of the state-owned banks show the absolute decrease pattern </w:t>
      </w:r>
      <w:bookmarkEnd w:id="42"/>
      <w:r w:rsidR="00DD799C" w:rsidRPr="00A558EA">
        <w:t xml:space="preserve">(from </w:t>
      </w:r>
      <w:r w:rsidR="00BC02E1" w:rsidRPr="00A558EA">
        <w:t>67.18</w:t>
      </w:r>
      <w:r w:rsidR="00DD799C" w:rsidRPr="00A558EA">
        <w:t xml:space="preserve">% to </w:t>
      </w:r>
      <w:r w:rsidR="00DD799C" w:rsidRPr="00941CB8">
        <w:t>5</w:t>
      </w:r>
      <w:r w:rsidR="00BC02E1" w:rsidRPr="00941CB8">
        <w:t>1.99</w:t>
      </w:r>
      <w:r w:rsidR="00DD799C" w:rsidRPr="00941CB8">
        <w:t xml:space="preserve">%); in other subsectors, due to their overall increase in the total assets, the state-owned institutions in those subsectors exhibit a relative </w:t>
      </w:r>
      <w:proofErr w:type="gramStart"/>
      <w:r w:rsidR="00DD799C" w:rsidRPr="00941CB8">
        <w:t>decrease</w:t>
      </w:r>
      <w:proofErr w:type="gramEnd"/>
      <w:r w:rsidR="00DD799C" w:rsidRPr="00941CB8">
        <w:t xml:space="preserve"> tendency.</w:t>
      </w:r>
      <w:r w:rsidR="007C7287" w:rsidRPr="00941CB8">
        <w:t xml:space="preserve"> </w:t>
      </w:r>
      <w:bookmarkStart w:id="43" w:name="_Hlk49838780"/>
      <w:r w:rsidR="007C7287" w:rsidRPr="00941CB8">
        <w:t xml:space="preserve">The same descending tendency can be found in </w:t>
      </w:r>
      <w:r w:rsidR="007C7287" w:rsidRPr="00941CB8">
        <w:fldChar w:fldCharType="begin"/>
      </w:r>
      <w:r w:rsidR="00464703" w:rsidRPr="00941CB8">
        <w:instrText xml:space="preserve"> ADDIN EN.CITE &lt;EndNote&gt;&lt;Cite AuthorYear="1"&gt;&lt;Author&gt;Hsiao&lt;/Author&gt;&lt;Year&gt;2015&lt;/Year&gt;&lt;RecNum&gt;136&lt;/RecNum&gt;&lt;DisplayText&gt;Hsiao et al. (2015)&lt;/DisplayText&gt;&lt;record&gt;&lt;rec-number&gt;136&lt;/rec-number&gt;&lt;foreign-keys&gt;&lt;key app="EN" db-id="tewxv52070srvlesdv5x5srafe0w5fspwe2v" timestamp="1598118637"&gt;136&lt;/key&gt;&lt;/foreign-keys&gt;&lt;ref-type name="Journal Article"&gt;17&lt;/ref-type&gt;&lt;contributors&gt;&lt;authors&gt;&lt;author&gt;Hsiao, Cheng&lt;/author&gt;&lt;author&gt;Shen, Yan&lt;/author&gt;&lt;author&gt;Bian, Wenlong&lt;/author&gt;&lt;/authors&gt;&lt;/contributors&gt;&lt;titles&gt;&lt;title&gt;Evaluating the effectiveness of China&amp;apos;s financial reform—The efficiency of China&amp;apos;s domestic banks&lt;/title&gt;&lt;secondary-title&gt;China Economic Review&lt;/secondary-title&gt;&lt;/titles&gt;&lt;periodical&gt;&lt;full-title&gt;China Economic Review&lt;/full-title&gt;&lt;/periodical&gt;&lt;pages&gt;70-82&lt;/pages&gt;&lt;volume&gt;35&lt;/volume&gt;&lt;keywords&gt;&lt;keyword&gt;Financial reform&lt;/keyword&gt;&lt;keyword&gt;Efficiency&lt;/keyword&gt;&lt;keyword&gt;Stochastic frontier analysis&lt;/keyword&gt;&lt;/keywords&gt;&lt;dates&gt;&lt;year&gt;2015&lt;/year&gt;&lt;pub-dates&gt;&lt;date&gt;2015/09/01/&lt;/date&gt;&lt;/pub-dates&gt;&lt;/dates&gt;&lt;isbn&gt;1043-951X&lt;/isbn&gt;&lt;urls&gt;&lt;related-urls&gt;&lt;url&gt;http://www.sciencedirect.com/science/article/pii/S1043951X15000644&lt;/url&gt;&lt;/related-urls&gt;&lt;/urls&gt;&lt;electronic-resource-num&gt;https://doi.org/10.1016/j.chieco.2015.05.006&lt;/electronic-resource-num&gt;&lt;/record&gt;&lt;/Cite&gt;&lt;/EndNote&gt;</w:instrText>
      </w:r>
      <w:r w:rsidR="007C7287" w:rsidRPr="00941CB8">
        <w:fldChar w:fldCharType="separate"/>
      </w:r>
      <w:r w:rsidR="007C7287" w:rsidRPr="00941CB8">
        <w:rPr>
          <w:noProof/>
        </w:rPr>
        <w:t>Hsiao et al. (2015)</w:t>
      </w:r>
      <w:r w:rsidR="007C7287" w:rsidRPr="00941CB8">
        <w:fldChar w:fldCharType="end"/>
      </w:r>
      <w:r w:rsidR="007C7287" w:rsidRPr="00941CB8">
        <w:t xml:space="preserve"> </w:t>
      </w:r>
      <w:bookmarkEnd w:id="43"/>
      <w:r w:rsidR="007C7287" w:rsidRPr="00941CB8">
        <w:t xml:space="preserve">where </w:t>
      </w:r>
      <w:r w:rsidR="009D3DC7" w:rsidRPr="00941CB8">
        <w:t xml:space="preserve">the share of total assets of the biggest five banks (the state-owned banks) decreased from 61.83% to 52.76% during 2007-2012; and the joint-stock banks increased gradually. </w:t>
      </w:r>
      <w:r w:rsidR="00DD799C" w:rsidRPr="00941CB8">
        <w:t>Other ownership structures, especially local-government holding, joint-stock and foreign joint-stock, all reveal an obvious increase trend</w:t>
      </w:r>
      <w:r w:rsidR="00846229" w:rsidRPr="00941CB8">
        <w:t>. F</w:t>
      </w:r>
      <w:r w:rsidR="00DD799C" w:rsidRPr="00941CB8">
        <w:t xml:space="preserve">or example, </w:t>
      </w:r>
      <w:r w:rsidR="00846229" w:rsidRPr="00941CB8">
        <w:t>the total assets of the joint-stock insurance companies have leaped from 0.45% in 2010 to 1.</w:t>
      </w:r>
      <w:r w:rsidR="00BC02E1" w:rsidRPr="00941CB8">
        <w:t>7</w:t>
      </w:r>
      <w:r w:rsidR="00846229" w:rsidRPr="00941CB8">
        <w:t xml:space="preserve">% </w:t>
      </w:r>
      <w:r w:rsidR="00846229" w:rsidRPr="00A558EA">
        <w:t>in 201</w:t>
      </w:r>
      <w:r w:rsidR="00BC02E1" w:rsidRPr="00A558EA">
        <w:t>9</w:t>
      </w:r>
      <w:r w:rsidR="00846229" w:rsidRPr="00A558EA">
        <w:t>.</w:t>
      </w:r>
      <w:r w:rsidR="007C7287">
        <w:t xml:space="preserve"> </w:t>
      </w:r>
    </w:p>
    <w:p w14:paraId="06717695" w14:textId="0E978894" w:rsidR="00F73609" w:rsidRPr="00A558EA" w:rsidRDefault="00846229" w:rsidP="000F03AB">
      <w:pPr>
        <w:spacing w:before="120" w:after="120" w:line="288" w:lineRule="auto"/>
      </w:pPr>
      <w:r w:rsidRPr="00A558EA">
        <w:t xml:space="preserve">In the subsector of banks, apart from the clear decrease </w:t>
      </w:r>
      <w:proofErr w:type="gramStart"/>
      <w:r w:rsidRPr="00A558EA">
        <w:t>of</w:t>
      </w:r>
      <w:proofErr w:type="gramEnd"/>
      <w:r w:rsidRPr="00A558EA">
        <w:t xml:space="preserve"> the portion of </w:t>
      </w:r>
      <w:r w:rsidR="007463D2" w:rsidRPr="00A558EA">
        <w:t xml:space="preserve">the state-owned, </w:t>
      </w:r>
      <w:r w:rsidRPr="00A558EA">
        <w:t xml:space="preserve">the total assets of </w:t>
      </w:r>
      <w:r w:rsidR="00DD799C" w:rsidRPr="00A558EA">
        <w:t xml:space="preserve">the joint-stock </w:t>
      </w:r>
      <w:r w:rsidR="009C4C8A">
        <w:t>and</w:t>
      </w:r>
      <w:r w:rsidRPr="00A558EA">
        <w:t xml:space="preserve"> </w:t>
      </w:r>
      <w:r w:rsidR="009C4C8A">
        <w:t>t</w:t>
      </w:r>
      <w:r w:rsidRPr="00A558EA">
        <w:t xml:space="preserve">he local-government holding banks </w:t>
      </w:r>
      <w:r w:rsidR="009C4C8A">
        <w:t xml:space="preserve">increased. </w:t>
      </w:r>
      <w:r w:rsidR="000536B3" w:rsidRPr="00A558EA">
        <w:t xml:space="preserve">Another type of ownership structure – foreign joint-stock banks show similar tendency to the local-government holding banks, with the share going up from </w:t>
      </w:r>
      <w:proofErr w:type="gramStart"/>
      <w:r w:rsidR="00F73609" w:rsidRPr="00A558EA">
        <w:t>3.26%</w:t>
      </w:r>
      <w:r w:rsidR="00A955F6" w:rsidRPr="00A558EA">
        <w:t>%</w:t>
      </w:r>
      <w:proofErr w:type="gramEnd"/>
      <w:r w:rsidR="000536B3" w:rsidRPr="00A558EA">
        <w:t xml:space="preserve"> in 2010 to </w:t>
      </w:r>
      <w:r w:rsidR="00F73609" w:rsidRPr="00A558EA">
        <w:t>4.27</w:t>
      </w:r>
      <w:r w:rsidR="00A955F6" w:rsidRPr="00A558EA">
        <w:t>%</w:t>
      </w:r>
      <w:r w:rsidR="000536B3" w:rsidRPr="00A558EA">
        <w:t xml:space="preserve"> in 2015 and remaining steady</w:t>
      </w:r>
      <w:r w:rsidR="0078124D" w:rsidRPr="00A558EA">
        <w:t xml:space="preserve"> since then. However, the foreign-owned banks’ share has slightly dropped from 1</w:t>
      </w:r>
      <w:r w:rsidR="00A955F6" w:rsidRPr="00A558EA">
        <w:t>.</w:t>
      </w:r>
      <w:r w:rsidR="00F73609" w:rsidRPr="00A558EA">
        <w:t>38</w:t>
      </w:r>
      <w:r w:rsidR="00A955F6" w:rsidRPr="00A558EA">
        <w:t>%</w:t>
      </w:r>
      <w:r w:rsidR="0078124D" w:rsidRPr="00A558EA">
        <w:t xml:space="preserve"> in 2010 to </w:t>
      </w:r>
      <w:proofErr w:type="gramStart"/>
      <w:r w:rsidR="00F73609" w:rsidRPr="00A558EA">
        <w:t>0.92%</w:t>
      </w:r>
      <w:r w:rsidR="00A955F6" w:rsidRPr="00A558EA">
        <w:t>%</w:t>
      </w:r>
      <w:proofErr w:type="gramEnd"/>
      <w:r w:rsidR="0078124D" w:rsidRPr="00A558EA">
        <w:t xml:space="preserve"> in 201</w:t>
      </w:r>
      <w:r w:rsidR="00F73609" w:rsidRPr="00A558EA">
        <w:t>9</w:t>
      </w:r>
      <w:r w:rsidR="0078124D" w:rsidRPr="00A558EA">
        <w:t xml:space="preserve">. </w:t>
      </w:r>
      <w:r w:rsidR="00F73609" w:rsidRPr="00A558EA">
        <w:t xml:space="preserve">The reasons behind the patterns exhibited in </w:t>
      </w:r>
      <w:r w:rsidR="009C4C8A">
        <w:t>Table 2</w:t>
      </w:r>
      <w:r w:rsidR="00F73609" w:rsidRPr="00A558EA">
        <w:t xml:space="preserve"> might be closely related to a series of strategies of Chinese government and the regulatory authorities after China’s accession to the WTO in 2001</w:t>
      </w:r>
      <w:r w:rsidR="009C4C8A">
        <w:t xml:space="preserve"> such as</w:t>
      </w:r>
      <w:r w:rsidR="007277B7">
        <w:t xml:space="preserve"> regulations concerning the diversifying the shareholders of commercial banks. </w:t>
      </w:r>
      <w:r w:rsidR="00F73609" w:rsidRPr="00A558EA">
        <w:t xml:space="preserve">    </w:t>
      </w:r>
    </w:p>
    <w:p w14:paraId="5D393D9E" w14:textId="331414BA" w:rsidR="00780C9E" w:rsidRPr="00A558EA" w:rsidRDefault="00780C9E" w:rsidP="000F03AB">
      <w:pPr>
        <w:pStyle w:val="Heading3"/>
        <w:numPr>
          <w:ilvl w:val="0"/>
          <w:numId w:val="2"/>
        </w:numPr>
        <w:spacing w:before="120" w:after="120" w:line="288" w:lineRule="auto"/>
        <w:rPr>
          <w:rFonts w:ascii="Corbel" w:hAnsi="Corbel"/>
        </w:rPr>
      </w:pPr>
      <w:r w:rsidRPr="00A558EA">
        <w:rPr>
          <w:rFonts w:ascii="Corbel" w:hAnsi="Corbel"/>
        </w:rPr>
        <w:t>Financial Ratios of CAMEL</w:t>
      </w:r>
      <w:r w:rsidR="00F578C6" w:rsidRPr="00A558EA">
        <w:rPr>
          <w:rFonts w:ascii="Corbel" w:hAnsi="Corbel"/>
        </w:rPr>
        <w:t>S</w:t>
      </w:r>
      <w:r w:rsidRPr="00A558EA">
        <w:rPr>
          <w:rFonts w:ascii="Corbel" w:hAnsi="Corbel"/>
        </w:rPr>
        <w:t xml:space="preserve"> rating system</w:t>
      </w:r>
    </w:p>
    <w:p w14:paraId="37ABDB74" w14:textId="0C744C6E" w:rsidR="00780C9E" w:rsidRPr="00A558EA" w:rsidRDefault="00F578C6" w:rsidP="000F03AB">
      <w:pPr>
        <w:spacing w:before="120" w:after="120" w:line="288" w:lineRule="auto"/>
      </w:pPr>
      <w:r w:rsidRPr="00A558EA">
        <w:t xml:space="preserve">Following the ratio classification used by the CAMELS rating system, we </w:t>
      </w:r>
      <w:proofErr w:type="gramStart"/>
      <w:r w:rsidRPr="00A558EA">
        <w:t>analyze</w:t>
      </w:r>
      <w:proofErr w:type="gramEnd"/>
      <w:r w:rsidRPr="00A558EA">
        <w:t xml:space="preserve"> the financial ratios of 233 sample banks, in terms of their ownership structures and the bank types.  CAMELS rating system is the common name for the Uniform Financial Institutions Rating System (UFIRS)</w:t>
      </w:r>
      <w:r w:rsidR="001602FB" w:rsidRPr="00A558EA">
        <w:t xml:space="preserve"> which was first adopted by the Federal Reserve U.S. in 1979 as </w:t>
      </w:r>
      <w:r w:rsidR="009837F8" w:rsidRPr="00A558EA">
        <w:t>a methodology</w:t>
      </w:r>
      <w:r w:rsidR="001602FB" w:rsidRPr="00A558EA">
        <w:t xml:space="preserve"> to evaluate the soundness and safety of depository institutions. </w:t>
      </w:r>
      <w:bookmarkStart w:id="44" w:name="_Hlk62608318"/>
      <w:r w:rsidR="001602FB" w:rsidRPr="00A558EA">
        <w:t>The ‘CAMELS’ is an acronym of the six assessment components: Capital adequacy, Asset quality, Management, Earnings, Liquidity and Sensitivity to Market Risk.</w:t>
      </w:r>
      <w:bookmarkEnd w:id="44"/>
      <w:r w:rsidR="001602FB" w:rsidRPr="00A558EA">
        <w:t xml:space="preserve"> The Sensitivity to Market Risk was added into the UFIRS in 1996 as an evaluation component.</w:t>
      </w:r>
      <w:r w:rsidR="001602FB" w:rsidRPr="00A558EA">
        <w:rPr>
          <w:rStyle w:val="FootnoteReference"/>
        </w:rPr>
        <w:footnoteReference w:id="58"/>
      </w:r>
      <w:r w:rsidR="001602FB" w:rsidRPr="00A558EA">
        <w:t xml:space="preserve"> In this sector, we use the CAMEL ratios to assess the safety and soundness of the sample banks on the ground that the Sensitivity component requires market data which are not available for those non-listed banks.  </w:t>
      </w:r>
      <w:r w:rsidR="000D011C" w:rsidRPr="00A558EA">
        <w:t>Due to</w:t>
      </w:r>
      <w:r w:rsidR="007277B7">
        <w:t xml:space="preserve"> the fact</w:t>
      </w:r>
      <w:r w:rsidR="000D011C" w:rsidRPr="00A558EA">
        <w:t xml:space="preserve"> that the CAMELS rating system guidance only gives the principle guidelines of the above assessment factors instead of the exact financial ratios, </w:t>
      </w:r>
      <w:bookmarkStart w:id="46" w:name="_Hlk49838877"/>
      <w:r w:rsidR="000D011C" w:rsidRPr="00A558EA">
        <w:t xml:space="preserve">we take the following financial ratios as the factors </w:t>
      </w:r>
      <w:r w:rsidR="007277B7">
        <w:t xml:space="preserve">for </w:t>
      </w:r>
      <w:r w:rsidR="000D011C" w:rsidRPr="00A558EA">
        <w:t xml:space="preserve">evaluating the safety and soundness of the sample banks, by reference to the relevant literature such as </w:t>
      </w:r>
      <w:r w:rsidR="000D011C" w:rsidRPr="00A558EA">
        <w:fldChar w:fldCharType="begin"/>
      </w:r>
      <w:r w:rsidR="00451FE1" w:rsidRPr="00A558EA">
        <w:instrText xml:space="preserve"> ADDIN EN.CITE &lt;EndNote&gt;&lt;Cite AuthorYear="1"&gt;&lt;Author&gt;Gunther&lt;/Author&gt;&lt;Year&gt;2003&lt;/Year&gt;&lt;RecNum&gt;61&lt;/RecNum&gt;&lt;DisplayText&gt;Gunther and Moore (2003)&lt;/DisplayText&gt;&lt;record&gt;&lt;rec-number&gt;61&lt;/rec-number&gt;&lt;foreign-keys&gt;&lt;key app="EN" db-id="xze9dwva9zzvfwe9p0vpz55lp5dr9e9zd955" timestamp="1595172683"&gt;61&lt;/key&gt;&lt;/foreign-keys&gt;&lt;ref-type name="Journal Article"&gt;17&lt;/ref-type&gt;&lt;contributors&gt;&lt;authors&gt;&lt;author&gt;Gunther, Jeffery W.&lt;/author&gt;&lt;author&gt;Moore, Robert R.&lt;/author&gt;&lt;/authors&gt;&lt;/contributors&gt;&lt;titles&gt;&lt;title&gt;Early warning models in real time&lt;/title&gt;&lt;secondary-title&gt;Journal of Banking &amp;amp; Finance&lt;/secondary-title&gt;&lt;/titles&gt;&lt;periodical&gt;&lt;full-title&gt;Journal of Banking &amp;amp; Finance&lt;/full-title&gt;&lt;/periodical&gt;&lt;pages&gt;1979-2001&lt;/pages&gt;&lt;volume&gt;27&lt;/volume&gt;&lt;number&gt;10&lt;/number&gt;&lt;keywords&gt;&lt;keyword&gt;Early warning models&lt;/keyword&gt;&lt;keyword&gt;Bank exams&lt;/keyword&gt;&lt;keyword&gt;Auditing&lt;/keyword&gt;&lt;/keywords&gt;&lt;dates&gt;&lt;year&gt;2003&lt;/year&gt;&lt;pub-dates&gt;&lt;date&gt;2003/10/01/&lt;/date&gt;&lt;/pub-dates&gt;&lt;/dates&gt;&lt;isbn&gt;0378-4266&lt;/isbn&gt;&lt;urls&gt;&lt;related-urls&gt;&lt;url&gt;http://www.sciencedirect.com/science/article/pii/S037842660200314X&lt;/url&gt;&lt;/related-urls&gt;&lt;/urls&gt;&lt;electronic-resource-num&gt;https://doi.org/10.1016/S0378-4266(02)00314-X&lt;/electronic-resource-num&gt;&lt;/record&gt;&lt;/Cite&gt;&lt;/EndNote&gt;</w:instrText>
      </w:r>
      <w:r w:rsidR="000D011C" w:rsidRPr="00A558EA">
        <w:fldChar w:fldCharType="separate"/>
      </w:r>
      <w:r w:rsidR="00451FE1" w:rsidRPr="00A558EA">
        <w:rPr>
          <w:noProof/>
        </w:rPr>
        <w:t>Gunther and Moore (2003)</w:t>
      </w:r>
      <w:r w:rsidR="000D011C" w:rsidRPr="00A558EA">
        <w:fldChar w:fldCharType="end"/>
      </w:r>
      <w:r w:rsidR="00451FE1" w:rsidRPr="00A558EA">
        <w:t xml:space="preserve">, </w:t>
      </w:r>
      <w:r w:rsidR="00451FE1" w:rsidRPr="00A558EA">
        <w:fldChar w:fldCharType="begin"/>
      </w:r>
      <w:r w:rsidR="00451FE1" w:rsidRPr="00A558EA">
        <w:instrText xml:space="preserve"> ADDIN EN.CITE &lt;EndNote&gt;&lt;Cite AuthorYear="1"&gt;&lt;Author&gt;Arena&lt;/Author&gt;&lt;Year&gt;2008&lt;/Year&gt;&lt;RecNum&gt;62&lt;/RecNum&gt;&lt;DisplayText&gt;Arena (2008)&lt;/DisplayText&gt;&lt;record&gt;&lt;rec-number&gt;62&lt;/rec-number&gt;&lt;foreign-keys&gt;&lt;key app="EN" db-id="xze9dwva9zzvfwe9p0vpz55lp5dr9e9zd955" timestamp="1595172857"&gt;62&lt;/key&gt;&lt;/foreign-keys&gt;&lt;ref-type name="Journal Article"&gt;17&lt;/ref-type&gt;&lt;contributors&gt;&lt;authors&gt;&lt;author&gt;Arena, Marco&lt;/author&gt;&lt;/authors&gt;&lt;/contributors&gt;&lt;titles&gt;&lt;title&gt;Bank failures and bank fundamentals: A comparative analysis of Latin America and East Asia during the nineties using bank-level data&lt;/title&gt;&lt;secondary-title&gt;Journal of Banking &amp;amp; Finance&lt;/secondary-title&gt;&lt;/titles&gt;&lt;periodical&gt;&lt;full-title&gt;Journal of Banking &amp;amp; Finance&lt;/full-title&gt;&lt;/periodical&gt;&lt;pages&gt;299-310&lt;/pages&gt;&lt;volume&gt;32&lt;/volume&gt;&lt;number&gt;2&lt;/number&gt;&lt;keywords&gt;&lt;keyword&gt;Bank failures&lt;/keyword&gt;&lt;keyword&gt;Bank fundamentals&lt;/keyword&gt;&lt;keyword&gt;Banking sector resilience&lt;/keyword&gt;&lt;/keywords&gt;&lt;dates&gt;&lt;year&gt;2008&lt;/year&gt;&lt;pub-dates&gt;&lt;date&gt;2008/02/01/&lt;/date&gt;&lt;/pub-dates&gt;&lt;/dates&gt;&lt;isbn&gt;0378-4266&lt;/isbn&gt;&lt;urls&gt;&lt;related-urls&gt;&lt;url&gt;http://www.sciencedirect.com/science/article/pii/S0378426607001847&lt;/url&gt;&lt;/related-urls&gt;&lt;/urls&gt;&lt;electronic-resource-num&gt;https://doi.org/10.1016/j.jbankfin.2007.03.011&lt;/electronic-resource-num&gt;&lt;/record&gt;&lt;/Cite&gt;&lt;/EndNote&gt;</w:instrText>
      </w:r>
      <w:r w:rsidR="00451FE1" w:rsidRPr="00A558EA">
        <w:fldChar w:fldCharType="separate"/>
      </w:r>
      <w:r w:rsidR="00451FE1" w:rsidRPr="00A558EA">
        <w:rPr>
          <w:noProof/>
        </w:rPr>
        <w:t>Arena (2008)</w:t>
      </w:r>
      <w:r w:rsidR="00451FE1" w:rsidRPr="00A558EA">
        <w:fldChar w:fldCharType="end"/>
      </w:r>
      <w:r w:rsidR="00451FE1" w:rsidRPr="00A558EA">
        <w:t xml:space="preserve">, and </w:t>
      </w:r>
      <w:r w:rsidR="00451FE1" w:rsidRPr="00A558EA">
        <w:fldChar w:fldCharType="begin"/>
      </w:r>
      <w:r w:rsidR="00BD60A0">
        <w:instrText xml:space="preserve"> ADDIN EN.CITE &lt;EndNote&gt;&lt;Cite AuthorYear="1"&gt;&lt;Author&gt;Bitar&lt;/Author&gt;&lt;Year&gt;2018&lt;/Year&gt;&lt;RecNum&gt;126&lt;/RecNum&gt;&lt;DisplayText&gt;Bitar et al. (2018)&lt;/DisplayText&gt;&lt;record&gt;&lt;rec-number&gt;126&lt;/rec-number&gt;&lt;foreign-keys&gt;&lt;key app="EN" db-id="tewxv52070srvlesdv5x5srafe0w5fspwe2v" timestamp="1596126108"&gt;126&lt;/key&gt;&lt;/foreign-keys&gt;&lt;ref-type name="Journal Article"&gt;17&lt;/ref-type&gt;&lt;contributors&gt;&lt;authors&gt;&lt;author&gt;Bitar, Mohammad&lt;/author&gt;&lt;author&gt;Pukthuanthong, Kuntara&lt;/author&gt;&lt;author&gt;Walker, Thomas&lt;/author&gt;&lt;/authors&gt;&lt;/contributors&gt;&lt;titles&gt;&lt;title&gt;The effect of capital ratios on the risk, efficiency and profitability of banks: Evidence from OECD countries&lt;/title&gt;&lt;secondary-title&gt;Journal of International Financial Markets, Institutions and Money&lt;/secondary-title&gt;&lt;/titles&gt;&lt;periodical&gt;&lt;full-title&gt;Journal of International Financial Markets, Institutions and Money&lt;/full-title&gt;&lt;/periodical&gt;&lt;pages&gt;227-262&lt;/pages&gt;&lt;volume&gt;53&lt;/volume&gt;&lt;keywords&gt;&lt;keyword&gt;Bank capital&lt;/keyword&gt;&lt;keyword&gt;Basel capital&lt;/keyword&gt;&lt;keyword&gt;Risk&lt;/keyword&gt;&lt;keyword&gt;Efficiency&lt;/keyword&gt;&lt;keyword&gt;Profitability&lt;/keyword&gt;&lt;keyword&gt;Principal component analysis&lt;/keyword&gt;&lt;keyword&gt;Quantile regressions&lt;/keyword&gt;&lt;/keywords&gt;&lt;dates&gt;&lt;year&gt;2018&lt;/year&gt;&lt;pub-dates&gt;&lt;date&gt;2018/03/01/&lt;/date&gt;&lt;/pub-dates&gt;&lt;/dates&gt;&lt;isbn&gt;1042-4431&lt;/isbn&gt;&lt;urls&gt;&lt;related-urls&gt;&lt;url&gt;http://www.sciencedirect.com/science/article/pii/S104244311730598X&lt;/url&gt;&lt;/related-urls&gt;&lt;/urls&gt;&lt;electronic-resource-num&gt;https://doi.org/10.1016/j.intfin.2017.12.002&lt;/electronic-resource-num&gt;&lt;/record&gt;&lt;/Cite&gt;&lt;/EndNote&gt;</w:instrText>
      </w:r>
      <w:r w:rsidR="00451FE1" w:rsidRPr="00A558EA">
        <w:fldChar w:fldCharType="separate"/>
      </w:r>
      <w:r w:rsidR="00451FE1" w:rsidRPr="00A558EA">
        <w:rPr>
          <w:noProof/>
        </w:rPr>
        <w:t>Bitar et al. (2018)</w:t>
      </w:r>
      <w:r w:rsidR="00451FE1" w:rsidRPr="00A558EA">
        <w:fldChar w:fldCharType="end"/>
      </w:r>
      <w:bookmarkEnd w:id="46"/>
      <w:r w:rsidR="00451FE1" w:rsidRPr="00A558EA">
        <w:t xml:space="preserve">. </w:t>
      </w:r>
      <w:r w:rsidR="007C4800" w:rsidRPr="00A558EA">
        <w:t xml:space="preserve">Variable definitions and the definition source are listed in </w:t>
      </w:r>
      <w:r w:rsidR="00EC5796">
        <w:t>a</w:t>
      </w:r>
      <w:r w:rsidR="007C4800" w:rsidRPr="00A558EA">
        <w:t xml:space="preserve">ppendix </w:t>
      </w:r>
      <w:r w:rsidR="00EC5796">
        <w:t>4</w:t>
      </w:r>
      <w:r w:rsidR="007C4800" w:rsidRPr="00A558EA">
        <w:t xml:space="preserve">. </w:t>
      </w:r>
    </w:p>
    <w:p w14:paraId="0B25FDEB" w14:textId="6E38CA9E" w:rsidR="00381719" w:rsidRPr="00A558EA" w:rsidRDefault="00381719" w:rsidP="000F03AB">
      <w:pPr>
        <w:pStyle w:val="Heading4"/>
        <w:spacing w:before="120" w:after="120" w:line="288" w:lineRule="auto"/>
        <w:rPr>
          <w:rFonts w:ascii="Corbel" w:hAnsi="Corbel"/>
        </w:rPr>
      </w:pPr>
      <w:r w:rsidRPr="00A558EA">
        <w:rPr>
          <w:rFonts w:ascii="Corbel" w:hAnsi="Corbel"/>
        </w:rPr>
        <w:t>Peer Group: Ownership Structure</w:t>
      </w:r>
      <w:r w:rsidR="000D011C" w:rsidRPr="00A558EA">
        <w:rPr>
          <w:rFonts w:ascii="Corbel" w:hAnsi="Corbel"/>
        </w:rPr>
        <w:t>s</w:t>
      </w:r>
    </w:p>
    <w:p w14:paraId="45CD887F" w14:textId="2635DDD7" w:rsidR="00C37699" w:rsidRPr="00A558EA" w:rsidRDefault="00C37699" w:rsidP="000F03AB">
      <w:pPr>
        <w:pStyle w:val="Heading4"/>
        <w:spacing w:before="120" w:after="120" w:line="288" w:lineRule="auto"/>
        <w:rPr>
          <w:rFonts w:ascii="Corbel" w:hAnsi="Corbel"/>
          <w:u w:val="single"/>
        </w:rPr>
      </w:pPr>
      <w:r w:rsidRPr="00A558EA">
        <w:rPr>
          <w:rFonts w:ascii="Corbel" w:hAnsi="Corbel"/>
          <w:u w:val="single"/>
        </w:rPr>
        <w:t>CAMEL Ratios</w:t>
      </w:r>
      <w:r w:rsidR="009D3DC7">
        <w:rPr>
          <w:rFonts w:ascii="Corbel" w:hAnsi="Corbel"/>
          <w:u w:val="single"/>
        </w:rPr>
        <w:t xml:space="preserve"> of Commercial banks</w:t>
      </w:r>
      <w:r w:rsidRPr="00A558EA">
        <w:rPr>
          <w:rFonts w:ascii="Corbel" w:hAnsi="Corbel"/>
          <w:u w:val="single"/>
        </w:rPr>
        <w:t xml:space="preserve"> – Capital Adequacy</w:t>
      </w:r>
    </w:p>
    <w:bookmarkStart w:id="47" w:name="_MON_1767524412"/>
    <w:bookmarkEnd w:id="47"/>
    <w:p w14:paraId="135C810B" w14:textId="16A718A0" w:rsidR="00451FE1" w:rsidRDefault="006C4F8C" w:rsidP="00451FE1">
      <w:r>
        <w:object w:dxaOrig="10662" w:dyaOrig="1975" w14:anchorId="45E09732">
          <v:shape id="_x0000_i1028" type="#_x0000_t75" style="width:536.85pt;height:139.95pt" o:ole="">
            <v:imagedata r:id="rId19" o:title=""/>
          </v:shape>
          <o:OLEObject Type="Embed" ProgID="Excel.Sheet.12" ShapeID="_x0000_i1028" DrawAspect="Content" ObjectID="_1767565664" r:id="rId20"/>
        </w:object>
      </w:r>
    </w:p>
    <w:p w14:paraId="6656920C" w14:textId="4E69F356" w:rsidR="00D32876" w:rsidRPr="00A558EA" w:rsidRDefault="00D32876" w:rsidP="000F03AB">
      <w:pPr>
        <w:spacing w:after="0" w:line="288" w:lineRule="auto"/>
        <w:jc w:val="center"/>
        <w:rPr>
          <w:sz w:val="18"/>
          <w:szCs w:val="18"/>
        </w:rPr>
      </w:pPr>
      <w:r w:rsidRPr="00A558EA">
        <w:rPr>
          <w:sz w:val="18"/>
          <w:szCs w:val="18"/>
        </w:rPr>
        <w:t xml:space="preserve">Table </w:t>
      </w:r>
      <w:r w:rsidR="006C4F8C">
        <w:rPr>
          <w:sz w:val="18"/>
          <w:szCs w:val="18"/>
        </w:rPr>
        <w:t>*</w:t>
      </w:r>
      <w:r w:rsidR="00FF64FA">
        <w:rPr>
          <w:sz w:val="18"/>
          <w:szCs w:val="18"/>
        </w:rPr>
        <w:t>-1</w:t>
      </w:r>
      <w:r w:rsidRPr="00A558EA">
        <w:rPr>
          <w:sz w:val="18"/>
          <w:szCs w:val="18"/>
        </w:rPr>
        <w:t>: CAMEL Ratios – Capital Adequacy</w:t>
      </w:r>
      <w:r w:rsidR="00FF64FA">
        <w:rPr>
          <w:sz w:val="18"/>
          <w:szCs w:val="18"/>
        </w:rPr>
        <w:t xml:space="preserve"> (Ownership Structures)</w:t>
      </w:r>
    </w:p>
    <w:p w14:paraId="630C68C3" w14:textId="1DECC683" w:rsidR="00FF64FA" w:rsidRDefault="006C4F8C" w:rsidP="000F03AB">
      <w:pPr>
        <w:spacing w:after="0" w:line="288" w:lineRule="auto"/>
        <w:rPr>
          <w:sz w:val="18"/>
          <w:szCs w:val="18"/>
        </w:rPr>
      </w:pPr>
      <w:r>
        <w:rPr>
          <w:sz w:val="18"/>
          <w:szCs w:val="18"/>
        </w:rPr>
        <w:object w:dxaOrig="10428" w:dyaOrig="2468" w14:anchorId="70BB3742">
          <v:shape id="_x0000_i1029" type="#_x0000_t75" style="width:536.5pt;height:163pt" o:ole="">
            <v:imagedata r:id="rId21" o:title=""/>
          </v:shape>
          <o:OLEObject Type="Embed" ProgID="Excel.Sheet.12" ShapeID="_x0000_i1029" DrawAspect="Content" ObjectID="_1767565665" r:id="rId22"/>
        </w:object>
      </w:r>
    </w:p>
    <w:p w14:paraId="5EFB5B07" w14:textId="16A7740C" w:rsidR="00FF64FA" w:rsidRPr="00A558EA" w:rsidRDefault="00FF64FA" w:rsidP="00FF64FA">
      <w:pPr>
        <w:spacing w:after="0" w:line="288" w:lineRule="auto"/>
        <w:jc w:val="center"/>
        <w:rPr>
          <w:sz w:val="18"/>
          <w:szCs w:val="18"/>
        </w:rPr>
      </w:pPr>
      <w:r w:rsidRPr="00A558EA">
        <w:rPr>
          <w:sz w:val="18"/>
          <w:szCs w:val="18"/>
        </w:rPr>
        <w:t xml:space="preserve">Table </w:t>
      </w:r>
      <w:r w:rsidR="006C4F8C">
        <w:rPr>
          <w:sz w:val="18"/>
          <w:szCs w:val="18"/>
        </w:rPr>
        <w:t>*</w:t>
      </w:r>
      <w:r>
        <w:rPr>
          <w:sz w:val="18"/>
          <w:szCs w:val="18"/>
        </w:rPr>
        <w:t>-2</w:t>
      </w:r>
      <w:r w:rsidRPr="00A558EA">
        <w:rPr>
          <w:sz w:val="18"/>
          <w:szCs w:val="18"/>
        </w:rPr>
        <w:t>: CAMEL Ratios – Capital Adequacy</w:t>
      </w:r>
      <w:r>
        <w:rPr>
          <w:sz w:val="18"/>
          <w:szCs w:val="18"/>
        </w:rPr>
        <w:t xml:space="preserve"> (Bank Types)</w:t>
      </w:r>
    </w:p>
    <w:p w14:paraId="6BE0124E" w14:textId="77777777" w:rsidR="00FF64FA" w:rsidRPr="006C4F8C" w:rsidRDefault="00FF64FA" w:rsidP="00FF64FA">
      <w:pPr>
        <w:spacing w:after="0" w:line="288" w:lineRule="auto"/>
        <w:rPr>
          <w:sz w:val="20"/>
          <w:szCs w:val="20"/>
        </w:rPr>
      </w:pPr>
      <w:r w:rsidRPr="006C4F8C">
        <w:rPr>
          <w:sz w:val="20"/>
          <w:szCs w:val="20"/>
        </w:rPr>
        <w:t>Data source: the SNL database, the release of the China Banking and Insurance Regulatory Commission (CBIRC) and manual calculation</w:t>
      </w:r>
    </w:p>
    <w:p w14:paraId="0B779CC0" w14:textId="77777777" w:rsidR="006C4F8C" w:rsidRDefault="006C4F8C" w:rsidP="00FF64FA">
      <w:pPr>
        <w:spacing w:after="0" w:line="288" w:lineRule="auto"/>
        <w:rPr>
          <w:sz w:val="18"/>
          <w:szCs w:val="18"/>
        </w:rPr>
      </w:pPr>
    </w:p>
    <w:p w14:paraId="53D31802" w14:textId="77777777" w:rsidR="006C4F8C" w:rsidRDefault="006C4F8C" w:rsidP="00FF64FA">
      <w:pPr>
        <w:spacing w:after="0" w:line="288" w:lineRule="auto"/>
        <w:rPr>
          <w:sz w:val="18"/>
          <w:szCs w:val="18"/>
        </w:rPr>
      </w:pPr>
    </w:p>
    <w:p w14:paraId="7713EF0A" w14:textId="77777777" w:rsidR="006C4F8C" w:rsidRDefault="006C4F8C" w:rsidP="00FF64FA">
      <w:pPr>
        <w:spacing w:after="0" w:line="288" w:lineRule="auto"/>
        <w:rPr>
          <w:sz w:val="18"/>
          <w:szCs w:val="18"/>
        </w:rPr>
      </w:pPr>
    </w:p>
    <w:p w14:paraId="0EE5E88C" w14:textId="47F01ED6" w:rsidR="00B01D66" w:rsidRDefault="00AA4666" w:rsidP="000F03AB">
      <w:pPr>
        <w:spacing w:before="120" w:after="120" w:line="288" w:lineRule="auto"/>
      </w:pPr>
      <w:r>
        <w:rPr>
          <w:noProof/>
        </w:rPr>
        <w:drawing>
          <wp:inline distT="0" distB="0" distL="0" distR="0" wp14:anchorId="61DBD1BB" wp14:editId="7FAF3448">
            <wp:extent cx="6788785" cy="4580626"/>
            <wp:effectExtent l="0" t="0" r="12065" b="10795"/>
            <wp:docPr id="40" name="Chart 40">
              <a:extLst xmlns:a="http://schemas.openxmlformats.org/drawingml/2006/main">
                <a:ext uri="{FF2B5EF4-FFF2-40B4-BE49-F238E27FC236}">
                  <a16:creationId xmlns:a16="http://schemas.microsoft.com/office/drawing/2014/main" id="{2CE01431-A9E4-482E-A20E-11DCDB2B41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50BD000D" w14:textId="77777777" w:rsidR="00B01D66" w:rsidRPr="006C4F8C" w:rsidRDefault="00B01D66" w:rsidP="00B01D66">
      <w:pPr>
        <w:spacing w:after="0" w:line="288" w:lineRule="auto"/>
        <w:rPr>
          <w:sz w:val="20"/>
          <w:szCs w:val="20"/>
        </w:rPr>
      </w:pPr>
      <w:r w:rsidRPr="006C4F8C">
        <w:rPr>
          <w:sz w:val="20"/>
          <w:szCs w:val="20"/>
        </w:rPr>
        <w:t>Data source: the SNL database, the release of the China Banking and Insurance Regulatory Commission (CBIRC) and manual calculation</w:t>
      </w:r>
    </w:p>
    <w:p w14:paraId="3460DA08" w14:textId="77777777" w:rsidR="00F46CBF" w:rsidRDefault="00F46CBF" w:rsidP="00B01D66">
      <w:pPr>
        <w:spacing w:after="0" w:line="288" w:lineRule="auto"/>
        <w:rPr>
          <w:sz w:val="18"/>
          <w:szCs w:val="18"/>
        </w:rPr>
      </w:pPr>
    </w:p>
    <w:p w14:paraId="05B699BD" w14:textId="77777777" w:rsidR="00F46CBF" w:rsidRPr="00B01D66" w:rsidRDefault="00F46CBF" w:rsidP="00F46CBF">
      <w:pPr>
        <w:spacing w:before="120" w:after="120" w:line="288" w:lineRule="auto"/>
        <w:jc w:val="center"/>
        <w:rPr>
          <w:sz w:val="18"/>
          <w:szCs w:val="18"/>
        </w:rPr>
      </w:pPr>
      <w:r w:rsidRPr="00B01D66">
        <w:rPr>
          <w:sz w:val="18"/>
          <w:szCs w:val="18"/>
        </w:rPr>
        <w:t>Figure 2</w:t>
      </w:r>
      <w:r>
        <w:rPr>
          <w:sz w:val="18"/>
          <w:szCs w:val="18"/>
        </w:rPr>
        <w:t>-1</w:t>
      </w:r>
      <w:r w:rsidRPr="00B01D66">
        <w:rPr>
          <w:sz w:val="18"/>
          <w:szCs w:val="18"/>
        </w:rPr>
        <w:t>: The Yearly Means of Tier 1 Capital Ratios (Ownership Structures)</w:t>
      </w:r>
    </w:p>
    <w:p w14:paraId="6FD0B386" w14:textId="484CD29C" w:rsidR="00267278" w:rsidRPr="00A558EA" w:rsidRDefault="007277B7" w:rsidP="000F03AB">
      <w:pPr>
        <w:spacing w:before="120" w:after="120" w:line="288" w:lineRule="auto"/>
      </w:pPr>
      <w:r>
        <w:t>We examine two</w:t>
      </w:r>
      <w:r w:rsidR="00C37699" w:rsidRPr="00A558EA">
        <w:t xml:space="preserve"> capital adequacy ratios: Tier 1 capital ratio and Total equity to total assets ratio. </w:t>
      </w:r>
      <w:r w:rsidR="00AC0A72" w:rsidRPr="00A558EA">
        <w:t xml:space="preserve">Except for the foreign banks, </w:t>
      </w:r>
      <w:bookmarkStart w:id="48" w:name="_Hlk49838971"/>
      <w:r w:rsidR="00AC0A72" w:rsidRPr="00A558EA">
        <w:t>t</w:t>
      </w:r>
      <w:r w:rsidR="00C37699" w:rsidRPr="00A558EA">
        <w:t xml:space="preserve">he means of Tier 1 capital ratio of </w:t>
      </w:r>
      <w:r w:rsidR="00AC0A72" w:rsidRPr="00A558EA">
        <w:t xml:space="preserve">other </w:t>
      </w:r>
      <w:r w:rsidR="00C37699" w:rsidRPr="00A558EA">
        <w:t>different types of banks are quite close</w:t>
      </w:r>
      <w:bookmarkEnd w:id="48"/>
      <w:r w:rsidR="00C37699" w:rsidRPr="00A558EA">
        <w:t xml:space="preserve">, </w:t>
      </w:r>
      <w:r w:rsidR="00AC0A72" w:rsidRPr="00A558EA">
        <w:t>from 10.</w:t>
      </w:r>
      <w:r w:rsidR="00D32876" w:rsidRPr="00A558EA">
        <w:t>64</w:t>
      </w:r>
      <w:r w:rsidR="00AC0A72" w:rsidRPr="00A558EA">
        <w:t xml:space="preserve">% to </w:t>
      </w:r>
      <w:r w:rsidR="00D32876" w:rsidRPr="00A558EA">
        <w:t>12.21</w:t>
      </w:r>
      <w:r w:rsidR="00AC0A72" w:rsidRPr="00A558EA">
        <w:t xml:space="preserve">%. The state-owned banks have </w:t>
      </w:r>
      <w:proofErr w:type="gramStart"/>
      <w:r w:rsidR="00AC0A72" w:rsidRPr="00A558EA">
        <w:t>the</w:t>
      </w:r>
      <w:proofErr w:type="gramEnd"/>
      <w:r w:rsidR="00AC0A72" w:rsidRPr="00A558EA">
        <w:t xml:space="preserve"> mean of 10.</w:t>
      </w:r>
      <w:r w:rsidR="00D32876" w:rsidRPr="00A558EA">
        <w:t>65</w:t>
      </w:r>
      <w:r w:rsidR="00AC0A72" w:rsidRPr="00A558EA">
        <w:t>%. The joint-stock banks have the highest mean of Tier 1 capital ratio which is 12.</w:t>
      </w:r>
      <w:r w:rsidR="00D32876" w:rsidRPr="00A558EA">
        <w:t>21</w:t>
      </w:r>
      <w:r w:rsidR="00AC0A72" w:rsidRPr="00A558EA">
        <w:t xml:space="preserve">% </w:t>
      </w:r>
      <w:r w:rsidR="000F03AB" w:rsidRPr="00A558EA">
        <w:t>and</w:t>
      </w:r>
      <w:r w:rsidR="00AC0A72" w:rsidRPr="00A558EA">
        <w:t xml:space="preserve"> have the highest standard deviation of </w:t>
      </w:r>
      <w:r w:rsidR="00D32876" w:rsidRPr="00A558EA">
        <w:t>15.51</w:t>
      </w:r>
      <w:r w:rsidR="00AC0A72" w:rsidRPr="00A558EA">
        <w:t xml:space="preserve">%. This might be due </w:t>
      </w:r>
      <w:proofErr w:type="gramStart"/>
      <w:r w:rsidR="00AC0A72" w:rsidRPr="00A558EA">
        <w:t>to</w:t>
      </w:r>
      <w:proofErr w:type="gramEnd"/>
      <w:r w:rsidR="00AC0A72" w:rsidRPr="00A558EA">
        <w:t xml:space="preserve"> that joint-stock banks are quite different from each other in sizes, </w:t>
      </w:r>
      <w:r w:rsidR="000F03AB" w:rsidRPr="00A558EA">
        <w:t>performance,</w:t>
      </w:r>
      <w:r w:rsidR="00AC0A72" w:rsidRPr="00A558EA">
        <w:t xml:space="preserve"> and risk management competence</w:t>
      </w:r>
      <w:r w:rsidR="00D32876" w:rsidRPr="00A558EA">
        <w:t>, as well as the abnormal maximum value of 447.46%</w:t>
      </w:r>
      <w:r w:rsidR="00381719" w:rsidRPr="00A558EA">
        <w:t xml:space="preserve">. </w:t>
      </w:r>
      <w:r w:rsidR="00FF64FA">
        <w:t xml:space="preserve">These results are corroborated by </w:t>
      </w:r>
      <w:proofErr w:type="gramStart"/>
      <w:r w:rsidR="00FF64FA">
        <w:t>the Table</w:t>
      </w:r>
      <w:proofErr w:type="gramEnd"/>
      <w:r w:rsidR="00FF64FA">
        <w:t xml:space="preserve"> 3-2 categorized by bank types. Apart from the state-owned Big Six being consistent with the mean of the state-owned banks, national banks show a mean of the state-owned banks, the local government holding banks, and the joint-stock banks, since there are 12 national banks and comprised with the abovementioned ownership structures. Most regional banks are involved with local government shareholders, city banks and rural commercial banks are mostly joint-stock banks, therefore their means are close to the means of those ownership structures. Corporation banks are the banks which </w:t>
      </w:r>
      <w:r>
        <w:t xml:space="preserve">were </w:t>
      </w:r>
      <w:r w:rsidR="00FF64FA">
        <w:t xml:space="preserve">funded initially by some corporations or companies in order to provide financial services for </w:t>
      </w:r>
      <w:proofErr w:type="gramStart"/>
      <w:r w:rsidR="00FF64FA">
        <w:t>the specific</w:t>
      </w:r>
      <w:proofErr w:type="gramEnd"/>
      <w:r w:rsidR="00FF64FA">
        <w:t xml:space="preserve"> </w:t>
      </w:r>
      <w:proofErr w:type="gramStart"/>
      <w:r w:rsidR="00FF64FA">
        <w:t xml:space="preserve">industries, </w:t>
      </w:r>
      <w:r>
        <w:t>and</w:t>
      </w:r>
      <w:proofErr w:type="gramEnd"/>
      <w:r>
        <w:t xml:space="preserve"> </w:t>
      </w:r>
      <w:r w:rsidR="00FF64FA">
        <w:t xml:space="preserve">emerged after 2015. Therefore, these banks </w:t>
      </w:r>
      <w:r>
        <w:t xml:space="preserve">are </w:t>
      </w:r>
      <w:proofErr w:type="gramStart"/>
      <w:r>
        <w:t>similar</w:t>
      </w:r>
      <w:r w:rsidR="00FF64FA">
        <w:t xml:space="preserve"> to</w:t>
      </w:r>
      <w:proofErr w:type="gramEnd"/>
      <w:r w:rsidR="00FF64FA">
        <w:t xml:space="preserve"> </w:t>
      </w:r>
      <w:proofErr w:type="gramStart"/>
      <w:r w:rsidR="00FF64FA">
        <w:t>the joint</w:t>
      </w:r>
      <w:proofErr w:type="gramEnd"/>
      <w:r w:rsidR="00FF64FA">
        <w:t>-stock banks</w:t>
      </w:r>
      <w:r>
        <w:t xml:space="preserve"> in terms of sizes and geographic areas</w:t>
      </w:r>
      <w:r w:rsidR="00FF64FA">
        <w:t xml:space="preserve">. There are 13 corporation banks by the end of 2019, including those founded by </w:t>
      </w:r>
      <w:proofErr w:type="gramStart"/>
      <w:r w:rsidR="00FF64FA">
        <w:t>the private</w:t>
      </w:r>
      <w:proofErr w:type="gramEnd"/>
      <w:r w:rsidR="00FF64FA">
        <w:t xml:space="preserve"> companies. </w:t>
      </w:r>
      <w:r w:rsidR="00DF14A0" w:rsidRPr="00A558EA">
        <w:t xml:space="preserve">The China Banking Regulatory Commission (CBRC) </w:t>
      </w:r>
      <w:r w:rsidR="00DF14A0" w:rsidRPr="00A558EA">
        <w:rPr>
          <w:rStyle w:val="FootnoteReference"/>
        </w:rPr>
        <w:footnoteReference w:id="59"/>
      </w:r>
      <w:r w:rsidR="00DF14A0" w:rsidRPr="00A558EA">
        <w:t xml:space="preserve">issued ‘Commercial Bank Capital Management Measures (Trial)’ in 2012, which is the sign of the adoption of Basel III, demanding that all commercial banks in China would have to apply the new capital adequacy requirements under Basel III since 2013. </w:t>
      </w:r>
      <w:r w:rsidR="00D32876" w:rsidRPr="00A558EA">
        <w:t xml:space="preserve">As a result, the value of Tier 1 ratio of all ownership structure decreased compared to the previous year. </w:t>
      </w:r>
      <w:r w:rsidR="00AA4666">
        <w:t xml:space="preserve">As shown in Figure 2-1, </w:t>
      </w:r>
      <w:bookmarkStart w:id="49" w:name="_Hlk49839064"/>
      <w:r w:rsidR="00AA4666">
        <w:t>s</w:t>
      </w:r>
      <w:r w:rsidR="00971EE1" w:rsidRPr="00A558EA">
        <w:t xml:space="preserve">ince 2013, the Tier 1 capital ratio of all types of banks </w:t>
      </w:r>
      <w:proofErr w:type="gramStart"/>
      <w:r w:rsidR="00971EE1" w:rsidRPr="00A558EA">
        <w:t>have</w:t>
      </w:r>
      <w:proofErr w:type="gramEnd"/>
      <w:r w:rsidR="00971EE1" w:rsidRPr="00A558EA">
        <w:t xml:space="preserve"> been increasing gradually. </w:t>
      </w:r>
      <w:bookmarkEnd w:id="49"/>
    </w:p>
    <w:p w14:paraId="1FABE639" w14:textId="4AA2CF01" w:rsidR="00536CEA" w:rsidRDefault="00F01A62" w:rsidP="000F03AB">
      <w:pPr>
        <w:spacing w:before="120" w:after="120" w:line="288" w:lineRule="auto"/>
        <w:rPr>
          <w:color w:val="4472C4" w:themeColor="accent1"/>
        </w:rPr>
      </w:pPr>
      <w:r w:rsidRPr="00A558EA">
        <w:t xml:space="preserve">The ratio of </w:t>
      </w:r>
      <w:r w:rsidR="00433425" w:rsidRPr="00A558EA">
        <w:t>total equity/total assets represents the book value leverage of a bank. In Peer group – Ownership structure</w:t>
      </w:r>
      <w:r w:rsidR="00D32876" w:rsidRPr="00A558EA">
        <w:t>s</w:t>
      </w:r>
      <w:r w:rsidR="00433425" w:rsidRPr="00A558EA">
        <w:t xml:space="preserve">, the majority of means of total equity/total assets of banks with different ownership are below </w:t>
      </w:r>
      <w:r w:rsidR="00D32876" w:rsidRPr="00A558EA">
        <w:t>8</w:t>
      </w:r>
      <w:r w:rsidR="00433425" w:rsidRPr="00A558EA">
        <w:t>% yet over 6.</w:t>
      </w:r>
      <w:r w:rsidR="00D32876" w:rsidRPr="00A558EA">
        <w:t>5</w:t>
      </w:r>
      <w:r w:rsidR="00433425" w:rsidRPr="00A558EA">
        <w:t xml:space="preserve">0%, such as local government holding banks at </w:t>
      </w:r>
      <w:r w:rsidR="00D32876" w:rsidRPr="00A558EA">
        <w:t>7.08</w:t>
      </w:r>
      <w:r w:rsidR="00433425" w:rsidRPr="00A558EA">
        <w:t>%, slightly higher than the state-owned banks (6.</w:t>
      </w:r>
      <w:r w:rsidR="00D32876" w:rsidRPr="00A558EA">
        <w:t>76</w:t>
      </w:r>
      <w:r w:rsidR="00433425" w:rsidRPr="00A558EA">
        <w:t xml:space="preserve">%). However, the mean of the ratio of joint-stock banks </w:t>
      </w:r>
      <w:proofErr w:type="gramStart"/>
      <w:r w:rsidR="00433425" w:rsidRPr="00A558EA">
        <w:t>are</w:t>
      </w:r>
      <w:proofErr w:type="gramEnd"/>
      <w:r w:rsidR="00433425" w:rsidRPr="00A558EA">
        <w:t xml:space="preserve"> almost 1</w:t>
      </w:r>
      <w:r w:rsidR="00D32876" w:rsidRPr="00A558EA">
        <w:t>3</w:t>
      </w:r>
      <w:r w:rsidR="00433425" w:rsidRPr="00A558EA">
        <w:t xml:space="preserve">% higher than other types of banks. A </w:t>
      </w:r>
      <w:proofErr w:type="gramStart"/>
      <w:r w:rsidR="00433425" w:rsidRPr="00A558EA">
        <w:t>higher of</w:t>
      </w:r>
      <w:proofErr w:type="gramEnd"/>
      <w:r w:rsidR="00433425" w:rsidRPr="00A558EA">
        <w:t xml:space="preserve"> standard </w:t>
      </w:r>
      <w:r w:rsidR="00B67DEE" w:rsidRPr="00A558EA">
        <w:t>deviation of the ratio (</w:t>
      </w:r>
      <w:r w:rsidR="00D32876" w:rsidRPr="00A558EA">
        <w:t>4.51</w:t>
      </w:r>
      <w:r w:rsidR="00B67DEE" w:rsidRPr="00A558EA">
        <w:t xml:space="preserve">%) might reveal the cause of a higher mean of the joint-stock banks. </w:t>
      </w:r>
      <w:r w:rsidR="00FF64FA">
        <w:t xml:space="preserve">The peer group of Bank Types provides the corresponding results. </w:t>
      </w:r>
      <w:r w:rsidR="00EA6E20">
        <w:t xml:space="preserve">As presented in Figure 2-2, </w:t>
      </w:r>
      <w:r w:rsidR="00B67DEE" w:rsidRPr="00EA6E20">
        <w:t xml:space="preserve">The yearly mean of the ratio of total equity/total assets have shown different trends between different types of ownership. Except that the state-owned banks have been following gradual growth year by year, other bank types have exhibited the tendency of increase-decrease-increase again. The yearly mean of the ratio of all banks </w:t>
      </w:r>
      <w:proofErr w:type="gramStart"/>
      <w:r w:rsidR="00B67DEE" w:rsidRPr="00EA6E20">
        <w:t>are</w:t>
      </w:r>
      <w:proofErr w:type="gramEnd"/>
      <w:r w:rsidR="00B67DEE" w:rsidRPr="00EA6E20">
        <w:t xml:space="preserve"> over 7% in 201</w:t>
      </w:r>
      <w:r w:rsidR="00EA6E20" w:rsidRPr="00EA6E20">
        <w:t>9</w:t>
      </w:r>
      <w:r w:rsidR="00B67DEE" w:rsidRPr="00EA6E20">
        <w:t xml:space="preserve">. </w:t>
      </w:r>
    </w:p>
    <w:p w14:paraId="32A77F6D" w14:textId="011280FD" w:rsidR="00EA6E20" w:rsidRDefault="00EA6E20" w:rsidP="000F03AB">
      <w:pPr>
        <w:spacing w:before="120" w:after="120" w:line="288" w:lineRule="auto"/>
        <w:rPr>
          <w:color w:val="4472C4" w:themeColor="accent1"/>
        </w:rPr>
      </w:pPr>
      <w:r>
        <w:rPr>
          <w:noProof/>
        </w:rPr>
        <w:drawing>
          <wp:inline distT="0" distB="0" distL="0" distR="0" wp14:anchorId="761142A2" wp14:editId="1C53AFD1">
            <wp:extent cx="6693535" cy="4917057"/>
            <wp:effectExtent l="0" t="0" r="12065" b="17145"/>
            <wp:docPr id="41" name="Chart 41">
              <a:extLst xmlns:a="http://schemas.openxmlformats.org/drawingml/2006/main">
                <a:ext uri="{FF2B5EF4-FFF2-40B4-BE49-F238E27FC236}">
                  <a16:creationId xmlns:a16="http://schemas.microsoft.com/office/drawing/2014/main" id="{8D23E7A0-CDB0-446C-BC4B-DA1CE7B7C55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2A41015" w14:textId="77777777" w:rsidR="00EA6E20" w:rsidRPr="007E7766" w:rsidRDefault="00EA6E20" w:rsidP="00EA6E20">
      <w:pPr>
        <w:spacing w:after="0" w:line="288" w:lineRule="auto"/>
        <w:rPr>
          <w:sz w:val="20"/>
          <w:szCs w:val="20"/>
        </w:rPr>
      </w:pPr>
      <w:r w:rsidRPr="007E7766">
        <w:rPr>
          <w:sz w:val="20"/>
          <w:szCs w:val="20"/>
        </w:rPr>
        <w:t>Data source: the SNL database, the release of the China Banking and Insurance Regulatory Commission (CBIRC) and manual calculation</w:t>
      </w:r>
    </w:p>
    <w:p w14:paraId="759C7F93" w14:textId="77777777" w:rsidR="00622ABC" w:rsidRDefault="00622ABC" w:rsidP="00EA6E20">
      <w:pPr>
        <w:spacing w:after="0" w:line="288" w:lineRule="auto"/>
        <w:rPr>
          <w:sz w:val="18"/>
          <w:szCs w:val="18"/>
        </w:rPr>
      </w:pPr>
    </w:p>
    <w:p w14:paraId="4F714486" w14:textId="77777777" w:rsidR="00622ABC" w:rsidRPr="00B01D66" w:rsidRDefault="00622ABC" w:rsidP="00622ABC">
      <w:pPr>
        <w:spacing w:before="120" w:after="120" w:line="288" w:lineRule="auto"/>
        <w:jc w:val="center"/>
        <w:rPr>
          <w:sz w:val="18"/>
          <w:szCs w:val="18"/>
        </w:rPr>
      </w:pPr>
      <w:r w:rsidRPr="00B01D66">
        <w:rPr>
          <w:sz w:val="18"/>
          <w:szCs w:val="18"/>
        </w:rPr>
        <w:t>Figure 2</w:t>
      </w:r>
      <w:r>
        <w:rPr>
          <w:sz w:val="18"/>
          <w:szCs w:val="18"/>
        </w:rPr>
        <w:t>-2</w:t>
      </w:r>
      <w:r w:rsidRPr="00B01D66">
        <w:rPr>
          <w:sz w:val="18"/>
          <w:szCs w:val="18"/>
        </w:rPr>
        <w:t xml:space="preserve">: The Yearly Means of </w:t>
      </w:r>
      <w:r>
        <w:rPr>
          <w:sz w:val="18"/>
          <w:szCs w:val="18"/>
        </w:rPr>
        <w:t>Total Equity/Total Assets</w:t>
      </w:r>
      <w:r w:rsidRPr="00B01D66">
        <w:rPr>
          <w:sz w:val="18"/>
          <w:szCs w:val="18"/>
        </w:rPr>
        <w:t xml:space="preserve"> (Ownership Structures)</w:t>
      </w:r>
    </w:p>
    <w:p w14:paraId="4C3CB179" w14:textId="77777777" w:rsidR="00622ABC" w:rsidRPr="00B01D66" w:rsidRDefault="00622ABC" w:rsidP="00EA6E20">
      <w:pPr>
        <w:spacing w:after="0" w:line="288" w:lineRule="auto"/>
        <w:rPr>
          <w:sz w:val="18"/>
          <w:szCs w:val="18"/>
        </w:rPr>
      </w:pPr>
    </w:p>
    <w:p w14:paraId="51086326" w14:textId="50CB36B3" w:rsidR="00936D7A" w:rsidRPr="00A558EA" w:rsidRDefault="00936D7A" w:rsidP="000F03AB">
      <w:pPr>
        <w:spacing w:before="120" w:after="120" w:line="288" w:lineRule="auto"/>
      </w:pPr>
      <w:r w:rsidRPr="00A558EA">
        <w:t>The foreign-owned banks have displayed abnormally high capital adequacy</w:t>
      </w:r>
      <w:r w:rsidR="007277B7">
        <w:t xml:space="preserve"> ratios</w:t>
      </w:r>
      <w:r w:rsidRPr="00A558EA">
        <w:t xml:space="preserve">. </w:t>
      </w:r>
      <w:r w:rsidR="007277B7">
        <w:t>W</w:t>
      </w:r>
      <w:r w:rsidRPr="00A558EA">
        <w:t>e cannot trace the values back to its sources</w:t>
      </w:r>
      <w:r w:rsidR="007277B7">
        <w:t xml:space="preserve"> due to the data </w:t>
      </w:r>
      <w:r w:rsidR="00521D2E">
        <w:t>availability</w:t>
      </w:r>
      <w:r w:rsidRPr="00A558EA">
        <w:t xml:space="preserve">. </w:t>
      </w:r>
      <w:r w:rsidR="00505F3B" w:rsidRPr="00A558EA">
        <w:t>Speculatively</w:t>
      </w:r>
      <w:r w:rsidRPr="00A558EA">
        <w:t xml:space="preserve">, this might be caused by a relatively small size of the assets of the foreign-owned </w:t>
      </w:r>
      <w:r w:rsidR="00505F3B" w:rsidRPr="00A558EA">
        <w:t xml:space="preserve">banks in China. </w:t>
      </w:r>
    </w:p>
    <w:p w14:paraId="3B0BDD1A" w14:textId="01C67996" w:rsidR="00505F3B" w:rsidRPr="00A558EA" w:rsidRDefault="00505F3B" w:rsidP="000F03AB">
      <w:pPr>
        <w:pStyle w:val="Heading4"/>
        <w:spacing w:before="120" w:after="120" w:line="288" w:lineRule="auto"/>
        <w:rPr>
          <w:rFonts w:ascii="Corbel" w:hAnsi="Corbel"/>
          <w:u w:val="single"/>
        </w:rPr>
      </w:pPr>
      <w:r w:rsidRPr="00A558EA">
        <w:rPr>
          <w:rFonts w:ascii="Corbel" w:hAnsi="Corbel"/>
          <w:u w:val="single"/>
        </w:rPr>
        <w:t xml:space="preserve">CAMEL Ratios </w:t>
      </w:r>
      <w:r w:rsidR="009D3DC7">
        <w:rPr>
          <w:rFonts w:ascii="Corbel" w:hAnsi="Corbel"/>
          <w:u w:val="single"/>
        </w:rPr>
        <w:t>of commercial banks</w:t>
      </w:r>
      <w:r w:rsidRPr="00A558EA">
        <w:rPr>
          <w:rFonts w:ascii="Corbel" w:hAnsi="Corbel"/>
          <w:u w:val="single"/>
        </w:rPr>
        <w:t>– Asset Quality</w:t>
      </w:r>
    </w:p>
    <w:p w14:paraId="18A3DC22" w14:textId="5C8A6FDD" w:rsidR="00D32876" w:rsidRPr="00D32876" w:rsidRDefault="006708EE" w:rsidP="00D32876">
      <w:r>
        <w:object w:dxaOrig="10754" w:dyaOrig="5405" w14:anchorId="02EF639F">
          <v:shape id="_x0000_i1030" type="#_x0000_t75" style="width:526.4pt;height:359.95pt" o:ole="">
            <v:imagedata r:id="rId25" o:title=""/>
          </v:shape>
          <o:OLEObject Type="Embed" ProgID="Excel.Sheet.12" ShapeID="_x0000_i1030" DrawAspect="Content" ObjectID="_1767565666" r:id="rId26"/>
        </w:object>
      </w:r>
    </w:p>
    <w:p w14:paraId="43403E31" w14:textId="05451B20" w:rsidR="0015342C" w:rsidRPr="006708EE" w:rsidRDefault="0015342C" w:rsidP="000F03AB">
      <w:pPr>
        <w:spacing w:after="0" w:line="288" w:lineRule="auto"/>
        <w:rPr>
          <w:sz w:val="20"/>
          <w:szCs w:val="20"/>
        </w:rPr>
      </w:pPr>
      <w:r w:rsidRPr="006708EE">
        <w:rPr>
          <w:sz w:val="20"/>
          <w:szCs w:val="20"/>
        </w:rPr>
        <w:t>Data source: the SNL database, the release of the China Banking and Insurance Regulatory Commission (CBIRC) and manual calculation</w:t>
      </w:r>
    </w:p>
    <w:p w14:paraId="38692C07" w14:textId="77777777" w:rsidR="00622ABC" w:rsidRDefault="00622ABC" w:rsidP="000F03AB">
      <w:pPr>
        <w:spacing w:after="0" w:line="288" w:lineRule="auto"/>
        <w:rPr>
          <w:sz w:val="18"/>
          <w:szCs w:val="18"/>
        </w:rPr>
      </w:pPr>
    </w:p>
    <w:p w14:paraId="42954432" w14:textId="77777777" w:rsidR="00622ABC" w:rsidRDefault="00622ABC" w:rsidP="000F03AB">
      <w:pPr>
        <w:spacing w:after="0" w:line="288" w:lineRule="auto"/>
        <w:rPr>
          <w:sz w:val="18"/>
          <w:szCs w:val="18"/>
        </w:rPr>
      </w:pPr>
    </w:p>
    <w:p w14:paraId="7E3859C3" w14:textId="77777777" w:rsidR="006708EE" w:rsidRPr="00A558EA" w:rsidRDefault="006708EE" w:rsidP="006708EE">
      <w:pPr>
        <w:spacing w:after="0" w:line="288" w:lineRule="auto"/>
        <w:jc w:val="center"/>
        <w:rPr>
          <w:sz w:val="18"/>
          <w:szCs w:val="18"/>
        </w:rPr>
      </w:pPr>
      <w:r w:rsidRPr="00A558EA">
        <w:rPr>
          <w:sz w:val="18"/>
          <w:szCs w:val="18"/>
        </w:rPr>
        <w:t>Table 4</w:t>
      </w:r>
      <w:r>
        <w:rPr>
          <w:sz w:val="18"/>
          <w:szCs w:val="18"/>
        </w:rPr>
        <w:t>-1</w:t>
      </w:r>
      <w:r w:rsidRPr="00A558EA">
        <w:rPr>
          <w:sz w:val="18"/>
          <w:szCs w:val="18"/>
        </w:rPr>
        <w:t>: CAMEL Ratios – Asset Quality</w:t>
      </w:r>
      <w:r>
        <w:rPr>
          <w:sz w:val="18"/>
          <w:szCs w:val="18"/>
        </w:rPr>
        <w:t xml:space="preserve"> (Ownership Structures)</w:t>
      </w:r>
    </w:p>
    <w:p w14:paraId="2F349986" w14:textId="77777777" w:rsidR="00622ABC" w:rsidRDefault="00622ABC" w:rsidP="000F03AB">
      <w:pPr>
        <w:spacing w:after="0" w:line="288" w:lineRule="auto"/>
        <w:rPr>
          <w:sz w:val="18"/>
          <w:szCs w:val="18"/>
        </w:rPr>
      </w:pPr>
    </w:p>
    <w:p w14:paraId="657E590E" w14:textId="77777777" w:rsidR="00622ABC" w:rsidRDefault="00622ABC" w:rsidP="000F03AB">
      <w:pPr>
        <w:spacing w:after="0" w:line="288" w:lineRule="auto"/>
        <w:rPr>
          <w:sz w:val="18"/>
          <w:szCs w:val="18"/>
        </w:rPr>
      </w:pPr>
    </w:p>
    <w:p w14:paraId="0A83B1F5" w14:textId="77777777" w:rsidR="00622ABC" w:rsidRDefault="00622ABC" w:rsidP="000F03AB">
      <w:pPr>
        <w:spacing w:after="0" w:line="288" w:lineRule="auto"/>
        <w:rPr>
          <w:sz w:val="18"/>
          <w:szCs w:val="18"/>
        </w:rPr>
      </w:pPr>
    </w:p>
    <w:p w14:paraId="5C7734A1" w14:textId="77777777" w:rsidR="00622ABC" w:rsidRDefault="00622ABC" w:rsidP="000F03AB">
      <w:pPr>
        <w:spacing w:after="0" w:line="288" w:lineRule="auto"/>
        <w:rPr>
          <w:sz w:val="18"/>
          <w:szCs w:val="18"/>
        </w:rPr>
      </w:pPr>
    </w:p>
    <w:p w14:paraId="472E3FCA" w14:textId="4DB45CCB" w:rsidR="00FF64FA" w:rsidRDefault="007E7766" w:rsidP="000F03AB">
      <w:pPr>
        <w:spacing w:after="0" w:line="288" w:lineRule="auto"/>
        <w:rPr>
          <w:sz w:val="18"/>
          <w:szCs w:val="18"/>
        </w:rPr>
      </w:pPr>
      <w:r>
        <w:rPr>
          <w:sz w:val="18"/>
          <w:szCs w:val="18"/>
        </w:rPr>
        <w:object w:dxaOrig="10557" w:dyaOrig="6874" w14:anchorId="7A408AAE">
          <v:shape id="_x0000_i1031" type="#_x0000_t75" style="width:536.8pt;height:423.1pt" o:ole="">
            <v:imagedata r:id="rId27" o:title=""/>
          </v:shape>
          <o:OLEObject Type="Embed" ProgID="Excel.Sheet.12" ShapeID="_x0000_i1031" DrawAspect="Content" ObjectID="_1767565667" r:id="rId28"/>
        </w:object>
      </w:r>
    </w:p>
    <w:p w14:paraId="3A3431F2" w14:textId="77777777" w:rsidR="007E7766" w:rsidRDefault="007E7766" w:rsidP="008219BD">
      <w:pPr>
        <w:spacing w:after="0" w:line="288" w:lineRule="auto"/>
        <w:rPr>
          <w:sz w:val="20"/>
          <w:szCs w:val="20"/>
        </w:rPr>
      </w:pPr>
    </w:p>
    <w:p w14:paraId="43BD9AB2" w14:textId="6A402765" w:rsidR="008219BD" w:rsidRPr="007E7766" w:rsidRDefault="008219BD" w:rsidP="008219BD">
      <w:pPr>
        <w:spacing w:after="0" w:line="288" w:lineRule="auto"/>
        <w:rPr>
          <w:sz w:val="20"/>
          <w:szCs w:val="20"/>
        </w:rPr>
      </w:pPr>
      <w:r w:rsidRPr="007E7766">
        <w:rPr>
          <w:sz w:val="20"/>
          <w:szCs w:val="20"/>
        </w:rPr>
        <w:t>Data source: the SNL database, the release of the China Banking and Insurance Regulatory Commission (CBIRC) and manual calculation</w:t>
      </w:r>
    </w:p>
    <w:p w14:paraId="20B82133" w14:textId="77777777" w:rsidR="007E7766" w:rsidRDefault="007E7766" w:rsidP="008219BD">
      <w:pPr>
        <w:spacing w:after="0" w:line="288" w:lineRule="auto"/>
        <w:rPr>
          <w:sz w:val="18"/>
          <w:szCs w:val="18"/>
        </w:rPr>
      </w:pPr>
    </w:p>
    <w:p w14:paraId="4A67F05A" w14:textId="77777777" w:rsidR="007E7766" w:rsidRPr="00A558EA" w:rsidRDefault="007E7766" w:rsidP="007E7766">
      <w:pPr>
        <w:spacing w:after="0" w:line="288" w:lineRule="auto"/>
        <w:jc w:val="center"/>
        <w:rPr>
          <w:sz w:val="18"/>
          <w:szCs w:val="18"/>
        </w:rPr>
      </w:pPr>
      <w:r w:rsidRPr="00A558EA">
        <w:rPr>
          <w:sz w:val="18"/>
          <w:szCs w:val="18"/>
        </w:rPr>
        <w:t>Table 4</w:t>
      </w:r>
      <w:r>
        <w:rPr>
          <w:sz w:val="18"/>
          <w:szCs w:val="18"/>
        </w:rPr>
        <w:t>-2</w:t>
      </w:r>
      <w:r w:rsidRPr="00A558EA">
        <w:rPr>
          <w:sz w:val="18"/>
          <w:szCs w:val="18"/>
        </w:rPr>
        <w:t>: CAMEL Ratios – Asset Quality</w:t>
      </w:r>
      <w:r>
        <w:rPr>
          <w:sz w:val="18"/>
          <w:szCs w:val="18"/>
        </w:rPr>
        <w:t xml:space="preserve"> (Bank Types)</w:t>
      </w:r>
    </w:p>
    <w:p w14:paraId="380246EE" w14:textId="77777777" w:rsidR="007E7766" w:rsidRDefault="007E7766" w:rsidP="008219BD">
      <w:pPr>
        <w:spacing w:after="0" w:line="288" w:lineRule="auto"/>
        <w:rPr>
          <w:sz w:val="18"/>
          <w:szCs w:val="18"/>
        </w:rPr>
      </w:pPr>
    </w:p>
    <w:p w14:paraId="01CD0DE5" w14:textId="5EC43D4C" w:rsidR="00505F3B" w:rsidRPr="00A558EA" w:rsidRDefault="00505F3B" w:rsidP="000F03AB">
      <w:pPr>
        <w:spacing w:before="120" w:after="120" w:line="288" w:lineRule="auto"/>
      </w:pPr>
      <w:r w:rsidRPr="00A558EA">
        <w:t>The ratio of return on average assets (ROAA), the ratios associated with Non-performing Loans (NPL</w:t>
      </w:r>
      <w:r w:rsidR="009939B2" w:rsidRPr="00A558EA">
        <w:t>s</w:t>
      </w:r>
      <w:r w:rsidRPr="00A558EA">
        <w:t xml:space="preserve"> to total loans, problem loans/total loans, loan loss reserves/problem loans and loan loss reserves/gross loans) and the ratio of net loans/total assets constitute the assessment of asset quality of banks. </w:t>
      </w:r>
    </w:p>
    <w:p w14:paraId="1E95ACBB" w14:textId="70AAE332" w:rsidR="006A0BFB" w:rsidRDefault="00505F3B" w:rsidP="000F03AB">
      <w:pPr>
        <w:spacing w:before="120" w:after="120" w:line="288" w:lineRule="auto"/>
      </w:pPr>
      <w:r w:rsidRPr="00A558EA">
        <w:t xml:space="preserve">The means and medians of ROAA of different </w:t>
      </w:r>
      <w:r w:rsidR="00E179E3">
        <w:t>ownership structural</w:t>
      </w:r>
      <w:r w:rsidR="000F12F3" w:rsidRPr="00A558EA">
        <w:t xml:space="preserve"> banks are centered around 1%, </w:t>
      </w:r>
      <w:proofErr w:type="gramStart"/>
      <w:r w:rsidR="000F12F3" w:rsidRPr="00A558EA">
        <w:t>with the exception of</w:t>
      </w:r>
      <w:proofErr w:type="gramEnd"/>
      <w:r w:rsidR="000F12F3" w:rsidRPr="00A558EA">
        <w:t xml:space="preserve"> the </w:t>
      </w:r>
      <w:r w:rsidR="0015342C" w:rsidRPr="00A558EA">
        <w:t>foreign owned</w:t>
      </w:r>
      <w:r w:rsidR="000F12F3" w:rsidRPr="00A558EA">
        <w:t xml:space="preserve"> banks at </w:t>
      </w:r>
      <w:r w:rsidR="0015342C" w:rsidRPr="00A558EA">
        <w:t>0.48</w:t>
      </w:r>
      <w:r w:rsidR="000F12F3" w:rsidRPr="00A558EA">
        <w:t>%</w:t>
      </w:r>
      <w:r w:rsidR="0015342C" w:rsidRPr="00A558EA">
        <w:t>, a</w:t>
      </w:r>
      <w:r w:rsidR="000F12F3" w:rsidRPr="00A558EA">
        <w:t>lmost only as half of the other types of banks. This might be due to the high costs of the foreign-owned banks’ operation in China’s financial markets and could also collaborate with the ratio of Cost to Income in the later part of analysis.</w:t>
      </w:r>
      <w:r w:rsidR="003C16AD" w:rsidRPr="003C16AD">
        <w:t xml:space="preserve"> </w:t>
      </w:r>
      <w:r w:rsidR="003C16AD">
        <w:t xml:space="preserve">In the peer group of Bank Types, </w:t>
      </w:r>
      <w:bookmarkStart w:id="50" w:name="_Hlk49839227"/>
      <w:r w:rsidR="003C16AD">
        <w:t xml:space="preserve">the Big Six has the highest ROAA ratio, which might reveal the economies of scale. </w:t>
      </w:r>
      <w:bookmarkEnd w:id="50"/>
      <w:r w:rsidR="003C16AD">
        <w:t xml:space="preserve">Figure 3-1 displays that </w:t>
      </w:r>
      <w:bookmarkStart w:id="51" w:name="_Hlk49839296"/>
      <w:r w:rsidR="003C16AD">
        <w:t>t</w:t>
      </w:r>
      <w:r w:rsidR="000F12F3" w:rsidRPr="00A558EA">
        <w:t xml:space="preserve">he yearly means </w:t>
      </w:r>
      <w:r w:rsidR="006A0BFB" w:rsidRPr="00A558EA">
        <w:t xml:space="preserve">have a trend of decline since 2012/2013, which could reveal the </w:t>
      </w:r>
      <w:r w:rsidR="007277B7">
        <w:t>dis</w:t>
      </w:r>
      <w:r w:rsidR="006A0BFB" w:rsidRPr="00A558EA">
        <w:t xml:space="preserve">proportionate growth of return and the total assets of banks in recent years and could also reveal the competition rising in the banking industry. </w:t>
      </w:r>
      <w:bookmarkEnd w:id="51"/>
    </w:p>
    <w:p w14:paraId="18E8712B" w14:textId="09C94C4D" w:rsidR="00ED11EC" w:rsidRDefault="00ED11EC" w:rsidP="000F03AB">
      <w:pPr>
        <w:spacing w:before="120" w:after="120" w:line="288" w:lineRule="auto"/>
      </w:pPr>
      <w:r>
        <w:rPr>
          <w:noProof/>
        </w:rPr>
        <w:drawing>
          <wp:inline distT="0" distB="0" distL="0" distR="0" wp14:anchorId="24CC2791" wp14:editId="310F86BF">
            <wp:extent cx="6745605" cy="4511615"/>
            <wp:effectExtent l="0" t="0" r="17145" b="3810"/>
            <wp:docPr id="39" name="Chart 39">
              <a:extLst xmlns:a="http://schemas.openxmlformats.org/drawingml/2006/main">
                <a:ext uri="{FF2B5EF4-FFF2-40B4-BE49-F238E27FC236}">
                  <a16:creationId xmlns:a16="http://schemas.microsoft.com/office/drawing/2014/main" id="{81036A65-8EAB-4BF7-BE72-D607116D4B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32DFBBE9" w14:textId="77777777" w:rsidR="003C16AD" w:rsidRPr="007E7766" w:rsidRDefault="003C16AD" w:rsidP="003C16AD">
      <w:pPr>
        <w:spacing w:after="0" w:line="288" w:lineRule="auto"/>
        <w:rPr>
          <w:sz w:val="20"/>
          <w:szCs w:val="20"/>
        </w:rPr>
      </w:pPr>
      <w:r w:rsidRPr="007E7766">
        <w:rPr>
          <w:sz w:val="20"/>
          <w:szCs w:val="20"/>
        </w:rPr>
        <w:t>Data source: the SNL database, the release of the China Banking and Insurance Regulatory Commission (CBIRC) and manual calculation</w:t>
      </w:r>
    </w:p>
    <w:p w14:paraId="1C8DCEE0" w14:textId="77777777" w:rsidR="007E7766" w:rsidRDefault="007E7766" w:rsidP="003C16AD">
      <w:pPr>
        <w:spacing w:after="0" w:line="288" w:lineRule="auto"/>
        <w:rPr>
          <w:sz w:val="18"/>
          <w:szCs w:val="18"/>
        </w:rPr>
      </w:pPr>
    </w:p>
    <w:p w14:paraId="6A4AED89" w14:textId="77777777" w:rsidR="007E7766" w:rsidRPr="00B01D66" w:rsidRDefault="007E7766" w:rsidP="007E7766">
      <w:pPr>
        <w:spacing w:before="120" w:after="120" w:line="288" w:lineRule="auto"/>
        <w:jc w:val="center"/>
        <w:rPr>
          <w:sz w:val="18"/>
          <w:szCs w:val="18"/>
        </w:rPr>
      </w:pPr>
      <w:r w:rsidRPr="00B01D66">
        <w:rPr>
          <w:sz w:val="18"/>
          <w:szCs w:val="18"/>
        </w:rPr>
        <w:t xml:space="preserve">Figure </w:t>
      </w:r>
      <w:r>
        <w:rPr>
          <w:sz w:val="18"/>
          <w:szCs w:val="18"/>
        </w:rPr>
        <w:t>3-1</w:t>
      </w:r>
      <w:r w:rsidRPr="00B01D66">
        <w:rPr>
          <w:sz w:val="18"/>
          <w:szCs w:val="18"/>
        </w:rPr>
        <w:t xml:space="preserve">: The Yearly Means of </w:t>
      </w:r>
      <w:r>
        <w:rPr>
          <w:sz w:val="18"/>
          <w:szCs w:val="18"/>
        </w:rPr>
        <w:t>ROAA</w:t>
      </w:r>
      <w:r w:rsidRPr="00B01D66">
        <w:rPr>
          <w:sz w:val="18"/>
          <w:szCs w:val="18"/>
        </w:rPr>
        <w:t xml:space="preserve"> (Ownership Structures)</w:t>
      </w:r>
    </w:p>
    <w:p w14:paraId="2C12DA3C" w14:textId="77777777" w:rsidR="007E7766" w:rsidRPr="00B01D66" w:rsidRDefault="007E7766" w:rsidP="003C16AD">
      <w:pPr>
        <w:spacing w:after="0" w:line="288" w:lineRule="auto"/>
        <w:rPr>
          <w:sz w:val="18"/>
          <w:szCs w:val="18"/>
        </w:rPr>
      </w:pPr>
    </w:p>
    <w:p w14:paraId="0F74E0A2" w14:textId="2E083EC3" w:rsidR="0023782C" w:rsidRDefault="009939B2" w:rsidP="000F03AB">
      <w:pPr>
        <w:spacing w:before="120" w:after="120" w:line="288" w:lineRule="auto"/>
        <w:rPr>
          <w:color w:val="2F5496" w:themeColor="accent1" w:themeShade="BF"/>
        </w:rPr>
      </w:pPr>
      <w:r w:rsidRPr="00A558EA">
        <w:t xml:space="preserve">The ratios associated with Non-Performing Loans (NPLs) can be divided into two groups with regards to their indications, like two sides of a coin. The group of the ratio of NPLs to total loans and the ratio of problem loans/total loans indicates </w:t>
      </w:r>
      <w:r w:rsidR="006C03FF" w:rsidRPr="00A558EA">
        <w:t xml:space="preserve">the issue of problematic loans. Intuitively the lower the ratios are, the better the asset quality is. The group of the ratios of loan loss reserves/problem loans and loan loss reserves/gross loans means the safeguards a bank puts into its dubious loans, the higher the better. </w:t>
      </w:r>
      <w:bookmarkStart w:id="52" w:name="_Hlk49839327"/>
      <w:r w:rsidR="008D034C">
        <w:t xml:space="preserve">The results are consistent with the country NPL results from the </w:t>
      </w:r>
      <w:r w:rsidR="002205AB" w:rsidRPr="00A558EA">
        <w:t xml:space="preserve">IMF Financial Soundness Indicators for Global Financial Stability Report (2019) </w:t>
      </w:r>
      <w:r w:rsidR="008D034C">
        <w:t xml:space="preserve">that China’s commercial banks have a relatively low rate of NPL. </w:t>
      </w:r>
      <w:bookmarkEnd w:id="52"/>
      <w:r w:rsidR="00752E15">
        <w:t xml:space="preserve">The reason attributed will be explained later. In the above table, </w:t>
      </w:r>
      <w:bookmarkStart w:id="53" w:name="_Hlk49839344"/>
      <w:r w:rsidR="00752E15">
        <w:t>t</w:t>
      </w:r>
      <w:r w:rsidR="006C03FF" w:rsidRPr="00A558EA">
        <w:t xml:space="preserve">he state-owned banks exhibit the lowest means of NPLs </w:t>
      </w:r>
      <w:bookmarkEnd w:id="53"/>
      <w:r w:rsidR="006C03FF" w:rsidRPr="00A558EA">
        <w:t>to total loans and problem loans/total loans (1.</w:t>
      </w:r>
      <w:r w:rsidR="007067DB" w:rsidRPr="00A558EA">
        <w:t>28</w:t>
      </w:r>
      <w:r w:rsidR="006C03FF" w:rsidRPr="00A558EA">
        <w:t>% and 1.</w:t>
      </w:r>
      <w:r w:rsidR="007067DB" w:rsidRPr="00A558EA">
        <w:t>27</w:t>
      </w:r>
      <w:r w:rsidR="006C03FF" w:rsidRPr="00A558EA">
        <w:t xml:space="preserve">%, respectively) amongst all ownership structures. </w:t>
      </w:r>
      <w:r w:rsidR="0019068A">
        <w:t>In terms of bank types, the rural commercial banks have the highest NPL to Gross Loan rate and the ratio of Problem Loans/Gross Total Loans, being 1.96% and 1.9% respectively, which is consistent with the higher credit risk that small and medium banks are facing. Although rural commercial banks also have the highest Loan Loss Reserves/Gross Loans rate as 4.51%, the relatively low ratio of Loan Loss Reserves/Problem Loans, being 258.65%, potentially means that rural commercial banks might not have enough safeguards against the default risk</w:t>
      </w:r>
      <w:r w:rsidR="0019068A" w:rsidRPr="009D27C6">
        <w:t xml:space="preserve">. </w:t>
      </w:r>
      <w:r w:rsidR="0023782C" w:rsidRPr="009D27C6">
        <w:t>The yearly mean of NPLs to total loans exhibit total increase during 2010-2018 in all ownership structures</w:t>
      </w:r>
      <w:r w:rsidR="009D27C6" w:rsidRPr="009D27C6">
        <w:t xml:space="preserve"> except for foreign-owned banks</w:t>
      </w:r>
      <w:r w:rsidR="0023782C" w:rsidRPr="009D27C6">
        <w:t xml:space="preserve">, revealing the highest mean of NPLs to total loans by </w:t>
      </w:r>
      <w:r w:rsidR="009D27C6" w:rsidRPr="009D27C6">
        <w:t>2.44</w:t>
      </w:r>
      <w:r w:rsidR="0023782C" w:rsidRPr="009D27C6">
        <w:t xml:space="preserve">% of the </w:t>
      </w:r>
      <w:r w:rsidR="009D27C6" w:rsidRPr="009D27C6">
        <w:t>joint-stock banks.</w:t>
      </w:r>
      <w:r w:rsidR="0023782C" w:rsidRPr="009D27C6">
        <w:t xml:space="preserve"> </w:t>
      </w:r>
      <w:r w:rsidR="009D27C6" w:rsidRPr="009D27C6">
        <w:t xml:space="preserve">The </w:t>
      </w:r>
      <w:r w:rsidR="0023782C" w:rsidRPr="009D27C6">
        <w:t>foreign owned banks</w:t>
      </w:r>
      <w:r w:rsidR="009D27C6" w:rsidRPr="009D27C6">
        <w:t xml:space="preserve"> demonstrate </w:t>
      </w:r>
      <w:proofErr w:type="gramStart"/>
      <w:r w:rsidR="009D27C6" w:rsidRPr="009D27C6">
        <w:t>the</w:t>
      </w:r>
      <w:proofErr w:type="gramEnd"/>
      <w:r w:rsidR="009D27C6" w:rsidRPr="009D27C6">
        <w:t xml:space="preserve"> descending trend since 2013, the reason possibly relates to their business focus differing from other domestic banks. </w:t>
      </w:r>
      <w:r w:rsidR="0023782C" w:rsidRPr="009D27C6">
        <w:t xml:space="preserve"> </w:t>
      </w:r>
    </w:p>
    <w:p w14:paraId="581FA55B" w14:textId="13B2F210" w:rsidR="009D27C6" w:rsidRDefault="009D27C6" w:rsidP="000F03AB">
      <w:pPr>
        <w:spacing w:before="120" w:after="120" w:line="288" w:lineRule="auto"/>
      </w:pPr>
      <w:r>
        <w:rPr>
          <w:noProof/>
        </w:rPr>
        <w:drawing>
          <wp:inline distT="0" distB="0" distL="0" distR="0" wp14:anchorId="166106EA" wp14:editId="5CDDD102">
            <wp:extent cx="6840220" cy="4632385"/>
            <wp:effectExtent l="0" t="0" r="17780" b="15875"/>
            <wp:docPr id="42" name="Chart 42">
              <a:extLst xmlns:a="http://schemas.openxmlformats.org/drawingml/2006/main">
                <a:ext uri="{FF2B5EF4-FFF2-40B4-BE49-F238E27FC236}">
                  <a16:creationId xmlns:a16="http://schemas.microsoft.com/office/drawing/2014/main" id="{C5C08BCD-D415-4E17-AA40-C7744546E3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40F8AF3F" w14:textId="77777777" w:rsidR="009D27C6" w:rsidRDefault="009D27C6" w:rsidP="009D27C6">
      <w:pPr>
        <w:spacing w:after="0" w:line="288" w:lineRule="auto"/>
        <w:rPr>
          <w:sz w:val="18"/>
          <w:szCs w:val="18"/>
        </w:rPr>
      </w:pPr>
      <w:r w:rsidRPr="005C4444">
        <w:rPr>
          <w:sz w:val="20"/>
          <w:szCs w:val="20"/>
        </w:rPr>
        <w:t>Data source: the SNL database, the release of the China Banking and Insurance Regulatory Commission (CBIRC) and manual calculatio</w:t>
      </w:r>
      <w:r w:rsidRPr="00B01D66">
        <w:rPr>
          <w:sz w:val="18"/>
          <w:szCs w:val="18"/>
        </w:rPr>
        <w:t>n</w:t>
      </w:r>
    </w:p>
    <w:p w14:paraId="5D511483" w14:textId="77777777" w:rsidR="005C4444" w:rsidRDefault="005C4444" w:rsidP="009D27C6">
      <w:pPr>
        <w:spacing w:after="0" w:line="288" w:lineRule="auto"/>
        <w:rPr>
          <w:sz w:val="18"/>
          <w:szCs w:val="18"/>
        </w:rPr>
      </w:pPr>
    </w:p>
    <w:p w14:paraId="3DC39D0A" w14:textId="77777777" w:rsidR="005C4444" w:rsidRPr="00B01D66" w:rsidRDefault="005C4444" w:rsidP="005C4444">
      <w:pPr>
        <w:spacing w:before="120" w:after="120" w:line="288" w:lineRule="auto"/>
        <w:jc w:val="center"/>
        <w:rPr>
          <w:sz w:val="18"/>
          <w:szCs w:val="18"/>
        </w:rPr>
      </w:pPr>
      <w:r w:rsidRPr="00B01D66">
        <w:rPr>
          <w:sz w:val="18"/>
          <w:szCs w:val="18"/>
        </w:rPr>
        <w:t xml:space="preserve">Figure </w:t>
      </w:r>
      <w:r>
        <w:rPr>
          <w:sz w:val="18"/>
          <w:szCs w:val="18"/>
        </w:rPr>
        <w:t>3-2</w:t>
      </w:r>
      <w:r w:rsidRPr="00B01D66">
        <w:rPr>
          <w:sz w:val="18"/>
          <w:szCs w:val="18"/>
        </w:rPr>
        <w:t xml:space="preserve">: The Yearly Means of </w:t>
      </w:r>
      <w:r>
        <w:rPr>
          <w:sz w:val="18"/>
          <w:szCs w:val="18"/>
        </w:rPr>
        <w:t>NPL/Total Gross Loans</w:t>
      </w:r>
      <w:r w:rsidRPr="00B01D66">
        <w:rPr>
          <w:sz w:val="18"/>
          <w:szCs w:val="18"/>
        </w:rPr>
        <w:t xml:space="preserve"> (Ownership Structures)</w:t>
      </w:r>
    </w:p>
    <w:p w14:paraId="54B84F36" w14:textId="77777777" w:rsidR="005C4444" w:rsidRPr="00B01D66" w:rsidRDefault="005C4444" w:rsidP="009D27C6">
      <w:pPr>
        <w:spacing w:after="0" w:line="288" w:lineRule="auto"/>
        <w:rPr>
          <w:sz w:val="18"/>
          <w:szCs w:val="18"/>
        </w:rPr>
      </w:pPr>
    </w:p>
    <w:p w14:paraId="008836B1" w14:textId="2144D86C" w:rsidR="009837F8" w:rsidRPr="00A558EA" w:rsidRDefault="0085582D" w:rsidP="000F03AB">
      <w:pPr>
        <w:spacing w:before="120" w:after="120" w:line="288" w:lineRule="auto"/>
      </w:pPr>
      <w:r w:rsidRPr="00A558EA">
        <w:t xml:space="preserve">The IMF Financial Soundness Indicators for Global Financial Stability Report (2019) reveals that China has a relatively lower NPL ratio (NPLs to total loans) than most members of G20 countries, especially lower than those developing countries, despite increasing </w:t>
      </w:r>
      <w:r w:rsidR="002205AB">
        <w:t xml:space="preserve">overall </w:t>
      </w:r>
      <w:r w:rsidRPr="00A558EA">
        <w:t>since 2010</w:t>
      </w:r>
      <w:r w:rsidR="00C125B7" w:rsidRPr="00A558EA">
        <w:t xml:space="preserve"> (See Part II, Figure </w:t>
      </w:r>
      <w:r w:rsidR="002205AB">
        <w:t>3</w:t>
      </w:r>
      <w:r w:rsidR="00C125B7" w:rsidRPr="00A558EA">
        <w:t>)</w:t>
      </w:r>
      <w:r w:rsidRPr="00A558EA">
        <w:t xml:space="preserve">. </w:t>
      </w:r>
      <w:bookmarkStart w:id="54" w:name="_Hlk49839430"/>
      <w:r w:rsidR="002205AB">
        <w:t xml:space="preserve">One </w:t>
      </w:r>
      <w:r w:rsidRPr="00A558EA">
        <w:t xml:space="preserve">reason </w:t>
      </w:r>
      <w:r w:rsidR="002205AB">
        <w:t xml:space="preserve">could </w:t>
      </w:r>
      <w:r w:rsidRPr="00A558EA">
        <w:t xml:space="preserve">be attributed to </w:t>
      </w:r>
      <w:r w:rsidR="00AE1EDE" w:rsidRPr="00A558EA">
        <w:t xml:space="preserve">China’s financial reform. During the transformations of the Big Six and the city banks, the asset management companies, including the four national ones and those local asset management institutions bought a great amount of NPLs of banks and </w:t>
      </w:r>
      <w:proofErr w:type="gramStart"/>
      <w:r w:rsidR="00AE1EDE" w:rsidRPr="00A558EA">
        <w:t>move</w:t>
      </w:r>
      <w:proofErr w:type="gramEnd"/>
      <w:r w:rsidR="00AE1EDE" w:rsidRPr="00A558EA">
        <w:t xml:space="preserve"> them </w:t>
      </w:r>
      <w:r w:rsidR="002205AB">
        <w:t>off</w:t>
      </w:r>
      <w:r w:rsidR="00AE1EDE" w:rsidRPr="00A558EA">
        <w:t xml:space="preserve"> the banks’ balance sheets. </w:t>
      </w:r>
      <w:bookmarkEnd w:id="54"/>
      <w:r w:rsidR="00AE1EDE" w:rsidRPr="00A558EA">
        <w:t xml:space="preserve">Another effective solution is </w:t>
      </w:r>
      <w:r w:rsidR="002205AB">
        <w:t xml:space="preserve">that </w:t>
      </w:r>
      <w:r w:rsidR="00AE1EDE" w:rsidRPr="00A558EA">
        <w:t>the merg</w:t>
      </w:r>
      <w:r w:rsidR="002205AB">
        <w:t>er</w:t>
      </w:r>
      <w:r w:rsidR="00AE1EDE" w:rsidRPr="00A558EA">
        <w:t>s and consolidations of formal city cooperatives</w:t>
      </w:r>
      <w:r w:rsidR="009A2A98" w:rsidRPr="00A558EA">
        <w:t xml:space="preserve"> after China’s accession to the WTO in 2001</w:t>
      </w:r>
      <w:r w:rsidR="00AE1EDE" w:rsidRPr="00A558EA">
        <w:t xml:space="preserve">. The NPLs which might have been held by </w:t>
      </w:r>
      <w:r w:rsidR="0039026B" w:rsidRPr="00A558EA">
        <w:t>city cooperative reciprocally could been restructured and deducted from the consolidated balance sheets when the new city banks were established. Besides</w:t>
      </w:r>
      <w:r w:rsidR="009A2A98" w:rsidRPr="00A558EA">
        <w:t xml:space="preserve">, </w:t>
      </w:r>
      <w:bookmarkStart w:id="55" w:name="_Hlk49839534"/>
      <w:r w:rsidR="009A2A98" w:rsidRPr="00A558EA">
        <w:t xml:space="preserve">the NPLs might have been reduced or restructured in the process of </w:t>
      </w:r>
      <w:bookmarkEnd w:id="55"/>
      <w:r w:rsidR="009A2A98" w:rsidRPr="00A558EA">
        <w:t>introducing new non-financial institutional shareholders such as private companies. Along with</w:t>
      </w:r>
      <w:r w:rsidR="0039026B" w:rsidRPr="00A558EA">
        <w:t xml:space="preserve"> the business solutions for NPLs, the stringent regulation and supervision upon the NPLs quotas by the CBIRC also help restraining the ratio under limits. The Law of the People’s Republic of China on Banking Supervision and Administration stipulate</w:t>
      </w:r>
      <w:r w:rsidR="001E1138" w:rsidRPr="00A558EA">
        <w:t xml:space="preserve">s that banks’ violation by covering up NPLs or inaccurate classification of NPLs would face official censure. </w:t>
      </w:r>
      <w:r w:rsidR="00714D51">
        <w:fldChar w:fldCharType="begin"/>
      </w:r>
      <w:r w:rsidR="00714D51">
        <w:instrText xml:space="preserve"> ADDIN EN.CITE &lt;EndNote&gt;&lt;Cite AuthorYear="1"&gt;&lt;Author&gt;Zhang&lt;/Author&gt;&lt;Year&gt;2016&lt;/Year&gt;&lt;RecNum&gt;130&lt;/RecNum&gt;&lt;DisplayText&gt;Zhang et al. (2016)&lt;/DisplayText&gt;&lt;record&gt;&lt;rec-number&gt;130&lt;/rec-number&gt;&lt;foreign-keys&gt;&lt;key app="EN" db-id="tewxv52070srvlesdv5x5srafe0w5fspwe2v" timestamp="1597771808"&gt;130&lt;/key&gt;&lt;/foreign-keys&gt;&lt;ref-type name="Journal Article"&gt;17&lt;/ref-type&gt;&lt;contributors&gt;&lt;authors&gt;&lt;author&gt;Zhang, Dayong&lt;/author&gt;&lt;author&gt;Cai, Jing&lt;/author&gt;&lt;author&gt;Dickinson, David G.&lt;/author&gt;&lt;author&gt;Kutan, Ali M.&lt;/author&gt;&lt;/authors&gt;&lt;/contributors&gt;&lt;titles&gt;&lt;title&gt;Non-performing loans, moral hazard and regulation of the Chinese commercial banking system&lt;/title&gt;&lt;secondary-title&gt;Journal of Banking &amp;amp; Finance&lt;/secondary-title&gt;&lt;/titles&gt;&lt;periodical&gt;&lt;full-title&gt;Journal of Banking &amp;amp; Finance&lt;/full-title&gt;&lt;/periodical&gt;&lt;pages&gt;48-60&lt;/pages&gt;&lt;volume&gt;63&lt;/volume&gt;&lt;keywords&gt;&lt;keyword&gt;Non-performing loans&lt;/keyword&gt;&lt;keyword&gt;Moral hazard&lt;/keyword&gt;&lt;keyword&gt;Lending behavior&lt;/keyword&gt;&lt;keyword&gt;Threshold panel regression&lt;/keyword&gt;&lt;keyword&gt;Bank regulation&lt;/keyword&gt;&lt;/keywords&gt;&lt;dates&gt;&lt;year&gt;2016&lt;/year&gt;&lt;pub-dates&gt;&lt;date&gt;2016/02/01/&lt;/date&gt;&lt;/pub-dates&gt;&lt;/dates&gt;&lt;isbn&gt;0378-4266&lt;/isbn&gt;&lt;urls&gt;&lt;related-urls&gt;&lt;url&gt;http://www.sciencedirect.com/science/article/pii/S0378426615003192&lt;/url&gt;&lt;/related-urls&gt;&lt;/urls&gt;&lt;electronic-resource-num&gt;https://doi.org/10.1016/j.jbankfin.2015.11.010&lt;/electronic-resource-num&gt;&lt;/record&gt;&lt;/Cite&gt;&lt;/EndNote&gt;</w:instrText>
      </w:r>
      <w:r w:rsidR="00714D51">
        <w:fldChar w:fldCharType="separate"/>
      </w:r>
      <w:r w:rsidR="00714D51">
        <w:rPr>
          <w:noProof/>
        </w:rPr>
        <w:t>Zhang et al. (2016)</w:t>
      </w:r>
      <w:r w:rsidR="00714D51">
        <w:fldChar w:fldCharType="end"/>
      </w:r>
      <w:r w:rsidR="00714D51">
        <w:t xml:space="preserve"> provides evidence that the restrictions on NPLs by the CBIRC and the capital injection by the government </w:t>
      </w:r>
      <w:proofErr w:type="gramStart"/>
      <w:r w:rsidR="00714D51">
        <w:t>in order to</w:t>
      </w:r>
      <w:proofErr w:type="gramEnd"/>
      <w:r w:rsidR="00714D51">
        <w:t xml:space="preserve"> control the NPL level. </w:t>
      </w:r>
    </w:p>
    <w:p w14:paraId="389DE858" w14:textId="55B5EF4C" w:rsidR="001E1138" w:rsidRPr="00EC5796" w:rsidRDefault="00481820" w:rsidP="000F03AB">
      <w:pPr>
        <w:spacing w:before="120" w:after="120" w:line="288" w:lineRule="auto"/>
      </w:pPr>
      <w:r w:rsidRPr="00A558EA">
        <w:t xml:space="preserve">The last ratio in assessing asset quality is net loans/total assets. The state-owned banks and the joint-stock banks have the close means of this ratio at </w:t>
      </w:r>
      <w:r w:rsidR="00C125B7" w:rsidRPr="00A558EA">
        <w:t>46.79</w:t>
      </w:r>
      <w:r w:rsidRPr="00A558EA">
        <w:t xml:space="preserve">% and </w:t>
      </w:r>
      <w:r w:rsidR="00C125B7" w:rsidRPr="00A558EA">
        <w:t>46.63</w:t>
      </w:r>
      <w:r w:rsidRPr="00A558EA">
        <w:t xml:space="preserve">% </w:t>
      </w:r>
      <w:proofErr w:type="gramStart"/>
      <w:r w:rsidRPr="00A558EA">
        <w:t>respectively;</w:t>
      </w:r>
      <w:proofErr w:type="gramEnd"/>
      <w:r w:rsidRPr="00A558EA">
        <w:t xml:space="preserve"> while the similar means are held by the local government holding banks and the foreign joint-stock banks around 4</w:t>
      </w:r>
      <w:r w:rsidR="00C125B7" w:rsidRPr="00A558EA">
        <w:t>2</w:t>
      </w:r>
      <w:r w:rsidRPr="00A558EA">
        <w:t>%. The foreign owned banks, however, have a lower mean of net loans/total assets by 37.3</w:t>
      </w:r>
      <w:r w:rsidR="00C125B7" w:rsidRPr="00A558EA">
        <w:t>3</w:t>
      </w:r>
      <w:r w:rsidRPr="00A558EA">
        <w:t>%</w:t>
      </w:r>
      <w:r w:rsidR="00897899" w:rsidRPr="00A558EA">
        <w:t xml:space="preserve">, which is probably due to the </w:t>
      </w:r>
      <w:r w:rsidR="009A2A98" w:rsidRPr="00A558EA">
        <w:t xml:space="preserve">smaller size of loans of the foreign owned banks compared to domestic banks, although the restriction upon local currency banking business had been lifted entirely since 2006. </w:t>
      </w:r>
      <w:r w:rsidR="00EC5796" w:rsidRPr="00EC5796">
        <w:t>Figure 3-3 discloses that t</w:t>
      </w:r>
      <w:r w:rsidR="00BE179A" w:rsidRPr="00EC5796">
        <w:t xml:space="preserve">he yearly variance of net loans/total assets of all ownership structures are not significant from a long-term perspective, which might indicate that the relatively proportional changes between net loans and the total assets of banks. </w:t>
      </w:r>
    </w:p>
    <w:p w14:paraId="1C90CADE" w14:textId="70F8F1DC" w:rsidR="00EC5796" w:rsidRDefault="00EC5796" w:rsidP="000F03AB">
      <w:pPr>
        <w:spacing w:before="120" w:after="120" w:line="288" w:lineRule="auto"/>
      </w:pPr>
      <w:r>
        <w:rPr>
          <w:noProof/>
        </w:rPr>
        <w:drawing>
          <wp:inline distT="0" distB="0" distL="0" distR="0" wp14:anchorId="360F23CD" wp14:editId="5279A2FB">
            <wp:extent cx="6883879" cy="4796155"/>
            <wp:effectExtent l="0" t="0" r="12700" b="4445"/>
            <wp:docPr id="44" name="Chart 44">
              <a:extLst xmlns:a="http://schemas.openxmlformats.org/drawingml/2006/main">
                <a:ext uri="{FF2B5EF4-FFF2-40B4-BE49-F238E27FC236}">
                  <a16:creationId xmlns:a16="http://schemas.microsoft.com/office/drawing/2014/main" id="{5786361F-C699-416C-898A-04C067A0105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69DA2C05" w14:textId="77777777" w:rsidR="00EC5796" w:rsidRPr="005C4444" w:rsidRDefault="00EC5796" w:rsidP="00EC5796">
      <w:pPr>
        <w:spacing w:after="0" w:line="288" w:lineRule="auto"/>
        <w:rPr>
          <w:sz w:val="20"/>
          <w:szCs w:val="20"/>
        </w:rPr>
      </w:pPr>
      <w:r w:rsidRPr="005C4444">
        <w:rPr>
          <w:sz w:val="20"/>
          <w:szCs w:val="20"/>
        </w:rPr>
        <w:t>Data source: the SNL database, the release of the China Banking and Insurance Regulatory Commission (CBIRC) and manual calculation</w:t>
      </w:r>
    </w:p>
    <w:p w14:paraId="747DC7CA" w14:textId="77777777" w:rsidR="005C4444" w:rsidRPr="00B01D66" w:rsidRDefault="005C4444" w:rsidP="005C4444">
      <w:pPr>
        <w:spacing w:before="120" w:after="120" w:line="288" w:lineRule="auto"/>
        <w:jc w:val="center"/>
        <w:rPr>
          <w:sz w:val="18"/>
          <w:szCs w:val="18"/>
        </w:rPr>
      </w:pPr>
      <w:r w:rsidRPr="00B01D66">
        <w:rPr>
          <w:sz w:val="18"/>
          <w:szCs w:val="18"/>
        </w:rPr>
        <w:t xml:space="preserve">Figure </w:t>
      </w:r>
      <w:r>
        <w:rPr>
          <w:sz w:val="18"/>
          <w:szCs w:val="18"/>
        </w:rPr>
        <w:t>3-3</w:t>
      </w:r>
      <w:r w:rsidRPr="00B01D66">
        <w:rPr>
          <w:sz w:val="18"/>
          <w:szCs w:val="18"/>
        </w:rPr>
        <w:t xml:space="preserve">: The Yearly Means of </w:t>
      </w:r>
      <w:r>
        <w:rPr>
          <w:sz w:val="18"/>
          <w:szCs w:val="18"/>
        </w:rPr>
        <w:t>Total Net Loans/Total Assets</w:t>
      </w:r>
      <w:r w:rsidRPr="00B01D66">
        <w:rPr>
          <w:sz w:val="18"/>
          <w:szCs w:val="18"/>
        </w:rPr>
        <w:t xml:space="preserve"> (Ownership Structures)</w:t>
      </w:r>
    </w:p>
    <w:p w14:paraId="19636AFA" w14:textId="77777777" w:rsidR="00EC5796" w:rsidRPr="00A558EA" w:rsidRDefault="00EC5796" w:rsidP="000F03AB">
      <w:pPr>
        <w:spacing w:before="120" w:after="120" w:line="288" w:lineRule="auto"/>
      </w:pPr>
    </w:p>
    <w:p w14:paraId="35733974" w14:textId="69D4C65C" w:rsidR="00BE179A" w:rsidRPr="00A558EA" w:rsidRDefault="00BE179A" w:rsidP="000F03AB">
      <w:pPr>
        <w:pStyle w:val="Heading4"/>
        <w:spacing w:before="120" w:after="120" w:line="288" w:lineRule="auto"/>
        <w:rPr>
          <w:rFonts w:ascii="Corbel" w:hAnsi="Corbel"/>
          <w:u w:val="single"/>
        </w:rPr>
      </w:pPr>
      <w:r w:rsidRPr="00A558EA">
        <w:rPr>
          <w:rFonts w:ascii="Corbel" w:hAnsi="Corbel"/>
          <w:u w:val="single"/>
        </w:rPr>
        <w:t xml:space="preserve">CAMEL Ratios </w:t>
      </w:r>
      <w:r w:rsidR="009D3DC7">
        <w:rPr>
          <w:rFonts w:ascii="Corbel" w:hAnsi="Corbel"/>
          <w:u w:val="single"/>
        </w:rPr>
        <w:t xml:space="preserve">of commercial banks </w:t>
      </w:r>
      <w:r w:rsidRPr="00A558EA">
        <w:rPr>
          <w:rFonts w:ascii="Corbel" w:hAnsi="Corbel"/>
          <w:u w:val="single"/>
        </w:rPr>
        <w:t>– Management Quality</w:t>
      </w:r>
    </w:p>
    <w:bookmarkStart w:id="56" w:name="_MON_1658265114"/>
    <w:bookmarkEnd w:id="56"/>
    <w:p w14:paraId="434459B6" w14:textId="58BB3EAC" w:rsidR="00C125B7" w:rsidRDefault="00B55117" w:rsidP="00C125B7">
      <w:r>
        <w:object w:dxaOrig="6438" w:dyaOrig="1978" w14:anchorId="47783719">
          <v:shape id="_x0000_i1032" type="#_x0000_t75" style="width:468.7pt;height:133.8pt" o:ole="">
            <v:imagedata r:id="rId32" o:title=""/>
          </v:shape>
          <o:OLEObject Type="Embed" ProgID="Excel.Sheet.12" ShapeID="_x0000_i1032" DrawAspect="Content" ObjectID="_1767565668" r:id="rId33"/>
        </w:object>
      </w:r>
    </w:p>
    <w:p w14:paraId="218DBD56" w14:textId="74B2980A" w:rsidR="00C125B7" w:rsidRPr="00A558EA" w:rsidRDefault="00C125B7" w:rsidP="007B7BCE">
      <w:pPr>
        <w:spacing w:after="0" w:line="288" w:lineRule="auto"/>
        <w:jc w:val="center"/>
        <w:rPr>
          <w:sz w:val="18"/>
          <w:szCs w:val="18"/>
        </w:rPr>
      </w:pPr>
      <w:r w:rsidRPr="00A558EA">
        <w:rPr>
          <w:sz w:val="18"/>
          <w:szCs w:val="18"/>
        </w:rPr>
        <w:t xml:space="preserve">Table </w:t>
      </w:r>
      <w:r w:rsidR="00B55117">
        <w:rPr>
          <w:sz w:val="18"/>
          <w:szCs w:val="18"/>
        </w:rPr>
        <w:t>*</w:t>
      </w:r>
      <w:r w:rsidR="0019068A">
        <w:rPr>
          <w:sz w:val="18"/>
          <w:szCs w:val="18"/>
        </w:rPr>
        <w:t>-</w:t>
      </w:r>
      <w:r w:rsidR="00B55117">
        <w:rPr>
          <w:sz w:val="18"/>
          <w:szCs w:val="18"/>
        </w:rPr>
        <w:t>3</w:t>
      </w:r>
      <w:r w:rsidRPr="00A558EA">
        <w:rPr>
          <w:sz w:val="18"/>
          <w:szCs w:val="18"/>
        </w:rPr>
        <w:t>: CAMEL Ratios – Management Quality</w:t>
      </w:r>
      <w:r w:rsidR="0019068A">
        <w:rPr>
          <w:sz w:val="18"/>
          <w:szCs w:val="18"/>
        </w:rPr>
        <w:t xml:space="preserve"> (Ownership Structures)</w:t>
      </w:r>
    </w:p>
    <w:p w14:paraId="13DE592D" w14:textId="5A00A43A" w:rsidR="0019068A" w:rsidRDefault="00B55117" w:rsidP="007B7BCE">
      <w:pPr>
        <w:spacing w:before="120" w:after="120" w:line="288" w:lineRule="auto"/>
      </w:pPr>
      <w:r>
        <w:object w:dxaOrig="6529" w:dyaOrig="2468" w14:anchorId="37F86448">
          <v:shape id="_x0000_i1033" type="#_x0000_t75" style="width:468.8pt;height:153.5pt" o:ole="">
            <v:imagedata r:id="rId34" o:title=""/>
          </v:shape>
          <o:OLEObject Type="Embed" ProgID="Excel.Sheet.12" ShapeID="_x0000_i1033" DrawAspect="Content" ObjectID="_1767565669" r:id="rId35"/>
        </w:object>
      </w:r>
    </w:p>
    <w:p w14:paraId="0BD415BB" w14:textId="0A2559A7" w:rsidR="0019068A" w:rsidRPr="00A558EA" w:rsidRDefault="0019068A" w:rsidP="0019068A">
      <w:pPr>
        <w:spacing w:after="0" w:line="288" w:lineRule="auto"/>
        <w:jc w:val="center"/>
        <w:rPr>
          <w:sz w:val="18"/>
          <w:szCs w:val="18"/>
        </w:rPr>
      </w:pPr>
      <w:r w:rsidRPr="00A558EA">
        <w:rPr>
          <w:sz w:val="18"/>
          <w:szCs w:val="18"/>
        </w:rPr>
        <w:t xml:space="preserve">Table </w:t>
      </w:r>
      <w:r w:rsidR="00B55117">
        <w:rPr>
          <w:sz w:val="18"/>
          <w:szCs w:val="18"/>
        </w:rPr>
        <w:t>*</w:t>
      </w:r>
      <w:r>
        <w:rPr>
          <w:sz w:val="18"/>
          <w:szCs w:val="18"/>
        </w:rPr>
        <w:t>-</w:t>
      </w:r>
      <w:r w:rsidR="00B55117">
        <w:rPr>
          <w:sz w:val="18"/>
          <w:szCs w:val="18"/>
        </w:rPr>
        <w:t>4</w:t>
      </w:r>
      <w:r w:rsidRPr="00A558EA">
        <w:rPr>
          <w:sz w:val="18"/>
          <w:szCs w:val="18"/>
        </w:rPr>
        <w:t>: CAMEL Ratios – Management Quality</w:t>
      </w:r>
      <w:r>
        <w:rPr>
          <w:sz w:val="18"/>
          <w:szCs w:val="18"/>
        </w:rPr>
        <w:t xml:space="preserve"> (Bank Types)</w:t>
      </w:r>
    </w:p>
    <w:p w14:paraId="6252511E" w14:textId="15FBC827" w:rsidR="0019068A" w:rsidRDefault="0019068A" w:rsidP="0019068A">
      <w:pPr>
        <w:spacing w:after="0" w:line="288" w:lineRule="auto"/>
        <w:rPr>
          <w:sz w:val="20"/>
          <w:szCs w:val="20"/>
        </w:rPr>
      </w:pPr>
      <w:r w:rsidRPr="00B55117">
        <w:rPr>
          <w:sz w:val="20"/>
          <w:szCs w:val="20"/>
        </w:rPr>
        <w:t>Data source: the SNL database, the release of the China Banking and Insurance Regulatory Commission (CBIRC) and manual calculation</w:t>
      </w:r>
    </w:p>
    <w:p w14:paraId="77AA8C64" w14:textId="77777777" w:rsidR="00B55117" w:rsidRDefault="00B55117" w:rsidP="0019068A">
      <w:pPr>
        <w:spacing w:after="0" w:line="288" w:lineRule="auto"/>
        <w:rPr>
          <w:sz w:val="20"/>
          <w:szCs w:val="20"/>
        </w:rPr>
      </w:pPr>
    </w:p>
    <w:p w14:paraId="6D6DB15C" w14:textId="77777777" w:rsidR="00B55117" w:rsidRDefault="00B55117" w:rsidP="0019068A">
      <w:pPr>
        <w:spacing w:after="0" w:line="288" w:lineRule="auto"/>
        <w:rPr>
          <w:sz w:val="20"/>
          <w:szCs w:val="20"/>
        </w:rPr>
      </w:pPr>
    </w:p>
    <w:p w14:paraId="5FA31690" w14:textId="77777777" w:rsidR="00B55117" w:rsidRPr="00B55117" w:rsidRDefault="00B55117" w:rsidP="0019068A">
      <w:pPr>
        <w:spacing w:after="0" w:line="288" w:lineRule="auto"/>
        <w:rPr>
          <w:sz w:val="20"/>
          <w:szCs w:val="20"/>
        </w:rPr>
      </w:pPr>
    </w:p>
    <w:p w14:paraId="773A3A02" w14:textId="291A5145" w:rsidR="009F209B" w:rsidRDefault="009F209B" w:rsidP="0019068A">
      <w:pPr>
        <w:spacing w:after="0" w:line="288" w:lineRule="auto"/>
        <w:rPr>
          <w:sz w:val="18"/>
          <w:szCs w:val="18"/>
        </w:rPr>
      </w:pPr>
      <w:r>
        <w:rPr>
          <w:noProof/>
        </w:rPr>
        <w:drawing>
          <wp:inline distT="0" distB="0" distL="0" distR="0" wp14:anchorId="048A448D" wp14:editId="2B8E45A8">
            <wp:extent cx="6823075" cy="4727275"/>
            <wp:effectExtent l="0" t="0" r="15875" b="16510"/>
            <wp:docPr id="43" name="Chart 43">
              <a:extLst xmlns:a="http://schemas.openxmlformats.org/drawingml/2006/main">
                <a:ext uri="{FF2B5EF4-FFF2-40B4-BE49-F238E27FC236}">
                  <a16:creationId xmlns:a16="http://schemas.microsoft.com/office/drawing/2014/main" id="{BAC8AC5C-CEF8-48D9-9720-657EA21206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5674C37C" w14:textId="77777777" w:rsidR="009F209B" w:rsidRPr="00B55117" w:rsidRDefault="009F209B" w:rsidP="009F209B">
      <w:pPr>
        <w:spacing w:after="0" w:line="288" w:lineRule="auto"/>
        <w:rPr>
          <w:sz w:val="20"/>
          <w:szCs w:val="20"/>
        </w:rPr>
      </w:pPr>
      <w:r w:rsidRPr="00B55117">
        <w:rPr>
          <w:sz w:val="20"/>
          <w:szCs w:val="20"/>
        </w:rPr>
        <w:t>Data source: the SNL database, the release of the China Banking and Insurance Regulatory Commission (CBIRC) and manual calculation</w:t>
      </w:r>
    </w:p>
    <w:p w14:paraId="2BFF8CFF" w14:textId="77777777" w:rsidR="00B55117" w:rsidRDefault="00B55117" w:rsidP="00B55117">
      <w:pPr>
        <w:spacing w:after="0" w:line="288" w:lineRule="auto"/>
        <w:jc w:val="center"/>
        <w:rPr>
          <w:sz w:val="18"/>
          <w:szCs w:val="18"/>
        </w:rPr>
      </w:pPr>
    </w:p>
    <w:p w14:paraId="605D6F80" w14:textId="7B8B59C3" w:rsidR="00B55117" w:rsidRPr="00A558EA" w:rsidRDefault="00B55117" w:rsidP="00B55117">
      <w:pPr>
        <w:spacing w:after="0" w:line="288" w:lineRule="auto"/>
        <w:jc w:val="center"/>
        <w:rPr>
          <w:sz w:val="18"/>
          <w:szCs w:val="18"/>
        </w:rPr>
      </w:pPr>
      <w:r>
        <w:rPr>
          <w:sz w:val="18"/>
          <w:szCs w:val="18"/>
        </w:rPr>
        <w:t>Figure 4</w:t>
      </w:r>
      <w:r w:rsidRPr="00A558EA">
        <w:rPr>
          <w:sz w:val="18"/>
          <w:szCs w:val="18"/>
        </w:rPr>
        <w:t xml:space="preserve">: </w:t>
      </w:r>
      <w:r w:rsidRPr="00B01D66">
        <w:rPr>
          <w:sz w:val="18"/>
          <w:szCs w:val="18"/>
        </w:rPr>
        <w:t xml:space="preserve">The Yearly Means of </w:t>
      </w:r>
      <w:r>
        <w:rPr>
          <w:sz w:val="18"/>
          <w:szCs w:val="18"/>
        </w:rPr>
        <w:t>Cost/Income</w:t>
      </w:r>
      <w:r w:rsidRPr="00B01D66">
        <w:rPr>
          <w:sz w:val="18"/>
          <w:szCs w:val="18"/>
        </w:rPr>
        <w:t xml:space="preserve"> (Ownership Structures)</w:t>
      </w:r>
    </w:p>
    <w:p w14:paraId="5245F1E3" w14:textId="77777777" w:rsidR="00B55117" w:rsidRDefault="00B55117" w:rsidP="009F209B">
      <w:pPr>
        <w:spacing w:after="0" w:line="288" w:lineRule="auto"/>
        <w:rPr>
          <w:sz w:val="18"/>
          <w:szCs w:val="18"/>
        </w:rPr>
      </w:pPr>
    </w:p>
    <w:p w14:paraId="46580FE7" w14:textId="5F47E4B3" w:rsidR="007D7EA0" w:rsidRPr="00A558EA" w:rsidRDefault="00BE179A" w:rsidP="007B7BCE">
      <w:pPr>
        <w:spacing w:before="120" w:after="120" w:line="288" w:lineRule="auto"/>
      </w:pPr>
      <w:commentRangeStart w:id="57"/>
      <w:r w:rsidRPr="00A558EA">
        <w:t xml:space="preserve">In the CAMEL rating system, management quality is evaluated by the ratio of </w:t>
      </w:r>
      <w:r w:rsidR="00B4152B" w:rsidRPr="00A558EA">
        <w:t xml:space="preserve">cost-to-income. </w:t>
      </w:r>
      <w:bookmarkStart w:id="58" w:name="_Hlk49839670"/>
      <w:r w:rsidR="00B4152B" w:rsidRPr="00A558EA">
        <w:t xml:space="preserve">Domestic banks have </w:t>
      </w:r>
      <w:proofErr w:type="gramStart"/>
      <w:r w:rsidR="00B4152B" w:rsidRPr="00A558EA">
        <w:t>the similar</w:t>
      </w:r>
      <w:proofErr w:type="gramEnd"/>
      <w:r w:rsidR="00B4152B" w:rsidRPr="00A558EA">
        <w:t xml:space="preserve"> cost-to-income ratios </w:t>
      </w:r>
      <w:bookmarkEnd w:id="58"/>
      <w:r w:rsidR="00B4152B" w:rsidRPr="00A558EA">
        <w:t>in the range of over 37</w:t>
      </w:r>
      <w:r w:rsidR="00C125B7" w:rsidRPr="00A558EA">
        <w:t>.9</w:t>
      </w:r>
      <w:r w:rsidR="00B4152B" w:rsidRPr="00A558EA">
        <w:t>% to nearly 40%, with the state-owned banks having the lowest at 37.</w:t>
      </w:r>
      <w:r w:rsidR="00C125B7" w:rsidRPr="00A558EA">
        <w:t>97</w:t>
      </w:r>
      <w:r w:rsidR="00B4152B" w:rsidRPr="00A558EA">
        <w:t>% and the joint-stock banks having the highest at 39.</w:t>
      </w:r>
      <w:r w:rsidR="00C125B7" w:rsidRPr="00A558EA">
        <w:t>97</w:t>
      </w:r>
      <w:r w:rsidR="00B4152B" w:rsidRPr="00A558EA">
        <w:t>%. However, the foreign owned banks have almost twice cost-to-income ratio as the domestic banks, presenting the number as 70.1</w:t>
      </w:r>
      <w:r w:rsidR="00C125B7" w:rsidRPr="00A558EA">
        <w:t>7</w:t>
      </w:r>
      <w:r w:rsidR="00D31C63" w:rsidRPr="00A558EA">
        <w:t xml:space="preserve">%. </w:t>
      </w:r>
      <w:r w:rsidR="00D31C63" w:rsidRPr="00A558EA">
        <w:fldChar w:fldCharType="begin"/>
      </w:r>
      <w:r w:rsidR="00BD60A0">
        <w:instrText xml:space="preserve"> ADDIN EN.CITE &lt;EndNote&gt;&lt;Cite AuthorYear="1"&gt;&lt;Author&gt;Bitar&lt;/Author&gt;&lt;Year&gt;2018&lt;/Year&gt;&lt;RecNum&gt;126&lt;/RecNum&gt;&lt;DisplayText&gt;Bitar et al. (2018)&lt;/DisplayText&gt;&lt;record&gt;&lt;rec-number&gt;126&lt;/rec-number&gt;&lt;foreign-keys&gt;&lt;key app="EN" db-id="tewxv52070srvlesdv5x5srafe0w5fspwe2v" timestamp="1596126108"&gt;126&lt;/key&gt;&lt;/foreign-keys&gt;&lt;ref-type name="Journal Article"&gt;17&lt;/ref-type&gt;&lt;contributors&gt;&lt;authors&gt;&lt;author&gt;Bitar, Mohammad&lt;/author&gt;&lt;author&gt;Pukthuanthong, Kuntara&lt;/author&gt;&lt;author&gt;Walker, Thomas&lt;/author&gt;&lt;/authors&gt;&lt;/contributors&gt;&lt;titles&gt;&lt;title&gt;The effect of capital ratios on the risk, efficiency and profitability of banks: Evidence from OECD countries&lt;/title&gt;&lt;secondary-title&gt;Journal of International Financial Markets, Institutions and Money&lt;/secondary-title&gt;&lt;/titles&gt;&lt;periodical&gt;&lt;full-title&gt;Journal of International Financial Markets, Institutions and Money&lt;/full-title&gt;&lt;/periodical&gt;&lt;pages&gt;227-262&lt;/pages&gt;&lt;volume&gt;53&lt;/volume&gt;&lt;keywords&gt;&lt;keyword&gt;Bank capital&lt;/keyword&gt;&lt;keyword&gt;Basel capital&lt;/keyword&gt;&lt;keyword&gt;Risk&lt;/keyword&gt;&lt;keyword&gt;Efficiency&lt;/keyword&gt;&lt;keyword&gt;Profitability&lt;/keyword&gt;&lt;keyword&gt;Principal component analysis&lt;/keyword&gt;&lt;keyword&gt;Quantile regressions&lt;/keyword&gt;&lt;/keywords&gt;&lt;dates&gt;&lt;year&gt;2018&lt;/year&gt;&lt;pub-dates&gt;&lt;date&gt;2018/03/01/&lt;/date&gt;&lt;/pub-dates&gt;&lt;/dates&gt;&lt;isbn&gt;1042-4431&lt;/isbn&gt;&lt;urls&gt;&lt;related-urls&gt;&lt;url&gt;http://www.sciencedirect.com/science/article/pii/S104244311730598X&lt;/url&gt;&lt;/related-urls&gt;&lt;/urls&gt;&lt;electronic-resource-num&gt;https://doi.org/10.1016/j.intfin.2017.12.002&lt;/electronic-resource-num&gt;&lt;/record&gt;&lt;/Cite&gt;&lt;/EndNote&gt;</w:instrText>
      </w:r>
      <w:r w:rsidR="00D31C63" w:rsidRPr="00A558EA">
        <w:fldChar w:fldCharType="separate"/>
      </w:r>
      <w:r w:rsidR="00D31C63" w:rsidRPr="00A558EA">
        <w:rPr>
          <w:noProof/>
        </w:rPr>
        <w:t>Bitar et al. (2018)</w:t>
      </w:r>
      <w:r w:rsidR="00D31C63" w:rsidRPr="00A558EA">
        <w:fldChar w:fldCharType="end"/>
      </w:r>
      <w:r w:rsidR="00B4152B" w:rsidRPr="00A558EA">
        <w:t xml:space="preserve"> </w:t>
      </w:r>
      <w:r w:rsidR="00D31C63" w:rsidRPr="00A558EA">
        <w:t xml:space="preserve">examined </w:t>
      </w:r>
      <w:bookmarkStart w:id="59" w:name="_Hlk49839750"/>
      <w:r w:rsidR="00D31C63" w:rsidRPr="00A558EA">
        <w:t xml:space="preserve">1992 banks in 39 OECD countries </w:t>
      </w:r>
      <w:bookmarkEnd w:id="59"/>
      <w:r w:rsidR="00D31C63" w:rsidRPr="00A558EA">
        <w:t xml:space="preserve">and found the mean of cost-to-income ratio as 70.8%. </w:t>
      </w:r>
      <w:proofErr w:type="gramStart"/>
      <w:r w:rsidR="00D31C63" w:rsidRPr="00A558EA">
        <w:t>Comparing the value of the cost-to-income ratio with the existing literature, it</w:t>
      </w:r>
      <w:proofErr w:type="gramEnd"/>
      <w:r w:rsidR="00D31C63" w:rsidRPr="00A558EA">
        <w:t xml:space="preserve"> may imply that the Chinese banks have a lower cost while the foreign owned banks have the normal cost in their business. </w:t>
      </w:r>
      <w:r w:rsidR="0019068A">
        <w:t xml:space="preserve">The results of the peer group of Bank Types are consistent with </w:t>
      </w:r>
      <w:r w:rsidR="002205AB">
        <w:t>that</w:t>
      </w:r>
      <w:r w:rsidR="0019068A">
        <w:t xml:space="preserve"> of Ownership Structures. The corporation banks have the highest mean of this ratio as 43.51%, which </w:t>
      </w:r>
      <w:proofErr w:type="gramStart"/>
      <w:r w:rsidR="0019068A">
        <w:t>might</w:t>
      </w:r>
      <w:proofErr w:type="gramEnd"/>
      <w:r w:rsidR="0019068A">
        <w:t xml:space="preserve"> </w:t>
      </w:r>
      <w:proofErr w:type="gramStart"/>
      <w:r w:rsidR="0019068A">
        <w:t>due</w:t>
      </w:r>
      <w:proofErr w:type="gramEnd"/>
      <w:r w:rsidR="0019068A">
        <w:t xml:space="preserve"> to the facts that most of these banks are relatively new banks and have specific geographic and/or industrial focuses. </w:t>
      </w:r>
      <w:r w:rsidR="009F209B">
        <w:t>Apart from the foreign-owned banks</w:t>
      </w:r>
      <w:r w:rsidR="009F209B" w:rsidRPr="009F209B">
        <w:t xml:space="preserve">, </w:t>
      </w:r>
      <w:bookmarkStart w:id="60" w:name="_Hlk49839780"/>
      <w:r w:rsidR="009F209B" w:rsidRPr="009F209B">
        <w:t>t</w:t>
      </w:r>
      <w:r w:rsidR="00D31C63" w:rsidRPr="009F209B">
        <w:t xml:space="preserve">he overall decreasing tendency of the movement of the ratio has been displayed for all ownership structures through the past </w:t>
      </w:r>
      <w:r w:rsidR="00C125B7" w:rsidRPr="009F209B">
        <w:t>10</w:t>
      </w:r>
      <w:r w:rsidR="00D31C63" w:rsidRPr="009F209B">
        <w:t xml:space="preserve"> years</w:t>
      </w:r>
      <w:r w:rsidR="009F209B">
        <w:t xml:space="preserve"> </w:t>
      </w:r>
      <w:bookmarkEnd w:id="60"/>
      <w:r w:rsidR="009F209B">
        <w:t>(presented in Figure 4)</w:t>
      </w:r>
      <w:r w:rsidR="00D31C63" w:rsidRPr="009F209B">
        <w:t xml:space="preserve">. </w:t>
      </w:r>
      <w:r w:rsidR="00107BEF" w:rsidRPr="00A558EA">
        <w:t xml:space="preserve">The fact that Chinese banks have a lower cost </w:t>
      </w:r>
      <w:proofErr w:type="gramStart"/>
      <w:r w:rsidR="00107BEF" w:rsidRPr="00A558EA">
        <w:t>might</w:t>
      </w:r>
      <w:proofErr w:type="gramEnd"/>
      <w:r w:rsidR="00107BEF" w:rsidRPr="00A558EA">
        <w:t xml:space="preserve"> </w:t>
      </w:r>
      <w:r w:rsidR="002205AB">
        <w:t xml:space="preserve">due </w:t>
      </w:r>
      <w:r w:rsidR="00107BEF" w:rsidRPr="00A558EA">
        <w:t xml:space="preserve">to two main reasons. First, </w:t>
      </w:r>
      <w:bookmarkStart w:id="61" w:name="_Hlk49839810"/>
      <w:r w:rsidR="00107BEF" w:rsidRPr="00A558EA">
        <w:t xml:space="preserve">interest </w:t>
      </w:r>
      <w:proofErr w:type="gramStart"/>
      <w:r w:rsidR="00107BEF" w:rsidRPr="00A558EA">
        <w:t>rates</w:t>
      </w:r>
      <w:proofErr w:type="gramEnd"/>
      <w:r w:rsidR="00107BEF" w:rsidRPr="00A558EA">
        <w:t xml:space="preserve"> including deposit and loan interest rates </w:t>
      </w:r>
      <w:r w:rsidR="00C125B7" w:rsidRPr="00A558EA">
        <w:t>have been</w:t>
      </w:r>
      <w:r w:rsidR="00107BEF" w:rsidRPr="00A558EA">
        <w:t xml:space="preserve"> </w:t>
      </w:r>
      <w:r w:rsidR="00496ED8" w:rsidRPr="00A558EA">
        <w:t>under the stringent guidance</w:t>
      </w:r>
      <w:proofErr w:type="gramStart"/>
      <w:r w:rsidR="00107BEF" w:rsidRPr="00A558EA">
        <w:t xml:space="preserve">, </w:t>
      </w:r>
      <w:bookmarkEnd w:id="61"/>
      <w:r w:rsidR="00107BEF" w:rsidRPr="00A558EA">
        <w:t>to a great extent,</w:t>
      </w:r>
      <w:proofErr w:type="gramEnd"/>
      <w:r w:rsidR="00107BEF" w:rsidRPr="00A558EA">
        <w:t xml:space="preserve"> by the regulatory authorities </w:t>
      </w:r>
      <w:r w:rsidR="00496ED8" w:rsidRPr="00A558EA">
        <w:t xml:space="preserve">(mainly the central bank) </w:t>
      </w:r>
      <w:r w:rsidR="00107BEF" w:rsidRPr="00A558EA">
        <w:t>for many years</w:t>
      </w:r>
      <w:r w:rsidR="00664CA2">
        <w:t xml:space="preserve">. </w:t>
      </w:r>
      <w:bookmarkStart w:id="62" w:name="_Hlk49839842"/>
      <w:r w:rsidR="00664CA2">
        <w:t xml:space="preserve">This </w:t>
      </w:r>
      <w:r w:rsidR="00107BEF" w:rsidRPr="00A558EA">
        <w:t>almost secures a certain amount of cost and income of banks.</w:t>
      </w:r>
      <w:bookmarkEnd w:id="62"/>
      <w:r w:rsidR="00107BEF" w:rsidRPr="00A558EA">
        <w:t xml:space="preserve"> Only by the re</w:t>
      </w:r>
      <w:r w:rsidR="00664CA2">
        <w:t>c</w:t>
      </w:r>
      <w:r w:rsidR="00107BEF" w:rsidRPr="00A558EA">
        <w:t xml:space="preserve">ent years, the financial reform initiatives concerning interest rates have been taking </w:t>
      </w:r>
      <w:r w:rsidR="00F5333D" w:rsidRPr="00A558EA">
        <w:t xml:space="preserve">steps. </w:t>
      </w:r>
      <w:r w:rsidR="00E938DC" w:rsidRPr="00A558EA">
        <w:t>It was only since 2013 that the Loan Prime Rate (LPR)</w:t>
      </w:r>
      <w:r w:rsidR="00E938DC" w:rsidRPr="00A558EA">
        <w:rPr>
          <w:rStyle w:val="FootnoteReference"/>
        </w:rPr>
        <w:footnoteReference w:id="60"/>
      </w:r>
      <w:r w:rsidR="00E938DC" w:rsidRPr="00A558EA">
        <w:t xml:space="preserve"> has been set up and since 2019 </w:t>
      </w:r>
      <w:proofErr w:type="gramStart"/>
      <w:r w:rsidR="00E938DC" w:rsidRPr="00A558EA">
        <w:t>actually put</w:t>
      </w:r>
      <w:proofErr w:type="gramEnd"/>
      <w:r w:rsidR="00E938DC" w:rsidRPr="00A558EA">
        <w:t xml:space="preserve"> into effect. </w:t>
      </w:r>
      <w:r w:rsidR="007D7EA0" w:rsidRPr="00A558EA">
        <w:t xml:space="preserve">Second, the increase of income, including interest income and non-interest income, is faster than the increase of costs of banks through the past </w:t>
      </w:r>
      <w:r w:rsidR="00C125B7" w:rsidRPr="00A558EA">
        <w:t>10</w:t>
      </w:r>
      <w:r w:rsidR="007D7EA0" w:rsidRPr="00A558EA">
        <w:t xml:space="preserve"> years, which matches the fast pace of China’s economic development.</w:t>
      </w:r>
    </w:p>
    <w:p w14:paraId="7468DBBE" w14:textId="1F542278" w:rsidR="007D7EA0" w:rsidRPr="00A558EA" w:rsidRDefault="007D7EA0" w:rsidP="007B7BCE">
      <w:pPr>
        <w:pStyle w:val="Heading4"/>
        <w:spacing w:before="120" w:after="120" w:line="288" w:lineRule="auto"/>
        <w:rPr>
          <w:rFonts w:ascii="Corbel" w:hAnsi="Corbel"/>
          <w:u w:val="single"/>
        </w:rPr>
      </w:pPr>
      <w:r w:rsidRPr="00A558EA">
        <w:rPr>
          <w:rFonts w:ascii="Corbel" w:hAnsi="Corbel"/>
          <w:u w:val="single"/>
        </w:rPr>
        <w:t>CAMEL Ratios</w:t>
      </w:r>
      <w:r w:rsidR="009D3DC7">
        <w:rPr>
          <w:rFonts w:ascii="Corbel" w:hAnsi="Corbel"/>
          <w:u w:val="single"/>
        </w:rPr>
        <w:t xml:space="preserve"> of commercial </w:t>
      </w:r>
      <w:proofErr w:type="gramStart"/>
      <w:r w:rsidR="009D3DC7">
        <w:rPr>
          <w:rFonts w:ascii="Corbel" w:hAnsi="Corbel"/>
          <w:u w:val="single"/>
        </w:rPr>
        <w:t xml:space="preserve">banks </w:t>
      </w:r>
      <w:r w:rsidRPr="00A558EA">
        <w:rPr>
          <w:rFonts w:ascii="Corbel" w:hAnsi="Corbel"/>
          <w:u w:val="single"/>
        </w:rPr>
        <w:t xml:space="preserve"> –</w:t>
      </w:r>
      <w:proofErr w:type="gramEnd"/>
      <w:r w:rsidRPr="00A558EA">
        <w:rPr>
          <w:rFonts w:ascii="Corbel" w:hAnsi="Corbel"/>
          <w:u w:val="single"/>
        </w:rPr>
        <w:t xml:space="preserve"> Earnings</w:t>
      </w:r>
    </w:p>
    <w:bookmarkStart w:id="63" w:name="_MON_1658265066"/>
    <w:bookmarkEnd w:id="63"/>
    <w:p w14:paraId="61CB2870" w14:textId="3821264C" w:rsidR="00C125B7" w:rsidRDefault="00B55117" w:rsidP="00C125B7">
      <w:r>
        <w:object w:dxaOrig="10130" w:dyaOrig="2324" w14:anchorId="0C1A617A">
          <v:shape id="_x0000_i1034" type="#_x0000_t75" style="width:508.55pt;height:155.6pt" o:ole="">
            <v:imagedata r:id="rId37" o:title=""/>
          </v:shape>
          <o:OLEObject Type="Embed" ProgID="Excel.Sheet.12" ShapeID="_x0000_i1034" DrawAspect="Content" ObjectID="_1767565670" r:id="rId38"/>
        </w:object>
      </w:r>
      <w:commentRangeEnd w:id="57"/>
      <w:r w:rsidR="007B7BCE">
        <w:rPr>
          <w:rStyle w:val="CommentReference"/>
          <w:rFonts w:eastAsiaTheme="minorEastAsia"/>
          <w:lang w:val="en-GB"/>
        </w:rPr>
        <w:commentReference w:id="57"/>
      </w:r>
    </w:p>
    <w:p w14:paraId="24D5D20E" w14:textId="5C9F36C3" w:rsidR="00C125B7" w:rsidRPr="00A558EA" w:rsidRDefault="00C125B7" w:rsidP="007B7BCE">
      <w:pPr>
        <w:spacing w:after="0" w:line="288" w:lineRule="auto"/>
        <w:jc w:val="center"/>
        <w:rPr>
          <w:sz w:val="18"/>
          <w:szCs w:val="18"/>
        </w:rPr>
      </w:pPr>
      <w:r w:rsidRPr="00A558EA">
        <w:rPr>
          <w:sz w:val="18"/>
          <w:szCs w:val="18"/>
        </w:rPr>
        <w:t xml:space="preserve">Table </w:t>
      </w:r>
      <w:r w:rsidR="00B55117">
        <w:rPr>
          <w:sz w:val="18"/>
          <w:szCs w:val="18"/>
        </w:rPr>
        <w:t>*</w:t>
      </w:r>
      <w:r w:rsidR="0019068A">
        <w:rPr>
          <w:sz w:val="18"/>
          <w:szCs w:val="18"/>
        </w:rPr>
        <w:t>-</w:t>
      </w:r>
      <w:r w:rsidR="00B55117">
        <w:rPr>
          <w:sz w:val="18"/>
          <w:szCs w:val="18"/>
        </w:rPr>
        <w:t>5</w:t>
      </w:r>
      <w:r w:rsidRPr="00A558EA">
        <w:rPr>
          <w:sz w:val="18"/>
          <w:szCs w:val="18"/>
        </w:rPr>
        <w:t>: CAMEL Ratios – Earnings</w:t>
      </w:r>
      <w:r w:rsidR="0019068A">
        <w:rPr>
          <w:sz w:val="18"/>
          <w:szCs w:val="18"/>
        </w:rPr>
        <w:t xml:space="preserve"> (Ownership Structures)</w:t>
      </w:r>
    </w:p>
    <w:p w14:paraId="5643F251" w14:textId="31FA15E4" w:rsidR="0019068A" w:rsidRDefault="006D47E1" w:rsidP="007B7BCE">
      <w:pPr>
        <w:spacing w:after="0" w:line="288" w:lineRule="auto"/>
        <w:rPr>
          <w:sz w:val="18"/>
          <w:szCs w:val="18"/>
        </w:rPr>
      </w:pPr>
      <w:r>
        <w:rPr>
          <w:sz w:val="18"/>
          <w:szCs w:val="18"/>
        </w:rPr>
        <w:object w:dxaOrig="12093" w:dyaOrig="2900" w14:anchorId="12494F5E">
          <v:shape id="_x0000_i1035" type="#_x0000_t75" style="width:508.5pt;height:178.65pt" o:ole="">
            <v:imagedata r:id="rId40" o:title=""/>
          </v:shape>
          <o:OLEObject Type="Embed" ProgID="Excel.Sheet.12" ShapeID="_x0000_i1035" DrawAspect="Content" ObjectID="_1767565671" r:id="rId41"/>
        </w:object>
      </w:r>
    </w:p>
    <w:p w14:paraId="16870486" w14:textId="1A1D0454" w:rsidR="0019068A" w:rsidRPr="00A558EA" w:rsidRDefault="0019068A" w:rsidP="0019068A">
      <w:pPr>
        <w:spacing w:after="0" w:line="288" w:lineRule="auto"/>
        <w:jc w:val="center"/>
        <w:rPr>
          <w:sz w:val="18"/>
          <w:szCs w:val="18"/>
        </w:rPr>
      </w:pPr>
      <w:r w:rsidRPr="00A558EA">
        <w:rPr>
          <w:sz w:val="18"/>
          <w:szCs w:val="18"/>
        </w:rPr>
        <w:t xml:space="preserve">Table </w:t>
      </w:r>
      <w:r w:rsidR="00B55117">
        <w:rPr>
          <w:sz w:val="18"/>
          <w:szCs w:val="18"/>
        </w:rPr>
        <w:t>*</w:t>
      </w:r>
      <w:r>
        <w:rPr>
          <w:sz w:val="18"/>
          <w:szCs w:val="18"/>
        </w:rPr>
        <w:t>-</w:t>
      </w:r>
      <w:r w:rsidR="00B55117">
        <w:rPr>
          <w:sz w:val="18"/>
          <w:szCs w:val="18"/>
        </w:rPr>
        <w:t>6</w:t>
      </w:r>
      <w:r w:rsidRPr="00A558EA">
        <w:rPr>
          <w:sz w:val="18"/>
          <w:szCs w:val="18"/>
        </w:rPr>
        <w:t>: CAMEL Ratios – Earnings</w:t>
      </w:r>
      <w:r>
        <w:rPr>
          <w:sz w:val="18"/>
          <w:szCs w:val="18"/>
        </w:rPr>
        <w:t xml:space="preserve"> (Bank Types)</w:t>
      </w:r>
    </w:p>
    <w:p w14:paraId="54C53F87" w14:textId="77777777" w:rsidR="0019068A" w:rsidRPr="00B55117" w:rsidRDefault="0019068A" w:rsidP="0019068A">
      <w:pPr>
        <w:spacing w:after="0" w:line="288" w:lineRule="auto"/>
        <w:rPr>
          <w:sz w:val="20"/>
          <w:szCs w:val="20"/>
        </w:rPr>
      </w:pPr>
      <w:r w:rsidRPr="00B55117">
        <w:rPr>
          <w:sz w:val="20"/>
          <w:szCs w:val="20"/>
        </w:rPr>
        <w:t>Data source: the SNL database, the release of the China Banking and Insurance Regulatory Commission (CBIRC) and manual calculation</w:t>
      </w:r>
    </w:p>
    <w:p w14:paraId="36EBFE49" w14:textId="77777777" w:rsidR="0019068A" w:rsidRPr="00A558EA" w:rsidRDefault="0019068A" w:rsidP="007B7BCE">
      <w:pPr>
        <w:spacing w:after="0" w:line="288" w:lineRule="auto"/>
        <w:rPr>
          <w:sz w:val="18"/>
          <w:szCs w:val="18"/>
        </w:rPr>
      </w:pPr>
    </w:p>
    <w:p w14:paraId="1446530B" w14:textId="34C4A12E" w:rsidR="00A63972" w:rsidRPr="00A558EA" w:rsidRDefault="0051202F" w:rsidP="005E008C">
      <w:pPr>
        <w:spacing w:before="120" w:after="120" w:line="288" w:lineRule="auto"/>
      </w:pPr>
      <w:r w:rsidRPr="00A558EA">
        <w:t xml:space="preserve">Usually </w:t>
      </w:r>
      <w:r w:rsidR="00A63972" w:rsidRPr="00A558EA">
        <w:t>Return on Average Equity (ROAE) and net interest margin</w:t>
      </w:r>
      <w:r w:rsidRPr="00A558EA">
        <w:t xml:space="preserve"> are used</w:t>
      </w:r>
      <w:r w:rsidR="00A63972" w:rsidRPr="00A558EA">
        <w:t xml:space="preserve"> to measure the quality of banks’ earnings. The ratios are expected to </w:t>
      </w:r>
      <w:r w:rsidR="00664CA2">
        <w:t xml:space="preserve">be </w:t>
      </w:r>
      <w:r w:rsidR="00A63972" w:rsidRPr="00A558EA">
        <w:t xml:space="preserve">positively associated with banks’ profitability, as the higher the better, intuitively. </w:t>
      </w:r>
    </w:p>
    <w:p w14:paraId="07BB6913" w14:textId="7BCE703E" w:rsidR="002963E7" w:rsidRPr="00A558EA" w:rsidRDefault="002963E7" w:rsidP="005E008C">
      <w:pPr>
        <w:spacing w:before="120" w:after="120" w:line="288" w:lineRule="auto"/>
      </w:pPr>
      <w:bookmarkStart w:id="64" w:name="_Hlk49840418"/>
      <w:r w:rsidRPr="00A558EA">
        <w:t xml:space="preserve">The means of ROAE of the state-owned banks and the local-government holding banks are </w:t>
      </w:r>
      <w:r w:rsidR="0051202F" w:rsidRPr="00A558EA">
        <w:t>higher</w:t>
      </w:r>
      <w:bookmarkEnd w:id="64"/>
      <w:r w:rsidR="0051202F" w:rsidRPr="00A558EA">
        <w:t>,</w:t>
      </w:r>
      <w:r w:rsidRPr="00A558EA">
        <w:t xml:space="preserve"> being </w:t>
      </w:r>
      <w:r w:rsidR="0051202F" w:rsidRPr="00A558EA">
        <w:t>15.85</w:t>
      </w:r>
      <w:r w:rsidRPr="00A558EA">
        <w:t xml:space="preserve">% and </w:t>
      </w:r>
      <w:r w:rsidR="0051202F" w:rsidRPr="00A558EA">
        <w:t>14.81</w:t>
      </w:r>
      <w:r w:rsidRPr="00A558EA">
        <w:t xml:space="preserve">% </w:t>
      </w:r>
      <w:proofErr w:type="gramStart"/>
      <w:r w:rsidRPr="00A558EA">
        <w:t>respectively;</w:t>
      </w:r>
      <w:proofErr w:type="gramEnd"/>
      <w:r w:rsidRPr="00A558EA">
        <w:t xml:space="preserve"> while the joint-stock banks are 2% lower than their aforementioned counterparties. The foreign owned banks have a mean of 4.</w:t>
      </w:r>
      <w:r w:rsidR="0051202F" w:rsidRPr="00A558EA">
        <w:t>02</w:t>
      </w:r>
      <w:r w:rsidRPr="00A558EA">
        <w:t xml:space="preserve">% of ROAE. </w:t>
      </w:r>
      <w:bookmarkStart w:id="65" w:name="_Hlk49840448"/>
      <w:r w:rsidRPr="00A558EA">
        <w:t>Although the state-owned banks have the highest ROAE, their net interest margin is not the highest</w:t>
      </w:r>
      <w:r w:rsidR="00664CA2">
        <w:t xml:space="preserve">. </w:t>
      </w:r>
      <w:r w:rsidRPr="00A558EA">
        <w:t xml:space="preserve">The </w:t>
      </w:r>
      <w:r w:rsidR="0051202F" w:rsidRPr="00A558EA">
        <w:t xml:space="preserve">local government </w:t>
      </w:r>
      <w:proofErr w:type="gramStart"/>
      <w:r w:rsidR="0051202F" w:rsidRPr="00A558EA">
        <w:t>holding</w:t>
      </w:r>
      <w:proofErr w:type="gramEnd"/>
      <w:r w:rsidR="0051202F" w:rsidRPr="00A558EA">
        <w:t xml:space="preserve"> and the </w:t>
      </w:r>
      <w:r w:rsidRPr="00A558EA">
        <w:t>joint-stock banks have the highest mean</w:t>
      </w:r>
      <w:r w:rsidR="0051202F" w:rsidRPr="00A558EA">
        <w:t>s</w:t>
      </w:r>
      <w:r w:rsidRPr="00A558EA">
        <w:t xml:space="preserve"> of net interest margin </w:t>
      </w:r>
      <w:bookmarkEnd w:id="65"/>
      <w:r w:rsidRPr="00A558EA">
        <w:t>at 2.</w:t>
      </w:r>
      <w:r w:rsidR="0051202F" w:rsidRPr="00A558EA">
        <w:t>63</w:t>
      </w:r>
      <w:r w:rsidRPr="00A558EA">
        <w:t xml:space="preserve">%. </w:t>
      </w:r>
      <w:r w:rsidR="0019068A">
        <w:t xml:space="preserve">As for the bank types, the Big Six </w:t>
      </w:r>
      <w:proofErr w:type="gramStart"/>
      <w:r w:rsidR="0019068A">
        <w:t>definitely have</w:t>
      </w:r>
      <w:proofErr w:type="gramEnd"/>
      <w:r w:rsidR="0019068A">
        <w:t xml:space="preserve"> the highest ROAE rate as 16.9%, while a relatively lower net interest margin ratio as 2.36% than regional banks, city banks, and rural commercial banks. </w:t>
      </w:r>
    </w:p>
    <w:p w14:paraId="4348919B" w14:textId="07FEA9C2" w:rsidR="00A2139F" w:rsidRDefault="002963E7" w:rsidP="005E008C">
      <w:pPr>
        <w:spacing w:before="120" w:after="120" w:line="288" w:lineRule="auto"/>
      </w:pPr>
      <w:r w:rsidRPr="00A558EA">
        <w:t xml:space="preserve">Considering these two ratios together, the reason that the foreign owned banks </w:t>
      </w:r>
      <w:r w:rsidR="0051202F" w:rsidRPr="00A558EA">
        <w:t>are lagged by</w:t>
      </w:r>
      <w:r w:rsidRPr="00A558EA">
        <w:t xml:space="preserve"> the domestic banks could be due to the small size of their interest-bearing business in China’s financial markets. </w:t>
      </w:r>
      <w:bookmarkStart w:id="66" w:name="_Hlk49840501"/>
      <w:r w:rsidR="00496ED8" w:rsidRPr="00A558EA">
        <w:t xml:space="preserve">The fact that the state-owned banks have a higher </w:t>
      </w:r>
      <w:proofErr w:type="gramStart"/>
      <w:r w:rsidR="00496ED8" w:rsidRPr="00A558EA">
        <w:t>ROAE</w:t>
      </w:r>
      <w:proofErr w:type="gramEnd"/>
      <w:r w:rsidR="00496ED8" w:rsidRPr="00A558EA">
        <w:t xml:space="preserve"> and a lower net interest margin could </w:t>
      </w:r>
      <w:r w:rsidR="00664CA2">
        <w:t xml:space="preserve">be </w:t>
      </w:r>
      <w:r w:rsidR="00496ED8" w:rsidRPr="00A558EA">
        <w:t>attribute</w:t>
      </w:r>
      <w:r w:rsidR="00664CA2">
        <w:t>d</w:t>
      </w:r>
      <w:r w:rsidR="00496ED8" w:rsidRPr="00A558EA">
        <w:t xml:space="preserve"> to their clientele and business diversification. </w:t>
      </w:r>
      <w:bookmarkStart w:id="67" w:name="_Hlk49840530"/>
      <w:bookmarkEnd w:id="66"/>
      <w:r w:rsidR="00496ED8" w:rsidRPr="00A558EA">
        <w:t xml:space="preserve">Most state-owned banks are national banks which target national </w:t>
      </w:r>
      <w:r w:rsidR="00650270" w:rsidRPr="00A558EA">
        <w:t xml:space="preserve">state-owned and private </w:t>
      </w:r>
      <w:r w:rsidR="00496ED8" w:rsidRPr="00A558EA">
        <w:t>corporations</w:t>
      </w:r>
      <w:r w:rsidR="00650270" w:rsidRPr="00A558EA">
        <w:t xml:space="preserve"> and conglomerates as their clientele.</w:t>
      </w:r>
      <w:bookmarkEnd w:id="67"/>
      <w:r w:rsidR="00650270" w:rsidRPr="00A558EA">
        <w:t xml:space="preserve"> However, local government holding banks, joint-stock banks and foreign joint-stock banks are mostly regional banks, city banks or rural commercial banks which act as the major finance provider for the regional, </w:t>
      </w:r>
      <w:proofErr w:type="gramStart"/>
      <w:r w:rsidR="00650270" w:rsidRPr="00A558EA">
        <w:t>small</w:t>
      </w:r>
      <w:proofErr w:type="gramEnd"/>
      <w:r w:rsidR="00650270" w:rsidRPr="00A558EA">
        <w:t xml:space="preserve"> and medium sized business and individuals within their local communities</w:t>
      </w:r>
      <w:bookmarkStart w:id="68" w:name="_Hlk49840558"/>
      <w:r w:rsidR="00650270" w:rsidRPr="00A558EA">
        <w:t xml:space="preserve">. It is a consensus opinion that big companies usually have more power in negotiation with banks than those small and medium sized companies and individuals. Therefore, the (loan) interest income </w:t>
      </w:r>
      <w:r w:rsidR="0022671E" w:rsidRPr="00A558EA">
        <w:t xml:space="preserve">of the state-owned banks probably could be lower than </w:t>
      </w:r>
      <w:proofErr w:type="gramStart"/>
      <w:r w:rsidR="0022671E" w:rsidRPr="00A558EA">
        <w:t>those</w:t>
      </w:r>
      <w:proofErr w:type="gramEnd"/>
      <w:r w:rsidR="0022671E" w:rsidRPr="00A558EA">
        <w:t xml:space="preserve"> local community banks. </w:t>
      </w:r>
      <w:bookmarkEnd w:id="68"/>
      <w:r w:rsidR="005C7A5D" w:rsidRPr="00A558EA">
        <w:t xml:space="preserve">Business diversification of Chinese banks emerged around the end of the last century when China was making progress on the commitment to the WTO agreement. The People’s Bank of China (PBOC) issued regulatory documents lifting the restrictions on market entry for domestic banks in 2002. </w:t>
      </w:r>
      <w:r w:rsidR="005C7A5D" w:rsidRPr="00A558EA">
        <w:fldChar w:fldCharType="begin"/>
      </w:r>
      <w:r w:rsidR="005C7A5D" w:rsidRPr="00A558EA">
        <w:instrText xml:space="preserve"> ADDIN EN.CITE &lt;EndNote&gt;&lt;Cite AuthorYear="1"&gt;&lt;Author&gt;Berger&lt;/Author&gt;&lt;Year&gt;2010&lt;/Year&gt;&lt;RecNum&gt;22&lt;/RecNum&gt;&lt;DisplayText&gt;Berger et al. (2010)&lt;/DisplayText&gt;&lt;record&gt;&lt;rec-number&gt;22&lt;/rec-number&gt;&lt;foreign-keys&gt;&lt;key app="EN" db-id="xze9dwva9zzvfwe9p0vpz55lp5dr9e9zd955" timestamp="1585911258"&gt;22&lt;/key&gt;&lt;/foreign-keys&gt;&lt;ref-type name="Journal Article"&gt;17&lt;/ref-type&gt;&lt;contributors&gt;&lt;authors&gt;&lt;author&gt;Berger, Allen N.&lt;/author&gt;&lt;author&gt;Hasan, Iftekhar&lt;/author&gt;&lt;author&gt;Zhou, Mingming&lt;/author&gt;&lt;/authors&gt;&lt;/contributors&gt;&lt;titles&gt;&lt;title&gt;The effects of focus versus diversification on bank performance: Evidence from Chinese banks&lt;/title&gt;&lt;secondary-title&gt;Journal of Banking &amp;amp; Finance&lt;/secondary-title&gt;&lt;/titles&gt;&lt;periodical&gt;&lt;full-title&gt;Journal of Banking &amp;amp; Finance&lt;/full-title&gt;&lt;/periodical&gt;&lt;pages&gt;1417-1435&lt;/pages&gt;&lt;volume&gt;34&lt;/volume&gt;&lt;number&gt;7&lt;/number&gt;&lt;keywords&gt;&lt;keyword&gt;Diversification&lt;/keyword&gt;&lt;keyword&gt;Focus&lt;/keyword&gt;&lt;keyword&gt;Efficiency&lt;/keyword&gt;&lt;keyword&gt;Chinese banking&lt;/keyword&gt;&lt;/keywords&gt;&lt;dates&gt;&lt;year&gt;2010&lt;/year&gt;&lt;pub-dates&gt;&lt;date&gt;2010/07/01/&lt;/date&gt;&lt;/pub-dates&gt;&lt;/dates&gt;&lt;isbn&gt;0378-4266&lt;/isbn&gt;&lt;urls&gt;&lt;related-urls&gt;&lt;url&gt;http://www.sciencedirect.com/science/article/pii/S0378426610000191&lt;/url&gt;&lt;/related-urls&gt;&lt;/urls&gt;&lt;electronic-resource-num&gt;https://doi.org/10.1016/j.jbankfin.2010.01.010&lt;/electronic-resource-num&gt;&lt;/record&gt;&lt;/Cite&gt;&lt;/EndNote&gt;</w:instrText>
      </w:r>
      <w:r w:rsidR="005C7A5D" w:rsidRPr="00A558EA">
        <w:fldChar w:fldCharType="separate"/>
      </w:r>
      <w:r w:rsidR="005C7A5D" w:rsidRPr="00A558EA">
        <w:rPr>
          <w:noProof/>
        </w:rPr>
        <w:t>Berger et al. (2010)</w:t>
      </w:r>
      <w:r w:rsidR="005C7A5D" w:rsidRPr="00A558EA">
        <w:fldChar w:fldCharType="end"/>
      </w:r>
      <w:r w:rsidR="005C7A5D" w:rsidRPr="00A558EA">
        <w:t xml:space="preserve"> illustrates Big Six established their branches across all the regions in China</w:t>
      </w:r>
      <w:r w:rsidR="00B06B68" w:rsidRPr="00A558EA">
        <w:t xml:space="preserve"> during this period. Alongside with the regional expansion, non-interest-bearing business started to be prospective during this period in China’s financial reform. The PBOC also released regulatory documents about easing the restriction on fee-based banking business and allowed banks to cooperate with insurance companies and other banking institutions such as trust companies. </w:t>
      </w:r>
      <w:r w:rsidR="00B06B68" w:rsidRPr="00A558EA">
        <w:fldChar w:fldCharType="begin"/>
      </w:r>
      <w:r w:rsidR="00065A2B" w:rsidRPr="00A558EA">
        <w:instrText xml:space="preserve"> ADDIN EN.CITE &lt;EndNote&gt;&lt;Cite AuthorYear="1"&gt;&lt;Author&gt;Yuan&lt;/Author&gt;&lt;Year&gt;2006&lt;/Year&gt;&lt;RecNum&gt;57&lt;/RecNum&gt;&lt;DisplayText&gt;Yuan (2006)&lt;/DisplayText&gt;&lt;record&gt;&lt;rec-number&gt;57&lt;/rec-number&gt;&lt;foreign-keys&gt;&lt;key app="EN" db-id="xze9dwva9zzvfwe9p0vpz55lp5dr9e9zd955" timestamp="1594399572"&gt;57&lt;/key&gt;&lt;/foreign-keys&gt;&lt;ref-type name="Report"&gt;27&lt;/ref-type&gt;&lt;contributors&gt;&lt;authors&gt;&lt;author&gt;Yuan, Wenli&lt;/author&gt;&lt;/authors&gt;&lt;/contributors&gt;&lt;titles&gt;&lt;title&gt;Corporate Banking in China: History, Opportunities, and Challenges&lt;/title&gt;&lt;/titles&gt;&lt;dates&gt;&lt;year&gt;2006&lt;/year&gt;&lt;/dates&gt;&lt;pub-location&gt;www.celent.com/insights&lt;/pub-location&gt;&lt;urls&gt;&lt;/urls&gt;&lt;/record&gt;&lt;/Cite&gt;&lt;/EndNote&gt;</w:instrText>
      </w:r>
      <w:r w:rsidR="00B06B68" w:rsidRPr="00A558EA">
        <w:fldChar w:fldCharType="separate"/>
      </w:r>
      <w:r w:rsidR="00065A2B" w:rsidRPr="00A558EA">
        <w:rPr>
          <w:noProof/>
        </w:rPr>
        <w:t>Yuan (2006)</w:t>
      </w:r>
      <w:r w:rsidR="00B06B68" w:rsidRPr="00A558EA">
        <w:fldChar w:fldCharType="end"/>
      </w:r>
      <w:r w:rsidR="00065A2B" w:rsidRPr="00A558EA">
        <w:t xml:space="preserve"> and </w:t>
      </w:r>
      <w:r w:rsidR="00065A2B" w:rsidRPr="00A558EA">
        <w:fldChar w:fldCharType="begin"/>
      </w:r>
      <w:r w:rsidR="00065A2B" w:rsidRPr="00A558EA">
        <w:instrText xml:space="preserve"> ADDIN EN.CITE &lt;EndNote&gt;&lt;Cite AuthorYear="1"&gt;&lt;Author&gt;Berger&lt;/Author&gt;&lt;Year&gt;2010&lt;/Year&gt;&lt;RecNum&gt;22&lt;/RecNum&gt;&lt;DisplayText&gt;Berger et al. (2010)&lt;/DisplayText&gt;&lt;record&gt;&lt;rec-number&gt;22&lt;/rec-number&gt;&lt;foreign-keys&gt;&lt;key app="EN" db-id="xze9dwva9zzvfwe9p0vpz55lp5dr9e9zd955" timestamp="1585911258"&gt;22&lt;/key&gt;&lt;/foreign-keys&gt;&lt;ref-type name="Journal Article"&gt;17&lt;/ref-type&gt;&lt;contributors&gt;&lt;authors&gt;&lt;author&gt;Berger, Allen N.&lt;/author&gt;&lt;author&gt;Hasan, Iftekhar&lt;/author&gt;&lt;author&gt;Zhou, Mingming&lt;/author&gt;&lt;/authors&gt;&lt;/contributors&gt;&lt;titles&gt;&lt;title&gt;The effects of focus versus diversification on bank performance: Evidence from Chinese banks&lt;/title&gt;&lt;secondary-title&gt;Journal of Banking &amp;amp; Finance&lt;/secondary-title&gt;&lt;/titles&gt;&lt;periodical&gt;&lt;full-title&gt;Journal of Banking &amp;amp; Finance&lt;/full-title&gt;&lt;/periodical&gt;&lt;pages&gt;1417-1435&lt;/pages&gt;&lt;volume&gt;34&lt;/volume&gt;&lt;number&gt;7&lt;/number&gt;&lt;keywords&gt;&lt;keyword&gt;Diversification&lt;/keyword&gt;&lt;keyword&gt;Focus&lt;/keyword&gt;&lt;keyword&gt;Efficiency&lt;/keyword&gt;&lt;keyword&gt;Chinese banking&lt;/keyword&gt;&lt;/keywords&gt;&lt;dates&gt;&lt;year&gt;2010&lt;/year&gt;&lt;pub-dates&gt;&lt;date&gt;2010/07/01/&lt;/date&gt;&lt;/pub-dates&gt;&lt;/dates&gt;&lt;isbn&gt;0378-4266&lt;/isbn&gt;&lt;urls&gt;&lt;related-urls&gt;&lt;url&gt;http://www.sciencedirect.com/science/article/pii/S0378426610000191&lt;/url&gt;&lt;/related-urls&gt;&lt;/urls&gt;&lt;electronic-resource-num&gt;https://doi.org/10.1016/j.jbankfin.2010.01.010&lt;/electronic-resource-num&gt;&lt;/record&gt;&lt;/Cite&gt;&lt;/EndNote&gt;</w:instrText>
      </w:r>
      <w:r w:rsidR="00065A2B" w:rsidRPr="00A558EA">
        <w:fldChar w:fldCharType="separate"/>
      </w:r>
      <w:r w:rsidR="00065A2B" w:rsidRPr="00A558EA">
        <w:rPr>
          <w:noProof/>
        </w:rPr>
        <w:t>Berger et al. (2010)</w:t>
      </w:r>
      <w:r w:rsidR="00065A2B" w:rsidRPr="00A558EA">
        <w:fldChar w:fldCharType="end"/>
      </w:r>
      <w:r w:rsidR="00065A2B" w:rsidRPr="00A558EA">
        <w:t xml:space="preserve"> both mentioned national banks embarked on non-interest bearing business including cash management, wealth management, trading services etc. </w:t>
      </w:r>
      <w:proofErr w:type="gramStart"/>
      <w:r w:rsidR="00065A2B" w:rsidRPr="00A558EA">
        <w:t>Business</w:t>
      </w:r>
      <w:proofErr w:type="gramEnd"/>
      <w:r w:rsidR="00065A2B" w:rsidRPr="00A558EA">
        <w:t xml:space="preserve"> diversification of those state-owned, national banks caused the proportion of interest-bearing business to assets relatively to decrease, which can explain why the state-owned banks have a lower net interest margin compared to their peers. As for local banks including local government holding, joint-stock and foreign joint-stock banks, their business diversification started later than the national banks. </w:t>
      </w:r>
      <w:r w:rsidR="00664CA2">
        <w:t>T</w:t>
      </w:r>
      <w:r w:rsidR="00065A2B" w:rsidRPr="00A558EA">
        <w:t xml:space="preserve">aking account of </w:t>
      </w:r>
      <w:r w:rsidR="00CF7653" w:rsidRPr="00A558EA">
        <w:t xml:space="preserve">their clientele and their service region, it might be reasonable to </w:t>
      </w:r>
      <w:r w:rsidR="00664CA2">
        <w:t>assume</w:t>
      </w:r>
      <w:r w:rsidR="00CF7653" w:rsidRPr="00A558EA">
        <w:t xml:space="preserve"> that their business still relies more on interest-bearing assets than the state-owned banks. </w:t>
      </w:r>
    </w:p>
    <w:p w14:paraId="4FC31BF7" w14:textId="77777777" w:rsidR="00A2139F" w:rsidRDefault="00A2139F">
      <w:r>
        <w:br w:type="page"/>
      </w:r>
    </w:p>
    <w:p w14:paraId="7B80670F" w14:textId="77777777" w:rsidR="00BE179A" w:rsidRPr="00A558EA" w:rsidRDefault="00BE179A" w:rsidP="005E008C">
      <w:pPr>
        <w:spacing w:before="120" w:after="120" w:line="288" w:lineRule="auto"/>
      </w:pPr>
    </w:p>
    <w:p w14:paraId="6C7DDF27" w14:textId="74305F59" w:rsidR="00CF7653" w:rsidRPr="00A558EA" w:rsidRDefault="00CF7653" w:rsidP="005E008C">
      <w:pPr>
        <w:pStyle w:val="Heading4"/>
        <w:spacing w:before="120" w:after="120" w:line="288" w:lineRule="auto"/>
        <w:rPr>
          <w:rFonts w:ascii="Corbel" w:hAnsi="Corbel"/>
          <w:u w:val="single"/>
        </w:rPr>
      </w:pPr>
      <w:r w:rsidRPr="00A558EA">
        <w:rPr>
          <w:rFonts w:ascii="Corbel" w:hAnsi="Corbel"/>
          <w:u w:val="single"/>
        </w:rPr>
        <w:t xml:space="preserve">CAMEL Ratios </w:t>
      </w:r>
      <w:r w:rsidR="009D3DC7">
        <w:rPr>
          <w:rFonts w:ascii="Corbel" w:hAnsi="Corbel"/>
          <w:u w:val="single"/>
        </w:rPr>
        <w:t xml:space="preserve">of commercial banks </w:t>
      </w:r>
      <w:r w:rsidRPr="00A558EA">
        <w:rPr>
          <w:rFonts w:ascii="Corbel" w:hAnsi="Corbel"/>
          <w:u w:val="single"/>
        </w:rPr>
        <w:t>– Liquidity</w:t>
      </w:r>
    </w:p>
    <w:bookmarkStart w:id="69" w:name="_MON_1658265526"/>
    <w:bookmarkEnd w:id="69"/>
    <w:p w14:paraId="79BFAF3C" w14:textId="62655904" w:rsidR="0051202F" w:rsidRDefault="00A2139F" w:rsidP="0051202F">
      <w:r>
        <w:object w:dxaOrig="10255" w:dyaOrig="1978" w14:anchorId="024F80CA">
          <v:shape id="_x0000_i1036" type="#_x0000_t75" style="width:523pt;height:147.35pt" o:ole="">
            <v:imagedata r:id="rId42" o:title=""/>
          </v:shape>
          <o:OLEObject Type="Embed" ProgID="Excel.Sheet.12" ShapeID="_x0000_i1036" DrawAspect="Content" ObjectID="_1767565672" r:id="rId43"/>
        </w:object>
      </w:r>
    </w:p>
    <w:p w14:paraId="448A52E8" w14:textId="016C52E6" w:rsidR="0051202F" w:rsidRDefault="0051202F" w:rsidP="005E008C">
      <w:pPr>
        <w:spacing w:after="0" w:line="288" w:lineRule="auto"/>
        <w:jc w:val="center"/>
        <w:rPr>
          <w:sz w:val="18"/>
          <w:szCs w:val="18"/>
        </w:rPr>
      </w:pPr>
      <w:r>
        <w:rPr>
          <w:sz w:val="18"/>
          <w:szCs w:val="18"/>
        </w:rPr>
        <w:t xml:space="preserve">Table </w:t>
      </w:r>
      <w:r w:rsidR="00A2139F">
        <w:rPr>
          <w:sz w:val="18"/>
          <w:szCs w:val="18"/>
        </w:rPr>
        <w:t>*</w:t>
      </w:r>
      <w:r w:rsidR="0019068A">
        <w:rPr>
          <w:sz w:val="18"/>
          <w:szCs w:val="18"/>
        </w:rPr>
        <w:t>-</w:t>
      </w:r>
      <w:r w:rsidR="00A2139F">
        <w:rPr>
          <w:sz w:val="18"/>
          <w:szCs w:val="18"/>
        </w:rPr>
        <w:t>7</w:t>
      </w:r>
      <w:r>
        <w:rPr>
          <w:sz w:val="18"/>
          <w:szCs w:val="18"/>
        </w:rPr>
        <w:t>: CAMEL Ratios – Liquidity</w:t>
      </w:r>
      <w:r w:rsidR="0019068A">
        <w:rPr>
          <w:sz w:val="18"/>
          <w:szCs w:val="18"/>
        </w:rPr>
        <w:t xml:space="preserve"> (Ownership Structures)</w:t>
      </w:r>
    </w:p>
    <w:p w14:paraId="19446D90" w14:textId="3190614A" w:rsidR="00A817AF" w:rsidRDefault="00A2139F" w:rsidP="005E008C">
      <w:pPr>
        <w:spacing w:after="0" w:line="288" w:lineRule="auto"/>
        <w:rPr>
          <w:sz w:val="18"/>
          <w:szCs w:val="18"/>
        </w:rPr>
      </w:pPr>
      <w:r>
        <w:rPr>
          <w:sz w:val="18"/>
          <w:szCs w:val="18"/>
        </w:rPr>
        <w:object w:dxaOrig="10192" w:dyaOrig="2468" w14:anchorId="068161C8">
          <v:shape id="_x0000_i1037" type="#_x0000_t75" style="width:522.85pt;height:163pt" o:ole="">
            <v:imagedata r:id="rId44" o:title=""/>
          </v:shape>
          <o:OLEObject Type="Embed" ProgID="Excel.Sheet.12" ShapeID="_x0000_i1037" DrawAspect="Content" ObjectID="_1767565673" r:id="rId45"/>
        </w:object>
      </w:r>
    </w:p>
    <w:p w14:paraId="78B0E948" w14:textId="4B79C21F" w:rsidR="00A817AF" w:rsidRDefault="00A817AF" w:rsidP="00A817AF">
      <w:pPr>
        <w:spacing w:after="0" w:line="288" w:lineRule="auto"/>
        <w:jc w:val="center"/>
        <w:rPr>
          <w:sz w:val="18"/>
          <w:szCs w:val="18"/>
        </w:rPr>
      </w:pPr>
      <w:r>
        <w:rPr>
          <w:sz w:val="18"/>
          <w:szCs w:val="18"/>
        </w:rPr>
        <w:t xml:space="preserve">Table </w:t>
      </w:r>
      <w:r w:rsidR="00A2139F">
        <w:rPr>
          <w:sz w:val="18"/>
          <w:szCs w:val="18"/>
        </w:rPr>
        <w:t>*</w:t>
      </w:r>
      <w:r>
        <w:rPr>
          <w:sz w:val="18"/>
          <w:szCs w:val="18"/>
        </w:rPr>
        <w:t>-</w:t>
      </w:r>
      <w:r w:rsidR="00A2139F">
        <w:rPr>
          <w:sz w:val="18"/>
          <w:szCs w:val="18"/>
        </w:rPr>
        <w:t>8</w:t>
      </w:r>
      <w:r>
        <w:rPr>
          <w:sz w:val="18"/>
          <w:szCs w:val="18"/>
        </w:rPr>
        <w:t>: CAMEL Ratios – Liquidity (Bank Types)</w:t>
      </w:r>
    </w:p>
    <w:p w14:paraId="35F26000" w14:textId="77777777" w:rsidR="00A817AF" w:rsidRDefault="00A817AF" w:rsidP="00A817AF">
      <w:pPr>
        <w:spacing w:after="0" w:line="288" w:lineRule="auto"/>
        <w:rPr>
          <w:sz w:val="20"/>
          <w:szCs w:val="20"/>
        </w:rPr>
      </w:pPr>
      <w:r w:rsidRPr="00A2139F">
        <w:rPr>
          <w:sz w:val="20"/>
          <w:szCs w:val="20"/>
        </w:rPr>
        <w:t>Data source: the SNL database, the release of the China Banking and Insurance Regulatory Commission (CBIRC) and manual calculation</w:t>
      </w:r>
    </w:p>
    <w:p w14:paraId="06F80ADF" w14:textId="77777777" w:rsidR="00A2139F" w:rsidRPr="00A2139F" w:rsidRDefault="00A2139F" w:rsidP="00A817AF">
      <w:pPr>
        <w:spacing w:after="0" w:line="288" w:lineRule="auto"/>
        <w:rPr>
          <w:sz w:val="20"/>
          <w:szCs w:val="20"/>
        </w:rPr>
      </w:pPr>
    </w:p>
    <w:p w14:paraId="2D3F326A" w14:textId="5620B2C2" w:rsidR="00CF7653" w:rsidRDefault="003B04CA" w:rsidP="005E008C">
      <w:pPr>
        <w:spacing w:before="120" w:after="120" w:line="288" w:lineRule="auto"/>
      </w:pPr>
      <w:r>
        <w:t xml:space="preserve">The CAMELS rating system concerning liquidity </w:t>
      </w:r>
      <w:r w:rsidR="00664CA2">
        <w:t>evaluates</w:t>
      </w:r>
      <w:r>
        <w:t xml:space="preserve"> the competence of banks in asset and liability management (ALM) which encompasses interest rate risk and liquidity risk. Here we choose to focus on liquidity risk since interest rate risk of China’s banks might be relatively under control guided by the regulatory authorities. The ratios of wholesale funding/total liabilities and retail deposits/total deposits can represent the current level of liquidity and the volatility of the funding sources. </w:t>
      </w:r>
      <w:r w:rsidR="00E23F92">
        <w:fldChar w:fldCharType="begin"/>
      </w:r>
      <w:r w:rsidR="00E23F92">
        <w:instrText xml:space="preserve"> ADDIN EN.CITE &lt;EndNote&gt;&lt;Cite AuthorYear="1"&gt;&lt;Author&gt;Demirgüç-Kunt&lt;/Author&gt;&lt;Year&gt;2010&lt;/Year&gt;&lt;RecNum&gt;58&lt;/RecNum&gt;&lt;DisplayText&gt;Demirgüç-Kunt and Huizinga (2010)&lt;/DisplayText&gt;&lt;record&gt;&lt;rec-number&gt;58&lt;/rec-number&gt;&lt;foreign-keys&gt;&lt;key app="EN" db-id="xze9dwva9zzvfwe9p0vpz55lp5dr9e9zd955" timestamp="1594568501"&gt;58&lt;/key&gt;&lt;/foreign-keys&gt;&lt;ref-type name="Journal Article"&gt;17&lt;/ref-type&gt;&lt;contributors&gt;&lt;authors&gt;&lt;author&gt;Demirgüç-Kunt, Asli&lt;/author&gt;&lt;author&gt;Huizinga, Harry&lt;/author&gt;&lt;/authors&gt;&lt;/contributors&gt;&lt;titles&gt;&lt;title&gt;Bank activity and funding strategies: The impact on risk and returns&lt;/title&gt;&lt;secondary-title&gt;Journal of Financial Economics&lt;/secondary-title&gt;&lt;/titles&gt;&lt;periodical&gt;&lt;full-title&gt;Journal of Financial Economics&lt;/full-title&gt;&lt;/periodical&gt;&lt;pages&gt;626-650&lt;/pages&gt;&lt;volume&gt;98&lt;/volume&gt;&lt;number&gt;3&lt;/number&gt;&lt;keywords&gt;&lt;keyword&gt;Noninterest income share&lt;/keyword&gt;&lt;keyword&gt;Wholesale funding&lt;/keyword&gt;&lt;keyword&gt;Diversification&lt;/keyword&gt;&lt;keyword&gt;Universal banking&lt;/keyword&gt;&lt;keyword&gt;Bank fragility&lt;/keyword&gt;&lt;keyword&gt;Financial crisis&lt;/keyword&gt;&lt;/keywords&gt;&lt;dates&gt;&lt;year&gt;2010&lt;/year&gt;&lt;pub-dates&gt;&lt;date&gt;2010/12/01/&lt;/date&gt;&lt;/pub-dates&gt;&lt;/dates&gt;&lt;isbn&gt;0304-405X&lt;/isbn&gt;&lt;urls&gt;&lt;related-urls&gt;&lt;url&gt;http://www.sciencedirect.com/science/article/pii/S0304405X10001534&lt;/url&gt;&lt;/related-urls&gt;&lt;/urls&gt;&lt;electronic-resource-num&gt;https://doi.org/10.1016/j.jfineco.2010.06.004&lt;/electronic-resource-num&gt;&lt;/record&gt;&lt;/Cite&gt;&lt;/EndNote&gt;</w:instrText>
      </w:r>
      <w:r w:rsidR="00E23F92">
        <w:fldChar w:fldCharType="separate"/>
      </w:r>
      <w:r w:rsidR="00E23F92">
        <w:rPr>
          <w:noProof/>
        </w:rPr>
        <w:t>Demirgüç-Kunt and Huizinga (2010)</w:t>
      </w:r>
      <w:r w:rsidR="00E23F92">
        <w:fldChar w:fldCharType="end"/>
      </w:r>
      <w:r w:rsidR="00E23F92">
        <w:t xml:space="preserve"> </w:t>
      </w:r>
      <w:r w:rsidR="00664CA2">
        <w:t xml:space="preserve">present </w:t>
      </w:r>
      <w:r w:rsidR="00AD5A52">
        <w:t>evidence</w:t>
      </w:r>
      <w:r w:rsidR="00E23F92">
        <w:t xml:space="preserve"> that wholesale funding may </w:t>
      </w:r>
      <w:r w:rsidR="00AD5A52">
        <w:t>increase</w:t>
      </w:r>
      <w:r w:rsidR="00E23F92">
        <w:t xml:space="preserve"> banks’ risk</w:t>
      </w:r>
      <w:r w:rsidR="00AD5A52">
        <w:t xml:space="preserve">, such as stock volatility, although it supports </w:t>
      </w:r>
      <w:r w:rsidR="009338D5">
        <w:t>large banks</w:t>
      </w:r>
      <w:r w:rsidR="00AD5A52">
        <w:t xml:space="preserve">’ fast expansion. As to retail deposits, </w:t>
      </w:r>
      <w:r w:rsidR="00AD5A52">
        <w:fldChar w:fldCharType="begin"/>
      </w:r>
      <w:r w:rsidR="00AD5A52">
        <w:instrText xml:space="preserve"> ADDIN EN.CITE &lt;EndNote&gt;&lt;Cite AuthorYear="1"&gt;&lt;Author&gt;Hirtle&lt;/Author&gt;&lt;Year&gt;2007&lt;/Year&gt;&lt;RecNum&gt;60&lt;/RecNum&gt;&lt;DisplayText&gt;Hirtle and Stiroh (2007)&lt;/DisplayText&gt;&lt;record&gt;&lt;rec-number&gt;60&lt;/rec-number&gt;&lt;foreign-keys&gt;&lt;key app="EN" db-id="xze9dwva9zzvfwe9p0vpz55lp5dr9e9zd955" timestamp="1594568872"&gt;60&lt;/key&gt;&lt;/foreign-keys&gt;&lt;ref-type name="Journal Article"&gt;17&lt;/ref-type&gt;&lt;contributors&gt;&lt;authors&gt;&lt;author&gt;Hirtle, Beverly J.&lt;/author&gt;&lt;author&gt;Stiroh, Kevin J.&lt;/author&gt;&lt;/authors&gt;&lt;/contributors&gt;&lt;titles&gt;&lt;title&gt;The return to retail and the performance of US banks&lt;/title&gt;&lt;secondary-title&gt;Journal of Banking &amp;amp; Finance&lt;/secondary-title&gt;&lt;/titles&gt;&lt;periodical&gt;&lt;full-title&gt;Journal of Banking &amp;amp; Finance&lt;/full-title&gt;&lt;/periodical&gt;&lt;pages&gt;1101-1133&lt;/pages&gt;&lt;volume&gt;31&lt;/volume&gt;&lt;number&gt;4&lt;/number&gt;&lt;keywords&gt;&lt;keyword&gt;Commercial banking&lt;/keyword&gt;&lt;keyword&gt;Retail banking&lt;/keyword&gt;&lt;keyword&gt;Risk&lt;/keyword&gt;&lt;/keywords&gt;&lt;dates&gt;&lt;year&gt;2007&lt;/year&gt;&lt;pub-dates&gt;&lt;date&gt;2007/04/01/&lt;/date&gt;&lt;/pub-dates&gt;&lt;/dates&gt;&lt;isbn&gt;0378-4266&lt;/isbn&gt;&lt;urls&gt;&lt;related-urls&gt;&lt;url&gt;http://www.sciencedirect.com/science/article/pii/S0378426606002846&lt;/url&gt;&lt;/related-urls&gt;&lt;/urls&gt;&lt;electronic-resource-num&gt;https://doi.org/10.1016/j.jbankfin.2006.10.004&lt;/electronic-resource-num&gt;&lt;/record&gt;&lt;/Cite&gt;&lt;/EndNote&gt;</w:instrText>
      </w:r>
      <w:r w:rsidR="00AD5A52">
        <w:fldChar w:fldCharType="separate"/>
      </w:r>
      <w:r w:rsidR="00AD5A52">
        <w:rPr>
          <w:noProof/>
        </w:rPr>
        <w:t>Hirtle and Stiroh (2007)</w:t>
      </w:r>
      <w:r w:rsidR="00AD5A52">
        <w:fldChar w:fldCharType="end"/>
      </w:r>
      <w:r w:rsidR="00AD5A52">
        <w:t xml:space="preserve"> state that retail deposits may provide a more stale business line for banks, although they may have lower returns. </w:t>
      </w:r>
    </w:p>
    <w:p w14:paraId="09DF4227" w14:textId="5875E0AE" w:rsidR="00AD5A52" w:rsidRDefault="00AD5A52" w:rsidP="005E008C">
      <w:pPr>
        <w:spacing w:before="120" w:after="120" w:line="288" w:lineRule="auto"/>
      </w:pPr>
      <w:bookmarkStart w:id="70" w:name="_Hlk49840628"/>
      <w:r>
        <w:t xml:space="preserve">The state-owned banks, foreign joint-stock banks and foreign owned banks have higher means of the ratio of wholesale funding/total liabilities, </w:t>
      </w:r>
      <w:bookmarkEnd w:id="70"/>
      <w:r>
        <w:t>with 24.</w:t>
      </w:r>
      <w:r w:rsidR="0051202F">
        <w:t>59</w:t>
      </w:r>
      <w:r>
        <w:t>%, 27.</w:t>
      </w:r>
      <w:r w:rsidR="0051202F">
        <w:t>54</w:t>
      </w:r>
      <w:r>
        <w:t>% and 24.8</w:t>
      </w:r>
      <w:r w:rsidR="0051202F">
        <w:t>8</w:t>
      </w:r>
      <w:r>
        <w:t>%</w:t>
      </w:r>
      <w:r w:rsidR="009338D5">
        <w:t xml:space="preserve"> respectively. While the means of the local government holding banks and the joint-stock banks are almost </w:t>
      </w:r>
      <w:r w:rsidR="0051202F">
        <w:t>3</w:t>
      </w:r>
      <w:r w:rsidR="009338D5">
        <w:t>-</w:t>
      </w:r>
      <w:r w:rsidR="0051202F">
        <w:t>4</w:t>
      </w:r>
      <w:r w:rsidR="009338D5">
        <w:t>%</w:t>
      </w:r>
      <w:r>
        <w:t xml:space="preserve"> </w:t>
      </w:r>
      <w:r w:rsidR="009338D5">
        <w:t xml:space="preserve">lower than the state-owned banks, with </w:t>
      </w:r>
      <w:r w:rsidR="0051202F">
        <w:t>20.83</w:t>
      </w:r>
      <w:r w:rsidR="009338D5">
        <w:t xml:space="preserve">% and </w:t>
      </w:r>
      <w:r w:rsidR="0051202F">
        <w:t>19.34</w:t>
      </w:r>
      <w:r w:rsidR="009338D5">
        <w:t xml:space="preserve">% respectively. The lower means mostly belong to those city banks and rural commercial banks whose ownership structure </w:t>
      </w:r>
      <w:proofErr w:type="gramStart"/>
      <w:r w:rsidR="009338D5">
        <w:t>are</w:t>
      </w:r>
      <w:proofErr w:type="gramEnd"/>
      <w:r w:rsidR="009338D5">
        <w:t xml:space="preserve"> local government holding and </w:t>
      </w:r>
      <w:proofErr w:type="gramStart"/>
      <w:r w:rsidR="009338D5">
        <w:t>joint-stock</w:t>
      </w:r>
      <w:proofErr w:type="gramEnd"/>
      <w:r w:rsidR="009338D5">
        <w:t xml:space="preserve">. </w:t>
      </w:r>
      <w:bookmarkStart w:id="71" w:name="_Hlk49840699"/>
      <w:r w:rsidR="009338D5">
        <w:t xml:space="preserve">These small and medium sized banks, consistent with the statement of the existing literature, focus on serving their local communities and might have </w:t>
      </w:r>
      <w:proofErr w:type="gramStart"/>
      <w:r w:rsidR="009338D5">
        <w:t>more</w:t>
      </w:r>
      <w:proofErr w:type="gramEnd"/>
      <w:r w:rsidR="009338D5">
        <w:t xml:space="preserve"> conservative strategy of business expansion. </w:t>
      </w:r>
      <w:bookmarkEnd w:id="71"/>
      <w:r w:rsidR="00E82BB0">
        <w:t xml:space="preserve">The results presented in </w:t>
      </w:r>
      <w:r w:rsidR="00290FC4">
        <w:t xml:space="preserve">Table </w:t>
      </w:r>
      <w:r w:rsidR="00E82BB0">
        <w:t xml:space="preserve">7-2 confirmed this assumption. The city banks and the rural commercial banks have the means of the ratio of wholesale funding/total liabilities of 15.28% and 21.31% respectively, the lowest value in the peers. On the other hand, the national banks and regional banks have the highest values of 31.83% and 24.74% respectively, which means that these banks might face more liquidity risk than the rest of their peers. </w:t>
      </w:r>
    </w:p>
    <w:p w14:paraId="6A98B4FF" w14:textId="216643EE" w:rsidR="007413E5" w:rsidRDefault="007413E5" w:rsidP="005E008C">
      <w:pPr>
        <w:spacing w:before="120" w:after="120" w:line="288" w:lineRule="auto"/>
      </w:pPr>
      <w:bookmarkStart w:id="72" w:name="_Hlk49840747"/>
      <w:r>
        <w:t xml:space="preserve">The ratio of retail deposits/total deposits might be less indicative of banks’ funding source reliance </w:t>
      </w:r>
      <w:proofErr w:type="gramStart"/>
      <w:r>
        <w:t xml:space="preserve">due to </w:t>
      </w:r>
      <w:r w:rsidR="00290FC4">
        <w:t>the fact that</w:t>
      </w:r>
      <w:proofErr w:type="gramEnd"/>
      <w:r w:rsidR="00290FC4">
        <w:t xml:space="preserve"> there are </w:t>
      </w:r>
      <w:r>
        <w:t xml:space="preserve">less observations available on this variable. </w:t>
      </w:r>
      <w:bookmarkEnd w:id="72"/>
      <w:r>
        <w:t xml:space="preserve">However, the results may still corroborate the means of wholesale funding/total liabilities to </w:t>
      </w:r>
      <w:proofErr w:type="gramStart"/>
      <w:r>
        <w:t>the</w:t>
      </w:r>
      <w:proofErr w:type="gramEnd"/>
      <w:r>
        <w:t xml:space="preserve"> great extent. The local government holding banks and the joint-stock banks have a relatively high ratio of retail deposit/total deposit at 35.</w:t>
      </w:r>
      <w:r w:rsidR="00BF1947">
        <w:t>7</w:t>
      </w:r>
      <w:r>
        <w:t xml:space="preserve">4% and </w:t>
      </w:r>
      <w:r w:rsidR="00BF1947">
        <w:t>32.20</w:t>
      </w:r>
      <w:r>
        <w:t>%; while foreign joint-stock and foreign owned banks have a ratio of 5-10% lower. Foreign owned banks have the lowest ratio of 13.5</w:t>
      </w:r>
      <w:r w:rsidR="00BF1947">
        <w:t>6</w:t>
      </w:r>
      <w:r>
        <w:t xml:space="preserve">%, which could imply that </w:t>
      </w:r>
      <w:r w:rsidR="00716F0F">
        <w:t>foreign owned banks might not take retail deposit strategy in China’s financial markets. The state-owned banks, however, have the highest ratio of 36.</w:t>
      </w:r>
      <w:r w:rsidR="00BF1947">
        <w:t>12</w:t>
      </w:r>
      <w:r w:rsidR="00716F0F">
        <w:t>%</w:t>
      </w:r>
      <w:r w:rsidR="00E82BB0">
        <w:t>; and the Big Six have the consistent value of 50.12%. T</w:t>
      </w:r>
      <w:r w:rsidR="00716F0F">
        <w:t xml:space="preserve">he reasons could be traced to historical and diversification rationales. First, the state-owned banks, especially the Big Four, were the earliest commercial banks in China and entirely owned and controlled by the state government. Before </w:t>
      </w:r>
      <w:r w:rsidR="00864C24">
        <w:t xml:space="preserve">legislation of deposit insurance was </w:t>
      </w:r>
      <w:r w:rsidR="00290FC4">
        <w:t xml:space="preserve">implemented </w:t>
      </w:r>
      <w:r w:rsidR="00864C24">
        <w:t xml:space="preserve">in 2015, the state government in fact </w:t>
      </w:r>
      <w:r w:rsidR="00290FC4">
        <w:t>took</w:t>
      </w:r>
      <w:r w:rsidR="00864C24">
        <w:t xml:space="preserve"> the role of the implicit deposit insurer. </w:t>
      </w:r>
      <w:bookmarkStart w:id="73" w:name="_Hlk49840785"/>
      <w:r w:rsidR="00864C24">
        <w:t xml:space="preserve">As a long-term habit and </w:t>
      </w:r>
      <w:r w:rsidR="00290FC4">
        <w:t xml:space="preserve">due to </w:t>
      </w:r>
      <w:r w:rsidR="00864C24">
        <w:t>trust, Chinese individuals, especially residents in cities, still consider these state-owned, large banks as their first choice for deposits and wealth management</w:t>
      </w:r>
      <w:bookmarkEnd w:id="73"/>
      <w:r w:rsidR="00864C24">
        <w:t xml:space="preserve">, even though there are numerous commercial banks. Second, the state-owned banks </w:t>
      </w:r>
      <w:r w:rsidR="00290FC4">
        <w:t>achieved</w:t>
      </w:r>
      <w:r w:rsidR="00ED116F">
        <w:t xml:space="preserve"> more </w:t>
      </w:r>
      <w:r w:rsidR="00864C24">
        <w:t xml:space="preserve">in geographical expansion and business </w:t>
      </w:r>
      <w:r w:rsidR="00ED116F">
        <w:t xml:space="preserve">diversification than city banks, in </w:t>
      </w:r>
      <w:r w:rsidR="00290FC4">
        <w:t xml:space="preserve">relation to </w:t>
      </w:r>
      <w:r w:rsidR="00ED116F">
        <w:t xml:space="preserve">time, scope and depth. Combined with the first reason, it is understandable that the state-owned banks have a higher ratio. </w:t>
      </w:r>
      <w:r w:rsidR="00E82BB0">
        <w:t>The rural commercial banks have a rather higher ratio of 54.63% than the Big Six</w:t>
      </w:r>
      <w:r w:rsidR="00DD794B">
        <w:t xml:space="preserve">, which is in accordance with their lower reliability to the wholesale funding. </w:t>
      </w:r>
    </w:p>
    <w:p w14:paraId="6232D12B" w14:textId="255E0302" w:rsidR="00290FC4" w:rsidRPr="00941CB8" w:rsidRDefault="00290FC4" w:rsidP="00941CB8">
      <w:pPr>
        <w:pStyle w:val="Heading4"/>
        <w:spacing w:before="120" w:after="120" w:line="288" w:lineRule="auto"/>
        <w:rPr>
          <w:rFonts w:ascii="Corbel" w:hAnsi="Corbel"/>
          <w:u w:val="single"/>
        </w:rPr>
      </w:pPr>
      <w:r w:rsidRPr="00941CB8">
        <w:rPr>
          <w:rFonts w:ascii="Corbel" w:hAnsi="Corbel"/>
          <w:u w:val="single"/>
        </w:rPr>
        <w:t>Conclusion</w:t>
      </w:r>
    </w:p>
    <w:p w14:paraId="7A7B0F9F" w14:textId="7F9046F2" w:rsidR="00A67B29" w:rsidRDefault="00DD794B" w:rsidP="005E008C">
      <w:pPr>
        <w:spacing w:before="120" w:after="120" w:line="288" w:lineRule="auto"/>
      </w:pPr>
      <w:r>
        <w:t xml:space="preserve">The CAMELS rating system is a popular methodology to assess the safety and soundness of individual banks in the banking industry. Guided by the CAMELS framework, </w:t>
      </w:r>
      <w:r w:rsidR="00290FC4">
        <w:t>this section presents</w:t>
      </w:r>
      <w:r>
        <w:t xml:space="preserve"> an overview of China’s banking industry </w:t>
      </w:r>
      <w:r w:rsidR="00290FC4">
        <w:t xml:space="preserve">a </w:t>
      </w:r>
      <w:r>
        <w:t xml:space="preserve">quantitative perspective. </w:t>
      </w:r>
      <w:bookmarkStart w:id="74" w:name="_Hlk49840834"/>
      <w:r w:rsidR="00585A65">
        <w:t xml:space="preserve">Commercial banks have </w:t>
      </w:r>
      <w:r w:rsidR="00290FC4">
        <w:t xml:space="preserve">a </w:t>
      </w:r>
      <w:r w:rsidR="00585A65">
        <w:t xml:space="preserve">capital adequacy </w:t>
      </w:r>
      <w:proofErr w:type="gramStart"/>
      <w:r w:rsidR="00290FC4">
        <w:t>ratio</w:t>
      </w:r>
      <w:proofErr w:type="gramEnd"/>
      <w:r w:rsidR="00290FC4">
        <w:t xml:space="preserve"> </w:t>
      </w:r>
      <w:r w:rsidR="00585A65">
        <w:t>over 10% which is higher than the standard of the Base</w:t>
      </w:r>
      <w:r w:rsidR="00290FC4">
        <w:t xml:space="preserve">l III </w:t>
      </w:r>
      <w:r w:rsidR="00585A65">
        <w:t xml:space="preserve">framework. The state-owned banks </w:t>
      </w:r>
      <w:r w:rsidR="00290FC4">
        <w:t xml:space="preserve">do not display </w:t>
      </w:r>
      <w:r w:rsidR="00585A65">
        <w:t>the highest ratios. China’s banking industry has a lower average NPL ratio than other members of G20 and has its own reasons. However</w:t>
      </w:r>
      <w:r w:rsidR="00123D0A">
        <w:t xml:space="preserve">, our analysis shows that those small and medium banks might not have enough safeguards against </w:t>
      </w:r>
      <w:r w:rsidR="00290FC4">
        <w:t xml:space="preserve">the </w:t>
      </w:r>
      <w:r w:rsidR="00123D0A">
        <w:t xml:space="preserve">relatively higher credit risk they are facing. </w:t>
      </w:r>
      <w:r w:rsidR="008A7F5E">
        <w:rPr>
          <w:rFonts w:hint="eastAsia"/>
        </w:rPr>
        <w:t>China</w:t>
      </w:r>
      <w:r w:rsidR="008A7F5E">
        <w:t xml:space="preserve">’s commercial banks have a lower cost to income ratio than foreign banks and the average value in literature, mainly because </w:t>
      </w:r>
      <w:r w:rsidR="00290FC4">
        <w:t xml:space="preserve">of </w:t>
      </w:r>
      <w:r w:rsidR="008A7F5E">
        <w:t xml:space="preserve">the stringent guidance on interest rates in China’s financial markets. The slow progress of the reforms on market rates also </w:t>
      </w:r>
      <w:proofErr w:type="gramStart"/>
      <w:r w:rsidR="008A7F5E">
        <w:t>have</w:t>
      </w:r>
      <w:proofErr w:type="gramEnd"/>
      <w:r w:rsidR="008A7F5E">
        <w:t xml:space="preserve"> ensured, to a large degree of extent, commercial banks have the ratio of return on equity over 14% </w:t>
      </w:r>
      <w:r w:rsidR="00290FC4">
        <w:t xml:space="preserve">on </w:t>
      </w:r>
      <w:r w:rsidR="008A7F5E">
        <w:t>average. As for liquidity risk,</w:t>
      </w:r>
      <w:r w:rsidR="00FB684E">
        <w:t xml:space="preserve"> the biggest and the smaller commercial banks averagely do not </w:t>
      </w:r>
      <w:proofErr w:type="gramStart"/>
      <w:r w:rsidR="00FB684E">
        <w:t>highly rely</w:t>
      </w:r>
      <w:proofErr w:type="gramEnd"/>
      <w:r w:rsidR="00FB684E">
        <w:t xml:space="preserve"> on wholesale funding. Nevertheless, the medium banks, especially those involved with local government shareholders in history, might have higher liquidity risk because they </w:t>
      </w:r>
      <w:r w:rsidR="00290FC4">
        <w:t>rely</w:t>
      </w:r>
      <w:r w:rsidR="00FB684E">
        <w:t xml:space="preserve"> on wholesale funding channels more heavily. </w:t>
      </w:r>
      <w:bookmarkEnd w:id="74"/>
    </w:p>
    <w:p w14:paraId="0502EF8F" w14:textId="77777777" w:rsidR="00A67B29" w:rsidRDefault="00A67B29">
      <w:pPr>
        <w:sectPr w:rsidR="00A67B29" w:rsidSect="008664B1">
          <w:pgSz w:w="12240" w:h="15840" w:code="1"/>
          <w:pgMar w:top="720" w:right="720" w:bottom="720" w:left="720" w:header="720" w:footer="720" w:gutter="0"/>
          <w:cols w:space="720"/>
          <w:docGrid w:linePitch="360"/>
        </w:sectPr>
      </w:pPr>
      <w:r>
        <w:br w:type="page"/>
      </w:r>
    </w:p>
    <w:p w14:paraId="71656492" w14:textId="1BAB66D8" w:rsidR="005150CD" w:rsidRPr="00A558EA" w:rsidRDefault="005150CD" w:rsidP="005150CD">
      <w:pPr>
        <w:pStyle w:val="Heading2"/>
        <w:rPr>
          <w:rStyle w:val="Emphasis"/>
          <w:rFonts w:ascii="Corbel" w:hAnsi="Corbel"/>
        </w:rPr>
      </w:pPr>
      <w:r w:rsidRPr="00A558EA">
        <w:rPr>
          <w:rStyle w:val="Emphasis"/>
          <w:rFonts w:ascii="Corbel" w:hAnsi="Corbel"/>
        </w:rPr>
        <w:t xml:space="preserve">Appendix </w:t>
      </w:r>
      <w:r w:rsidR="001B5B85">
        <w:rPr>
          <w:rStyle w:val="Emphasis"/>
          <w:rFonts w:ascii="Corbel" w:hAnsi="Corbel"/>
        </w:rPr>
        <w:t>1</w:t>
      </w:r>
      <w:r w:rsidRPr="00A558EA">
        <w:rPr>
          <w:rStyle w:val="Emphasis"/>
          <w:rFonts w:ascii="Corbel" w:hAnsi="Corbel"/>
        </w:rPr>
        <w:t>:</w:t>
      </w:r>
    </w:p>
    <w:p w14:paraId="59D02AD3" w14:textId="77777777" w:rsidR="005150CD" w:rsidRPr="00A558EA" w:rsidRDefault="005150CD" w:rsidP="005150CD">
      <w:pPr>
        <w:pStyle w:val="Heading2"/>
        <w:jc w:val="center"/>
        <w:rPr>
          <w:rStyle w:val="Emphasis"/>
          <w:rFonts w:ascii="Corbel" w:eastAsia="黑体" w:hAnsi="Corbel"/>
          <w:i w:val="0"/>
          <w:iCs w:val="0"/>
          <w:sz w:val="24"/>
          <w:szCs w:val="24"/>
        </w:rPr>
      </w:pPr>
      <w:r w:rsidRPr="00A558EA">
        <w:rPr>
          <w:rStyle w:val="Emphasis"/>
          <w:rFonts w:ascii="Corbel" w:eastAsia="黑体" w:hAnsi="Corbel"/>
          <w:sz w:val="24"/>
          <w:szCs w:val="24"/>
        </w:rPr>
        <w:t>Key regulation and regulatory documents in the adoption of the Basel III framework</w:t>
      </w:r>
    </w:p>
    <w:bookmarkStart w:id="75" w:name="_MON_1638538462"/>
    <w:bookmarkEnd w:id="75"/>
    <w:p w14:paraId="2207CF2C" w14:textId="4C050E39" w:rsidR="005150CD" w:rsidRPr="005022B6" w:rsidRDefault="00A674ED" w:rsidP="005150CD">
      <w:r>
        <w:object w:dxaOrig="9307" w:dyaOrig="10147" w14:anchorId="4AEF1605">
          <v:shape id="_x0000_i1038" type="#_x0000_t75" style="width:465.35pt;height:507.35pt" o:ole="">
            <v:imagedata r:id="rId46" o:title=""/>
          </v:shape>
          <o:OLEObject Type="Embed" ProgID="Excel.Sheet.12" ShapeID="_x0000_i1038" DrawAspect="Content" ObjectID="_1767565674" r:id="rId47"/>
        </w:object>
      </w:r>
    </w:p>
    <w:p w14:paraId="62E01E16" w14:textId="77777777" w:rsidR="005150CD" w:rsidRDefault="005150CD" w:rsidP="0061685D">
      <w:pPr>
        <w:pStyle w:val="EndNoteBibliography"/>
        <w:spacing w:after="0" w:line="288" w:lineRule="auto"/>
        <w:ind w:left="720" w:hanging="720"/>
        <w:rPr>
          <w:rStyle w:val="IntenseEmphasis"/>
        </w:rPr>
      </w:pPr>
    </w:p>
    <w:p w14:paraId="4C6911A6" w14:textId="77777777" w:rsidR="005150CD" w:rsidRDefault="005150CD" w:rsidP="0061685D">
      <w:pPr>
        <w:pStyle w:val="EndNoteBibliography"/>
        <w:spacing w:after="0" w:line="288" w:lineRule="auto"/>
        <w:ind w:left="720" w:hanging="720"/>
        <w:rPr>
          <w:rStyle w:val="IntenseEmphasis"/>
        </w:rPr>
      </w:pPr>
    </w:p>
    <w:p w14:paraId="5031EAD4" w14:textId="77777777" w:rsidR="005150CD" w:rsidRDefault="005150CD" w:rsidP="0061685D">
      <w:pPr>
        <w:pStyle w:val="EndNoteBibliography"/>
        <w:spacing w:after="0" w:line="288" w:lineRule="auto"/>
        <w:ind w:left="720" w:hanging="720"/>
        <w:rPr>
          <w:rStyle w:val="IntenseEmphasis"/>
        </w:rPr>
      </w:pPr>
    </w:p>
    <w:p w14:paraId="0233F2F1" w14:textId="77777777" w:rsidR="005150CD" w:rsidRDefault="005150CD" w:rsidP="0061685D">
      <w:pPr>
        <w:pStyle w:val="EndNoteBibliography"/>
        <w:spacing w:after="0" w:line="288" w:lineRule="auto"/>
        <w:ind w:left="720" w:hanging="720"/>
        <w:rPr>
          <w:rStyle w:val="IntenseEmphasis"/>
        </w:rPr>
      </w:pPr>
    </w:p>
    <w:p w14:paraId="5A1DF16D" w14:textId="77777777" w:rsidR="005150CD" w:rsidRDefault="005150CD" w:rsidP="0061685D">
      <w:pPr>
        <w:pStyle w:val="EndNoteBibliography"/>
        <w:spacing w:after="0" w:line="288" w:lineRule="auto"/>
        <w:ind w:left="720" w:hanging="720"/>
        <w:rPr>
          <w:rStyle w:val="IntenseEmphasis"/>
        </w:rPr>
      </w:pPr>
    </w:p>
    <w:p w14:paraId="78F51A42" w14:textId="77777777" w:rsidR="005150CD" w:rsidRDefault="005150CD" w:rsidP="0061685D">
      <w:pPr>
        <w:pStyle w:val="EndNoteBibliography"/>
        <w:spacing w:after="0" w:line="288" w:lineRule="auto"/>
        <w:ind w:left="720" w:hanging="720"/>
        <w:rPr>
          <w:rStyle w:val="IntenseEmphasis"/>
        </w:rPr>
      </w:pPr>
    </w:p>
    <w:p w14:paraId="68C5C936" w14:textId="2EB400B9" w:rsidR="00BF1947" w:rsidRPr="00A67B29" w:rsidRDefault="00BF1947" w:rsidP="00A67B29">
      <w:pPr>
        <w:pStyle w:val="Heading2"/>
        <w:rPr>
          <w:rStyle w:val="Emphasis"/>
          <w:rFonts w:ascii="Corbel" w:hAnsi="Corbel"/>
        </w:rPr>
      </w:pPr>
      <w:r w:rsidRPr="00A67B29">
        <w:rPr>
          <w:rStyle w:val="Emphasis"/>
          <w:rFonts w:ascii="Corbel" w:hAnsi="Corbel" w:hint="eastAsia"/>
        </w:rPr>
        <w:t>App</w:t>
      </w:r>
      <w:r w:rsidRPr="00A67B29">
        <w:rPr>
          <w:rStyle w:val="Emphasis"/>
          <w:rFonts w:ascii="Corbel" w:hAnsi="Corbel"/>
        </w:rPr>
        <w:t>endix</w:t>
      </w:r>
      <w:r w:rsidR="00A67B29" w:rsidRPr="00A67B29">
        <w:rPr>
          <w:rStyle w:val="Emphasis"/>
          <w:rFonts w:ascii="Corbel" w:hAnsi="Corbel"/>
        </w:rPr>
        <w:t xml:space="preserve"> </w:t>
      </w:r>
      <w:r w:rsidR="00290FC4">
        <w:rPr>
          <w:rStyle w:val="Emphasis"/>
          <w:rFonts w:ascii="Corbel" w:hAnsi="Corbel"/>
        </w:rPr>
        <w:t>2</w:t>
      </w:r>
      <w:r w:rsidR="00A67B29" w:rsidRPr="00A67B29">
        <w:rPr>
          <w:rStyle w:val="Emphasis"/>
          <w:rFonts w:ascii="Corbel" w:hAnsi="Corbel"/>
        </w:rPr>
        <w:t xml:space="preserve">: </w:t>
      </w:r>
      <w:r w:rsidRPr="00A67B29">
        <w:rPr>
          <w:rStyle w:val="Emphasis"/>
          <w:rFonts w:ascii="Corbel" w:hAnsi="Corbel"/>
        </w:rPr>
        <w:t xml:space="preserve"> </w:t>
      </w:r>
      <w:r w:rsidR="007C4800" w:rsidRPr="00A67B29">
        <w:rPr>
          <w:rStyle w:val="Emphasis"/>
          <w:rFonts w:ascii="Corbel" w:hAnsi="Corbel"/>
        </w:rPr>
        <w:t>CAMEL variable definition and data source</w:t>
      </w:r>
    </w:p>
    <w:bookmarkStart w:id="76" w:name="_Hlk47458149"/>
    <w:bookmarkStart w:id="77" w:name="_MON_1767557361"/>
    <w:bookmarkEnd w:id="77"/>
    <w:p w14:paraId="402C55A8" w14:textId="253E2316" w:rsidR="007C4800" w:rsidRDefault="00087D9F" w:rsidP="0061685D">
      <w:pPr>
        <w:pStyle w:val="EndNoteBibliography"/>
        <w:spacing w:after="0" w:line="288" w:lineRule="auto"/>
        <w:ind w:left="720" w:hanging="720"/>
        <w:rPr>
          <w:rStyle w:val="IntenseEmphasis"/>
        </w:rPr>
      </w:pPr>
      <w:r>
        <w:rPr>
          <w:rStyle w:val="IntenseEmphasis"/>
        </w:rPr>
        <w:object w:dxaOrig="10081" w:dyaOrig="13968" w14:anchorId="486540D4">
          <v:shape id="_x0000_i1043" type="#_x0000_t75" style="width:423.9pt;height:570.6pt" o:ole="">
            <v:imagedata r:id="rId48" o:title=""/>
          </v:shape>
          <o:OLEObject Type="Embed" ProgID="Excel.Sheet.12" ShapeID="_x0000_i1043" DrawAspect="Content" ObjectID="_1767565675" r:id="rId49"/>
        </w:object>
      </w:r>
      <w:bookmarkEnd w:id="76"/>
    </w:p>
    <w:p w14:paraId="0C17BA60" w14:textId="77777777" w:rsidR="00290FC4" w:rsidRDefault="00290FC4">
      <w:pPr>
        <w:rPr>
          <w:rStyle w:val="IntenseEmphasis"/>
        </w:rPr>
      </w:pPr>
    </w:p>
    <w:p w14:paraId="4081C961" w14:textId="77777777" w:rsidR="00290FC4" w:rsidRDefault="00290FC4">
      <w:pPr>
        <w:rPr>
          <w:rStyle w:val="IntenseEmphasis"/>
        </w:rPr>
      </w:pPr>
      <w:r>
        <w:rPr>
          <w:rStyle w:val="IntenseEmphasis"/>
        </w:rPr>
        <w:br w:type="page"/>
      </w:r>
    </w:p>
    <w:p w14:paraId="757D0637" w14:textId="179AC222" w:rsidR="00290FC4" w:rsidRPr="00232D7D" w:rsidRDefault="00232D7D" w:rsidP="00941CB8">
      <w:pPr>
        <w:pStyle w:val="Heading2"/>
        <w:spacing w:before="120" w:after="120" w:line="288" w:lineRule="auto"/>
        <w:rPr>
          <w:rStyle w:val="Emphasis"/>
          <w:rFonts w:ascii="Corbel" w:hAnsi="Corbel"/>
        </w:rPr>
      </w:pPr>
      <w:r w:rsidRPr="00232D7D">
        <w:rPr>
          <w:rStyle w:val="Emphasis"/>
          <w:rFonts w:ascii="Corbel" w:hAnsi="Corbel"/>
        </w:rPr>
        <w:t>Appendix 3: Information of Basel Accords</w:t>
      </w:r>
    </w:p>
    <w:p w14:paraId="36B3EBB2" w14:textId="6A73BF41" w:rsidR="00290FC4" w:rsidRPr="00EF0A71" w:rsidRDefault="00290FC4" w:rsidP="00941CB8">
      <w:pPr>
        <w:spacing w:before="120" w:after="120" w:line="288" w:lineRule="auto"/>
        <w:jc w:val="center"/>
        <w:rPr>
          <w:sz w:val="52"/>
          <w:szCs w:val="52"/>
        </w:rPr>
      </w:pPr>
      <w:r w:rsidRPr="00EF0A71">
        <w:rPr>
          <w:sz w:val="52"/>
          <w:szCs w:val="52"/>
        </w:rPr>
        <w:t>Basel Accords</w:t>
      </w:r>
    </w:p>
    <w:p w14:paraId="2F65DBB0" w14:textId="77777777" w:rsidR="00290FC4" w:rsidRDefault="00290FC4" w:rsidP="00941CB8">
      <w:pPr>
        <w:spacing w:before="120" w:after="120" w:line="288" w:lineRule="auto"/>
      </w:pPr>
      <w:r>
        <w:t>Abstract and outlines:</w:t>
      </w:r>
    </w:p>
    <w:p w14:paraId="71A9C879" w14:textId="77777777" w:rsidR="00290FC4" w:rsidRPr="00413FEB" w:rsidRDefault="00290FC4" w:rsidP="00941CB8">
      <w:pPr>
        <w:spacing w:before="120" w:after="120" w:line="288" w:lineRule="auto"/>
      </w:pPr>
      <w:r>
        <w:t xml:space="preserve">This appendix is a description of relevant information about the Basel Accords (or the Basel Framework). This appendix includes five sections. Section 1 is the definition of the Basel Accords and the Basel Committee. Section 2 briefly describes the development of the Basel Framework chronologically. Section 3 introduces the evolution of main parts of the Basel Framework from the perspective of risk-based categories. Section 4 describes the way of how the Basel Framework functions. And section 5 is to look ahead. </w:t>
      </w:r>
    </w:p>
    <w:p w14:paraId="197CCC7C" w14:textId="77777777" w:rsidR="00290FC4" w:rsidRPr="00941CB8" w:rsidRDefault="00290FC4" w:rsidP="00941CB8">
      <w:pPr>
        <w:pStyle w:val="Heading1"/>
        <w:numPr>
          <w:ilvl w:val="0"/>
          <w:numId w:val="7"/>
        </w:numPr>
        <w:spacing w:before="120" w:after="120" w:line="288" w:lineRule="auto"/>
        <w:rPr>
          <w:sz w:val="28"/>
          <w:szCs w:val="28"/>
        </w:rPr>
      </w:pPr>
      <w:r w:rsidRPr="00941CB8">
        <w:rPr>
          <w:sz w:val="28"/>
          <w:szCs w:val="28"/>
        </w:rPr>
        <w:t>What are Basel Accords?</w:t>
      </w:r>
    </w:p>
    <w:p w14:paraId="63BD74B5" w14:textId="6812951B" w:rsidR="00290FC4" w:rsidRPr="00A14225" w:rsidRDefault="00290FC4" w:rsidP="00941CB8">
      <w:pPr>
        <w:spacing w:before="120" w:after="120" w:line="288" w:lineRule="auto"/>
      </w:pPr>
      <w:r w:rsidRPr="00A14225">
        <w:t xml:space="preserve">Basel Accords are </w:t>
      </w:r>
      <w:r w:rsidR="00733BB0" w:rsidRPr="00A14225">
        <w:t>a series</w:t>
      </w:r>
      <w:r w:rsidRPr="00A14225">
        <w:t xml:space="preserve"> of financial regulations (including Basel I, II and III) for the banking sector set by the Basel Committee on Bank Supervision (BCBS). Basel Accords, the prudential regulations reached by the consensus of the worldwide central banks and bank supervisors, aim to enhance the stability of </w:t>
      </w:r>
      <w:r w:rsidR="00733BB0" w:rsidRPr="00A14225">
        <w:t>the financial</w:t>
      </w:r>
      <w:r w:rsidRPr="00A14225">
        <w:t xml:space="preserve"> </w:t>
      </w:r>
      <w:proofErr w:type="gramStart"/>
      <w:r w:rsidRPr="00A14225">
        <w:t>system as a whole</w:t>
      </w:r>
      <w:proofErr w:type="gramEnd"/>
      <w:r w:rsidRPr="00A14225">
        <w:t>. The risk spectrum covered by Basel Accords concerns credit risk, market risk</w:t>
      </w:r>
      <w:r>
        <w:t xml:space="preserve">, </w:t>
      </w:r>
      <w:r w:rsidRPr="00A14225">
        <w:t xml:space="preserve">operational risk </w:t>
      </w:r>
      <w:r>
        <w:t xml:space="preserve">and other risks </w:t>
      </w:r>
      <w:r w:rsidRPr="00A14225">
        <w:t xml:space="preserve">in banks and bank groups. </w:t>
      </w:r>
    </w:p>
    <w:p w14:paraId="76331E6A" w14:textId="77777777" w:rsidR="00290FC4" w:rsidRPr="00413FEB" w:rsidRDefault="00290FC4" w:rsidP="00941CB8">
      <w:pPr>
        <w:pStyle w:val="Heading2"/>
        <w:numPr>
          <w:ilvl w:val="0"/>
          <w:numId w:val="8"/>
        </w:numPr>
        <w:spacing w:before="120" w:after="120" w:line="288" w:lineRule="auto"/>
      </w:pPr>
      <w:r w:rsidRPr="00413FEB">
        <w:t>The Basel Committee on Bank Supervision (BCBS)</w:t>
      </w:r>
    </w:p>
    <w:p w14:paraId="2222C078" w14:textId="52B146E6" w:rsidR="00290FC4" w:rsidRPr="00A14225" w:rsidRDefault="00290FC4" w:rsidP="00941CB8">
      <w:pPr>
        <w:spacing w:before="120" w:after="120" w:line="288" w:lineRule="auto"/>
      </w:pPr>
      <w:r w:rsidRPr="00A14225">
        <w:t xml:space="preserve">The Basel Committee on Bank Supervision (thereafter BCBS, or the Basel Committee), founded in 1974, is one of the standard-setting committees of the Bank for International Settlements (BIS). The BIS was established in 1930 and owned by 60 central banks worldwide. The BIS has missions to foster international cooperation in area of monetary and financial stability and ‘act as a bank for central </w:t>
      </w:r>
      <w:proofErr w:type="gramStart"/>
      <w:r w:rsidRPr="00A14225">
        <w:t>banks</w:t>
      </w:r>
      <w:r w:rsidR="00733BB0">
        <w:t>’</w:t>
      </w:r>
      <w:proofErr w:type="gramEnd"/>
      <w:r w:rsidRPr="00A14225">
        <w:t>.</w:t>
      </w:r>
      <w:r>
        <w:rPr>
          <w:rFonts w:hint="eastAsia"/>
        </w:rPr>
        <w:t xml:space="preserve"> </w:t>
      </w:r>
      <w:r w:rsidRPr="00A14225">
        <w:t xml:space="preserve"> (BIS, overview)</w:t>
      </w:r>
    </w:p>
    <w:p w14:paraId="2A3E8E17" w14:textId="77777777" w:rsidR="00290FC4" w:rsidRPr="00A14225" w:rsidRDefault="00290FC4" w:rsidP="00941CB8">
      <w:pPr>
        <w:spacing w:before="120" w:after="120" w:line="288" w:lineRule="auto"/>
      </w:pPr>
      <w:r w:rsidRPr="00A14225">
        <w:t xml:space="preserve">Under this premise, the BCBS was established to act as an international financial standard setter, as well as a provider of the forum for communication and cooperation on banking supervision between its 45 member institutions from 28 jurisdictions. (BCBS, overview) </w:t>
      </w:r>
    </w:p>
    <w:p w14:paraId="3CDDE1AC" w14:textId="77777777" w:rsidR="00290FC4" w:rsidRPr="00941CB8" w:rsidRDefault="00290FC4" w:rsidP="00941CB8">
      <w:pPr>
        <w:pStyle w:val="Heading1"/>
        <w:numPr>
          <w:ilvl w:val="0"/>
          <w:numId w:val="7"/>
        </w:numPr>
        <w:spacing w:before="120" w:after="120" w:line="288" w:lineRule="auto"/>
        <w:rPr>
          <w:sz w:val="28"/>
          <w:szCs w:val="28"/>
        </w:rPr>
      </w:pPr>
      <w:r w:rsidRPr="00941CB8">
        <w:rPr>
          <w:sz w:val="28"/>
          <w:szCs w:val="28"/>
        </w:rPr>
        <w:t>The brief history of Basel Accords</w:t>
      </w:r>
    </w:p>
    <w:p w14:paraId="27274ABE" w14:textId="46CF0C3C" w:rsidR="00290FC4" w:rsidRPr="00A14225" w:rsidRDefault="00290FC4" w:rsidP="00941CB8">
      <w:pPr>
        <w:spacing w:before="120" w:after="120" w:line="288" w:lineRule="auto"/>
      </w:pPr>
      <w:r w:rsidRPr="00A14225">
        <w:t xml:space="preserve">Banks are highly leveraged institutions, which means that </w:t>
      </w:r>
      <w:r w:rsidR="006C73DB" w:rsidRPr="00A14225">
        <w:t>the banking</w:t>
      </w:r>
      <w:r w:rsidRPr="00A14225">
        <w:t xml:space="preserve"> industry is borne to be highly profitable at the same time highly fragile. The bank regulations have been existed since banks have been in their current institutional forms.</w:t>
      </w:r>
      <w:r>
        <w:fldChar w:fldCharType="begin"/>
      </w:r>
      <w:r>
        <w:instrText xml:space="preserve"> ADDIN EN.CITE &lt;EndNote&gt;&lt;Cite&gt;&lt;Author&gt;Barth&lt;/Author&gt;&lt;Year&gt;2004&lt;/Year&gt;&lt;RecNum&gt;5&lt;/RecNum&gt;&lt;DisplayText&gt;(Barth et al., 2004)&lt;/DisplayText&gt;&lt;record&gt;&lt;rec-number&gt;5&lt;/rec-number&gt;&lt;foreign-keys&gt;&lt;key app="EN" db-id="tewxv52070srvlesdv5x5srafe0w5fspwe2v" timestamp="1573405591"&gt;5&lt;/key&gt;&lt;key app="ENWeb" db-id=""&gt;0&lt;/key&gt;&lt;/foreign-keys&gt;&lt;ref-type name="Journal Article"&gt;17&lt;/ref-type&gt;&lt;contributors&gt;&lt;authors&gt;&lt;author&gt;Barth, James R.&lt;/author&gt;&lt;author&gt;Caprio, Gerard&lt;/author&gt;&lt;author&gt;Levine, Ross&lt;/author&gt;&lt;/authors&gt;&lt;/contributors&gt;&lt;titles&gt;&lt;title&gt;Bank regulation and supervision: what works best?&lt;/title&gt;&lt;secondary-title&gt;Journal of Financial Intermediation&lt;/secondary-title&gt;&lt;/titles&gt;&lt;periodical&gt;&lt;full-title&gt;Journal of Financial Intermediation&lt;/full-title&gt;&lt;/periodical&gt;&lt;pages&gt;205-248&lt;/pages&gt;&lt;volume&gt;13&lt;/volume&gt;&lt;number&gt;2&lt;/number&gt;&lt;section&gt;205&lt;/section&gt;&lt;dates&gt;&lt;year&gt;2004&lt;/year&gt;&lt;/dates&gt;&lt;isbn&gt;10429573&lt;/isbn&gt;&lt;urls&gt;&lt;/urls&gt;&lt;electronic-resource-num&gt;10.1016/j.jfi.2003.06.002&lt;/electronic-resource-num&gt;&lt;/record&gt;&lt;/Cite&gt;&lt;/EndNote&gt;</w:instrText>
      </w:r>
      <w:r>
        <w:fldChar w:fldCharType="separate"/>
      </w:r>
      <w:r>
        <w:rPr>
          <w:noProof/>
        </w:rPr>
        <w:t>(Barth et al., 2004)</w:t>
      </w:r>
      <w:r>
        <w:fldChar w:fldCharType="end"/>
      </w:r>
      <w:r w:rsidRPr="00A14225">
        <w:t xml:space="preserve"> For example, in the United States, the 1933 Banking Act not only imposed federal oversight on commercial banks for the first time, but also established a government corporation, the Federal Deposit Insurance Corporation (FDIC) to protect the benefits of depositors in the U.S. commercial banks and other saving institutions. </w:t>
      </w:r>
    </w:p>
    <w:p w14:paraId="296B2AE6" w14:textId="77777777" w:rsidR="00290FC4" w:rsidRPr="00413FEB" w:rsidRDefault="00290FC4" w:rsidP="00941CB8">
      <w:pPr>
        <w:pStyle w:val="Heading2"/>
        <w:numPr>
          <w:ilvl w:val="0"/>
          <w:numId w:val="9"/>
        </w:numPr>
        <w:spacing w:before="120" w:after="120" w:line="288" w:lineRule="auto"/>
      </w:pPr>
      <w:r w:rsidRPr="00413FEB">
        <w:t>Basel I</w:t>
      </w:r>
    </w:p>
    <w:p w14:paraId="0F598529" w14:textId="77777777" w:rsidR="00290FC4" w:rsidRPr="00A14225" w:rsidRDefault="00290FC4" w:rsidP="00941CB8">
      <w:pPr>
        <w:spacing w:before="120" w:after="120" w:line="288" w:lineRule="auto"/>
      </w:pPr>
      <w:r w:rsidRPr="00A14225">
        <w:t xml:space="preserve">The highly unrestricted business expansion and the debacle of Latin American debt crisis in the early 1980’s highlighted the necessity of building up a multinational accord to provide a ‘level playing field’ </w:t>
      </w:r>
      <w:r>
        <w:t xml:space="preserve">(Bank of England, 2001) </w:t>
      </w:r>
      <w:r w:rsidRPr="00A14225">
        <w:t xml:space="preserve">for internationally active banks as well as to prevent bank capital adequacy condition deterioration. Endorsed and approved by the G10 Governors, the Basel Capital Accord, also known as the </w:t>
      </w:r>
      <w:proofErr w:type="gramStart"/>
      <w:r w:rsidRPr="00A14225">
        <w:t>Basel</w:t>
      </w:r>
      <w:proofErr w:type="gramEnd"/>
      <w:r w:rsidRPr="00A14225">
        <w:t xml:space="preserve"> I, was released in 1988. </w:t>
      </w:r>
    </w:p>
    <w:p w14:paraId="785633EF" w14:textId="690108CD" w:rsidR="00290FC4" w:rsidRPr="00A14225" w:rsidRDefault="00290FC4" w:rsidP="00941CB8">
      <w:pPr>
        <w:spacing w:before="120" w:after="120" w:line="288" w:lineRule="auto"/>
      </w:pPr>
      <w:r w:rsidRPr="00A14225">
        <w:t xml:space="preserve">The 1988 Basel Accord was ‘a major milestone in the history of bank regulation.’ </w:t>
      </w:r>
      <w:r>
        <w:t xml:space="preserve">(Bank of England, 2001) </w:t>
      </w:r>
      <w:r w:rsidRPr="00A14225">
        <w:t xml:space="preserve">The Basel I set the minimum capital standards for internationally active banks, using the approach that </w:t>
      </w:r>
      <w:r w:rsidR="006C73DB" w:rsidRPr="00A14225">
        <w:t>incorporates</w:t>
      </w:r>
      <w:r w:rsidRPr="00A14225">
        <w:t xml:space="preserve"> risk into the calculation of capital requirements. The minimum capital requirement</w:t>
      </w:r>
      <w:r>
        <w:t xml:space="preserve"> </w:t>
      </w:r>
      <w:r>
        <w:rPr>
          <w:rFonts w:hint="eastAsia"/>
        </w:rPr>
        <w:t>in</w:t>
      </w:r>
      <w:r>
        <w:t xml:space="preserve"> Basel I, which has</w:t>
      </w:r>
      <w:r w:rsidRPr="00A14225">
        <w:t xml:space="preserve"> been evolved and kept as the core value of the Basel Accords</w:t>
      </w:r>
      <w:r>
        <w:t>, was that banks hold a capital equal to 8% of Risk-Weighted Assets (RWA)</w:t>
      </w:r>
      <w:r w:rsidRPr="00A14225">
        <w:t xml:space="preserve">. </w:t>
      </w:r>
      <w:proofErr w:type="gramStart"/>
      <w:r w:rsidR="006C73DB">
        <w:t xml:space="preserve">The </w:t>
      </w:r>
      <w:r w:rsidR="006C73DB" w:rsidRPr="00A14225">
        <w:t>Basel</w:t>
      </w:r>
      <w:r w:rsidRPr="00A14225">
        <w:t xml:space="preserve"> </w:t>
      </w:r>
      <w:r w:rsidR="006C73DB">
        <w:t>I</w:t>
      </w:r>
      <w:proofErr w:type="gramEnd"/>
      <w:r w:rsidR="006C73DB">
        <w:t xml:space="preserve"> </w:t>
      </w:r>
      <w:r w:rsidRPr="00A14225">
        <w:t>addressed to credit risk</w:t>
      </w:r>
      <w:r>
        <w:t xml:space="preserve"> only</w:t>
      </w:r>
      <w:r w:rsidRPr="00A14225">
        <w:t xml:space="preserve">. </w:t>
      </w:r>
    </w:p>
    <w:p w14:paraId="1E1340F3" w14:textId="77777777" w:rsidR="00290FC4" w:rsidRDefault="00290FC4" w:rsidP="00941CB8">
      <w:pPr>
        <w:spacing w:before="120" w:after="120" w:line="288" w:lineRule="auto"/>
      </w:pPr>
      <w:r w:rsidRPr="00A14225">
        <w:t xml:space="preserve">In 1996, the Basel Committee </w:t>
      </w:r>
      <w:r>
        <w:t>issued the Amendment to the Capital Accord to incorporate market risk. This Market Risk Amendment was designed to regulate the banks’ trading-book activities which induced the rapid accumulation of risk exposure. In the 1996 Amendment, the internal models using the Value at Risk (</w:t>
      </w:r>
      <w:proofErr w:type="spellStart"/>
      <w:r>
        <w:t>VaR</w:t>
      </w:r>
      <w:proofErr w:type="spellEnd"/>
      <w:r>
        <w:t xml:space="preserve">) methodology were allowed to measure the capital charges for the first time. The 1996 Amendment also set up a category of capital (Tier 3 capital) for mitigating </w:t>
      </w:r>
      <w:proofErr w:type="gramStart"/>
      <w:r>
        <w:t>only for the</w:t>
      </w:r>
      <w:proofErr w:type="gramEnd"/>
      <w:r>
        <w:t xml:space="preserve"> market risk. </w:t>
      </w:r>
    </w:p>
    <w:p w14:paraId="63AF7E1F" w14:textId="77777777" w:rsidR="00290FC4" w:rsidRPr="00413FEB" w:rsidRDefault="00290FC4" w:rsidP="00941CB8">
      <w:pPr>
        <w:pStyle w:val="Heading2"/>
        <w:numPr>
          <w:ilvl w:val="0"/>
          <w:numId w:val="10"/>
        </w:numPr>
        <w:spacing w:before="120" w:after="120" w:line="288" w:lineRule="auto"/>
      </w:pPr>
      <w:r w:rsidRPr="00413FEB">
        <w:t>Basel II</w:t>
      </w:r>
    </w:p>
    <w:p w14:paraId="5E864EEA" w14:textId="77D8C208" w:rsidR="00290FC4" w:rsidRDefault="00290FC4" w:rsidP="00941CB8">
      <w:pPr>
        <w:spacing w:before="120" w:after="120" w:line="288" w:lineRule="auto"/>
      </w:pPr>
      <w:r>
        <w:t xml:space="preserve">The Basel I had been seen to lead the rebuilding of banks’ capital adequacy standards. However, over time the Basel I </w:t>
      </w:r>
      <w:r w:rsidR="006C73DB">
        <w:t>received</w:t>
      </w:r>
      <w:r>
        <w:t xml:space="preserve"> more and more criticism due to its significant weaknesses. </w:t>
      </w:r>
      <w:proofErr w:type="gramStart"/>
      <w:r>
        <w:t>The Basel</w:t>
      </w:r>
      <w:proofErr w:type="gramEnd"/>
      <w:r>
        <w:t xml:space="preserve"> I was criticized that it only differentiates credit risk based on the types of loans instead of the actual risk of the counterparties (Bank of England, 2001); and that it ignores other types of risks. The 1996 Amendment also was accused that banks used the Internal Model Approach (IMA) to perform the regulatory capital arbitrage which might have been part of momentum of securitization boom at the end of 1990’s. (Bank of England, 2001)</w:t>
      </w:r>
    </w:p>
    <w:p w14:paraId="618E572C" w14:textId="77777777" w:rsidR="00290FC4" w:rsidRDefault="00290FC4" w:rsidP="00941CB8">
      <w:pPr>
        <w:spacing w:before="120" w:after="120" w:line="288" w:lineRule="auto"/>
      </w:pPr>
      <w:r>
        <w:t xml:space="preserve">In 2006, the Basel Committee issued a comprehensive version of ‘International Convergence of Capital Measurement and Capital Standards: A Revised Framework’. The documentation is usually called ‘the Basel II’. It is also called ‘the new accord’. (Bank of England, 2001) Several key features about the Basel II might be worth to notify:  </w:t>
      </w:r>
    </w:p>
    <w:p w14:paraId="2CB32FF7" w14:textId="7709EEE7" w:rsidR="00290FC4" w:rsidRDefault="00290FC4" w:rsidP="00941CB8">
      <w:pPr>
        <w:spacing w:before="120" w:after="120" w:line="288" w:lineRule="auto"/>
      </w:pPr>
      <w:r>
        <w:t xml:space="preserve">First, the capital accords which </w:t>
      </w:r>
      <w:r w:rsidR="002279B6">
        <w:t>were</w:t>
      </w:r>
      <w:r>
        <w:t xml:space="preserve"> built up by 1988 Basel Accord and the 1996 Amendment has been developed to a framework which aims at the stability and soundness of international banking system. This revised framework is comprised of three pillars – Pillar 1: Minimum Capital Requirements, Pillar 2: Supervisory Review, and Pillar 3: Market Discipline. The three-pillar approach has become the cornerstone of the Basel Accords including </w:t>
      </w:r>
      <w:proofErr w:type="gramStart"/>
      <w:r>
        <w:t>the Basel</w:t>
      </w:r>
      <w:proofErr w:type="gramEnd"/>
      <w:r>
        <w:t xml:space="preserve"> II and the sequent accords. </w:t>
      </w:r>
    </w:p>
    <w:p w14:paraId="7143EFAB" w14:textId="77777777" w:rsidR="00290FC4" w:rsidRDefault="00290FC4" w:rsidP="00941CB8">
      <w:pPr>
        <w:spacing w:before="120" w:after="120" w:line="288" w:lineRule="auto"/>
      </w:pPr>
      <w:r>
        <w:t xml:space="preserve">Second, the Basel Committee stressed that the revised Framework was designed to establish minimum capital requirements for ‘internationally active </w:t>
      </w:r>
      <w:proofErr w:type="gramStart"/>
      <w:r>
        <w:t>banks’</w:t>
      </w:r>
      <w:proofErr w:type="gramEnd"/>
      <w:r>
        <w:t xml:space="preserve">. The Basel Committee encouraged national supervisory authorities to use their discretion to set supplementary requirements for other banking institutions they chartered. </w:t>
      </w:r>
    </w:p>
    <w:p w14:paraId="564E6443" w14:textId="77777777" w:rsidR="00290FC4" w:rsidRDefault="00290FC4" w:rsidP="00941CB8">
      <w:pPr>
        <w:spacing w:before="120" w:after="120" w:line="288" w:lineRule="auto"/>
      </w:pPr>
      <w:r>
        <w:t xml:space="preserve">Third, </w:t>
      </w:r>
      <w:proofErr w:type="gramStart"/>
      <w:r>
        <w:t>the Basel</w:t>
      </w:r>
      <w:proofErr w:type="gramEnd"/>
      <w:r>
        <w:t xml:space="preserve"> II was deemed to be more risk sensitive than previous accords, which was addressed to the risk insensitivity of the 1988 Accord. Under the revised Framework, banks were allowed to use their own models to quantify and manage credit risk in the calculation of minimum capital requirements. This approach is called Internal Rating-Based (IRB) Approach which is </w:t>
      </w:r>
      <w:proofErr w:type="gramStart"/>
      <w:r>
        <w:t>definitely a</w:t>
      </w:r>
      <w:proofErr w:type="gramEnd"/>
      <w:r>
        <w:t xml:space="preserve"> conceptual leap in regulatory capital adequacy determination. </w:t>
      </w:r>
    </w:p>
    <w:p w14:paraId="186942F9" w14:textId="77777777" w:rsidR="00290FC4" w:rsidRDefault="00290FC4" w:rsidP="00941CB8">
      <w:pPr>
        <w:spacing w:before="120" w:after="120" w:line="288" w:lineRule="auto"/>
      </w:pPr>
      <w:r>
        <w:t xml:space="preserve">The operational risk capital charge was also introduced into the Basel II Framework. The key elements of the least capital requirements (8%) of the 1988 Basel capital framework and the treatments of capital charge of market risk of 1996 Amendment were retained in this revised Framework. </w:t>
      </w:r>
    </w:p>
    <w:p w14:paraId="193AFBC3" w14:textId="77777777" w:rsidR="00290FC4" w:rsidRPr="00413FEB" w:rsidRDefault="00290FC4" w:rsidP="00941CB8">
      <w:pPr>
        <w:pStyle w:val="Heading2"/>
        <w:numPr>
          <w:ilvl w:val="0"/>
          <w:numId w:val="11"/>
        </w:numPr>
        <w:spacing w:before="120" w:after="120" w:line="288" w:lineRule="auto"/>
      </w:pPr>
      <w:r w:rsidRPr="00413FEB">
        <w:t>Basel II.5</w:t>
      </w:r>
    </w:p>
    <w:p w14:paraId="06D92F40" w14:textId="1CDCE042" w:rsidR="00290FC4" w:rsidRDefault="00290FC4" w:rsidP="00941CB8">
      <w:pPr>
        <w:spacing w:before="120" w:after="120" w:line="288" w:lineRule="auto"/>
      </w:pPr>
      <w:r>
        <w:t xml:space="preserve">It might be a misfortune for </w:t>
      </w:r>
      <w:r w:rsidR="002807CD">
        <w:t>Basel</w:t>
      </w:r>
      <w:r>
        <w:t xml:space="preserve"> II that its implementation date had hit the 2007-2009 financial crisis. </w:t>
      </w:r>
      <w:r w:rsidR="002807CD">
        <w:t>Basel</w:t>
      </w:r>
      <w:r>
        <w:t xml:space="preserve"> II had even been blamed for the crisis because it allowed banks to use internal risk assessments as inputs in the calculation of capital adequacy ratios. </w:t>
      </w:r>
    </w:p>
    <w:p w14:paraId="54F661B2" w14:textId="2A3ACFC7" w:rsidR="00290FC4" w:rsidRDefault="00290FC4" w:rsidP="00941CB8">
      <w:pPr>
        <w:spacing w:before="120" w:after="120" w:line="288" w:lineRule="auto"/>
      </w:pPr>
      <w:r>
        <w:t>I</w:t>
      </w:r>
      <w:r>
        <w:rPr>
          <w:rFonts w:hint="eastAsia"/>
        </w:rPr>
        <w:t>n</w:t>
      </w:r>
      <w:r>
        <w:t xml:space="preserve"> February 2011, the Basel Committee released a formal document ‘Revisions to the Basel II Market Risk Framework’ which was a series updates of changes to the Basel II Framework in terms of market risk. This documentation is often called </w:t>
      </w:r>
      <w:r w:rsidR="002807CD">
        <w:t>Basel</w:t>
      </w:r>
      <w:r>
        <w:t xml:space="preserve"> II.5.</w:t>
      </w:r>
    </w:p>
    <w:p w14:paraId="0B0ED364" w14:textId="77777777" w:rsidR="00290FC4" w:rsidRDefault="00290FC4" w:rsidP="00941CB8">
      <w:pPr>
        <w:spacing w:before="120" w:after="120" w:line="288" w:lineRule="auto"/>
      </w:pPr>
      <w:r>
        <w:t xml:space="preserve">Under the Basel II.5 Framework, the Basel Committee made several changes about market risk capital charge to the 1996 Amendment. </w:t>
      </w:r>
    </w:p>
    <w:p w14:paraId="52D0621E" w14:textId="77777777" w:rsidR="00290FC4" w:rsidRDefault="00290FC4" w:rsidP="00941CB8">
      <w:pPr>
        <w:spacing w:before="120" w:after="120" w:line="288" w:lineRule="auto"/>
      </w:pPr>
      <w:r>
        <w:t xml:space="preserve">First, the Basel Committee introduced the stressed </w:t>
      </w:r>
      <w:proofErr w:type="spellStart"/>
      <w:r>
        <w:t>VaR</w:t>
      </w:r>
      <w:proofErr w:type="spellEnd"/>
      <w:r>
        <w:t xml:space="preserve"> measure into market risk capital charge calculation. Stressed </w:t>
      </w:r>
      <w:proofErr w:type="spellStart"/>
      <w:r>
        <w:t>VaR</w:t>
      </w:r>
      <w:proofErr w:type="spellEnd"/>
      <w:r>
        <w:t xml:space="preserve"> is calculated where the volatility of market variables is high, in other words, during a period of stressed market condition. As a result, two </w:t>
      </w:r>
      <w:proofErr w:type="spellStart"/>
      <w:r>
        <w:t>VaR</w:t>
      </w:r>
      <w:proofErr w:type="spellEnd"/>
      <w:r>
        <w:t xml:space="preserve"> were required in the calculation of market risk capital charge under the Basel II.5 Framework, one is usual </w:t>
      </w:r>
      <w:proofErr w:type="spellStart"/>
      <w:r>
        <w:t>VaR</w:t>
      </w:r>
      <w:proofErr w:type="spellEnd"/>
      <w:r>
        <w:t xml:space="preserve">, the other is Stressed </w:t>
      </w:r>
      <w:proofErr w:type="spellStart"/>
      <w:r>
        <w:t>VaR.</w:t>
      </w:r>
      <w:proofErr w:type="spellEnd"/>
      <w:r>
        <w:t xml:space="preserve"> </w:t>
      </w:r>
    </w:p>
    <w:p w14:paraId="1F50FAFB" w14:textId="77777777" w:rsidR="00290FC4" w:rsidRDefault="00290FC4" w:rsidP="00941CB8">
      <w:pPr>
        <w:spacing w:before="120" w:after="120" w:line="288" w:lineRule="auto"/>
      </w:pPr>
      <w:r>
        <w:t xml:space="preserve">Second, for banks that were allowed to use their internal models to assess market risk, the Basel Committee required an Incremental Risk Charge alongside the general market risk capital charge (and a Specific Risk Charge).   The Incremental Risk Charge was used to capture both default risk and migration risk of certain securitization exposures </w:t>
      </w:r>
      <w:proofErr w:type="gramStart"/>
      <w:r>
        <w:t>due to the fact that</w:t>
      </w:r>
      <w:proofErr w:type="gramEnd"/>
      <w:r>
        <w:t xml:space="preserve"> most losses during the 2007-2009 financial crisis were from the slump of credit rating. </w:t>
      </w:r>
    </w:p>
    <w:p w14:paraId="00B9401C" w14:textId="77777777" w:rsidR="00290FC4" w:rsidRDefault="00290FC4" w:rsidP="00941CB8">
      <w:pPr>
        <w:spacing w:before="120" w:after="120" w:line="288" w:lineRule="auto"/>
      </w:pPr>
      <w:r>
        <w:t>Third, the Comprehensive Risk Measure (CRM) also had been introduced by the Basel Committee to measure the risk of trenched securitized products such as Asset-Backed Securities (ABSs) and Collateralized Debt Obligations (CDOs). Yet the Basel Committee ‘had not agreed that currently existing methodologies used by banks adequately capture incremental risks of all securitized products.’ (BCBS, 2011)</w:t>
      </w:r>
    </w:p>
    <w:p w14:paraId="5DDD2C3D" w14:textId="77777777" w:rsidR="00290FC4" w:rsidRPr="00413FEB" w:rsidRDefault="00290FC4" w:rsidP="00941CB8">
      <w:pPr>
        <w:pStyle w:val="Heading2"/>
        <w:numPr>
          <w:ilvl w:val="0"/>
          <w:numId w:val="12"/>
        </w:numPr>
        <w:spacing w:before="120" w:after="120" w:line="288" w:lineRule="auto"/>
      </w:pPr>
      <w:r w:rsidRPr="00413FEB">
        <w:t>Basel III</w:t>
      </w:r>
    </w:p>
    <w:p w14:paraId="08F7179A" w14:textId="77777777" w:rsidR="00290FC4" w:rsidRDefault="00290FC4" w:rsidP="00941CB8">
      <w:pPr>
        <w:spacing w:before="120" w:after="120" w:line="288" w:lineRule="auto"/>
      </w:pPr>
      <w:r>
        <w:t xml:space="preserve">The 2007-2009 financial crisis had revealed the weaknesses of the existing Basel II Framework. After the crisis, the Basel Committee realized that an overhaul of the existing regulation architecture was necessary. Since the end of 2010, the Basel Committee started a set of phase-in arrangements to review and revise the Basel II Framework. </w:t>
      </w:r>
    </w:p>
    <w:p w14:paraId="0A511C0E" w14:textId="77777777" w:rsidR="00290FC4" w:rsidRDefault="00290FC4" w:rsidP="00941CB8">
      <w:pPr>
        <w:spacing w:before="120" w:after="120" w:line="288" w:lineRule="auto"/>
      </w:pPr>
      <w:r>
        <w:t>I</w:t>
      </w:r>
      <w:r>
        <w:rPr>
          <w:rFonts w:hint="eastAsia"/>
        </w:rPr>
        <w:t>n</w:t>
      </w:r>
      <w:r>
        <w:t xml:space="preserve"> December 2017, the Basel Committee released the document ‘Basel III: </w:t>
      </w:r>
      <w:proofErr w:type="spellStart"/>
      <w:r>
        <w:t>Finalising</w:t>
      </w:r>
      <w:proofErr w:type="spellEnd"/>
      <w:r>
        <w:t xml:space="preserve"> post-crisis reforms’ summarizing the main features of the changed Basel Framework. In 2019, the Basel Committee issued ‘</w:t>
      </w:r>
      <w:r>
        <w:rPr>
          <w:rFonts w:hint="eastAsia"/>
        </w:rPr>
        <w:t>Fu</w:t>
      </w:r>
      <w:r>
        <w:t xml:space="preserve">ll Version of the Basel Framework’, a document which includes regulation versions effective as of January 1, 2019. Most regulations are now still under the transition arrangements and will have further changes. </w:t>
      </w:r>
    </w:p>
    <w:p w14:paraId="64AE05E6" w14:textId="6AAACD6F" w:rsidR="00290FC4" w:rsidRDefault="002807CD" w:rsidP="00941CB8">
      <w:pPr>
        <w:spacing w:before="120" w:after="120" w:line="288" w:lineRule="auto"/>
      </w:pPr>
      <w:r>
        <w:t>Basel</w:t>
      </w:r>
      <w:r w:rsidR="00290FC4">
        <w:t xml:space="preserve"> III is usually called ‘Reforms’. The Basel Committee aims to build up resilience </w:t>
      </w:r>
      <w:r>
        <w:t>in the banking</w:t>
      </w:r>
      <w:r w:rsidR="00290FC4">
        <w:t xml:space="preserve"> sector and avoid </w:t>
      </w:r>
      <w:proofErr w:type="gramStart"/>
      <w:r w:rsidR="00290FC4">
        <w:t>the systemic</w:t>
      </w:r>
      <w:proofErr w:type="gramEnd"/>
      <w:r w:rsidR="00290FC4">
        <w:t xml:space="preserve"> vulnerabilities through the regulatory reforms. According to the 2017 document ‘Basel III: </w:t>
      </w:r>
      <w:proofErr w:type="spellStart"/>
      <w:r w:rsidR="00290FC4">
        <w:t>Finalising</w:t>
      </w:r>
      <w:proofErr w:type="spellEnd"/>
      <w:r w:rsidR="00290FC4">
        <w:t xml:space="preserve"> post-crisis reforms’, the main features of the Basel III Framework, addressing the aspects of quality of total capital, risk sensitivity, and liquidity requirements, can be detailed as follows:</w:t>
      </w:r>
    </w:p>
    <w:p w14:paraId="032526F8" w14:textId="77777777" w:rsidR="00290FC4" w:rsidRPr="00413FEB" w:rsidRDefault="00290FC4" w:rsidP="00941CB8">
      <w:pPr>
        <w:pStyle w:val="Heading4"/>
        <w:numPr>
          <w:ilvl w:val="0"/>
          <w:numId w:val="13"/>
        </w:numPr>
        <w:spacing w:before="120" w:after="120" w:line="288" w:lineRule="auto"/>
      </w:pPr>
      <w:r w:rsidRPr="00413FEB">
        <w:t>The quality of the regulatory capital</w:t>
      </w:r>
    </w:p>
    <w:p w14:paraId="4354A679" w14:textId="77777777" w:rsidR="00290FC4" w:rsidRDefault="00290FC4" w:rsidP="00941CB8">
      <w:pPr>
        <w:spacing w:before="120" w:after="120" w:line="288" w:lineRule="auto"/>
      </w:pPr>
      <w:r>
        <w:t xml:space="preserve">The Basel Committee requires banks to maintain </w:t>
      </w:r>
      <w:proofErr w:type="gramStart"/>
      <w:r>
        <w:t>higher</w:t>
      </w:r>
      <w:proofErr w:type="gramEnd"/>
      <w:r>
        <w:t xml:space="preserve"> quality of capital to absorb the unexpected losses. The Tier 1 Capital (mainly comprised of common equity) requirement has risen from 4% to 6% of Risk-Weighted Assets at the minimum.</w:t>
      </w:r>
    </w:p>
    <w:p w14:paraId="21835A82" w14:textId="77777777" w:rsidR="00290FC4" w:rsidRDefault="00290FC4" w:rsidP="00941CB8">
      <w:pPr>
        <w:spacing w:before="120" w:after="120" w:line="288" w:lineRule="auto"/>
      </w:pPr>
      <w:r>
        <w:t xml:space="preserve">In additional to the risen Tier 1 capital requirement, the Basel Committee introduced a Capital Conservation Buffer requirement which comprises 2.5% of common equity to ensure that banks build up capital during normal times and have the capability to absorb losses during the difficult times. As a result of the Capital Conservation Buffer (CCB), the total common equity capital requirement has been brought up to 7%. </w:t>
      </w:r>
    </w:p>
    <w:p w14:paraId="473402F2" w14:textId="64F054ED" w:rsidR="00290FC4" w:rsidRDefault="00290FC4" w:rsidP="00941CB8">
      <w:pPr>
        <w:spacing w:before="120" w:after="120" w:line="288" w:lineRule="auto"/>
      </w:pPr>
      <w:r>
        <w:t xml:space="preserve">A Countercyclical Buffer has also been introduced by the Basel Committee for the similar aim of limiting pro-cyclicality. This buffer can be set to between 0%-2.5% </w:t>
      </w:r>
      <w:r w:rsidR="002807CD">
        <w:t>at</w:t>
      </w:r>
      <w:r>
        <w:t xml:space="preserve"> the discretion of national supervisory authorities in its implementation.  </w:t>
      </w:r>
    </w:p>
    <w:p w14:paraId="3161CFF6" w14:textId="77777777" w:rsidR="00290FC4" w:rsidRDefault="00290FC4" w:rsidP="00941CB8">
      <w:pPr>
        <w:spacing w:before="120" w:after="120" w:line="288" w:lineRule="auto"/>
      </w:pPr>
      <w:r>
        <w:t xml:space="preserve">For those internationally ‘Too Big to Fail’ banks which caused financial market turmoil during the 2007-2009 crisis, the Basel Committee defines them as ‘Global Systemically Important Banks (G-SIBs)’ and requires 1%-3.5% extra Tier 1 equity capital charge to reflect the greater risk that those banks pose in the global financial system. </w:t>
      </w:r>
    </w:p>
    <w:p w14:paraId="1073E63D" w14:textId="77777777" w:rsidR="00290FC4" w:rsidRPr="00413FEB" w:rsidRDefault="00290FC4" w:rsidP="00941CB8">
      <w:pPr>
        <w:pStyle w:val="Heading4"/>
        <w:numPr>
          <w:ilvl w:val="0"/>
          <w:numId w:val="13"/>
        </w:numPr>
        <w:spacing w:before="120" w:after="120" w:line="288" w:lineRule="auto"/>
      </w:pPr>
      <w:r w:rsidRPr="00413FEB">
        <w:t>Risk sensitivity</w:t>
      </w:r>
    </w:p>
    <w:p w14:paraId="49546BC8" w14:textId="77777777" w:rsidR="00290FC4" w:rsidRDefault="00290FC4" w:rsidP="00941CB8">
      <w:pPr>
        <w:spacing w:before="120" w:after="120" w:line="288" w:lineRule="auto"/>
      </w:pPr>
      <w:r>
        <w:t xml:space="preserve">The regulatory capital is the cornerstone of the Basel Framework. As an integrate part of Risk-based regulatory capital ratio, the Risk-Weighted Assets (RWAs) have attracted most attention in Basel III Reforms to reflect greater risk sensitivity and reduce the variability between RWAs calculated by banks. </w:t>
      </w:r>
    </w:p>
    <w:p w14:paraId="46B7A548" w14:textId="77777777" w:rsidR="00290FC4" w:rsidRDefault="00290FC4" w:rsidP="00941CB8">
      <w:pPr>
        <w:spacing w:before="120" w:after="120" w:line="288" w:lineRule="auto"/>
      </w:pPr>
      <w:r>
        <w:t xml:space="preserve">The Standardized Approaches for calculating the credit risk, market risk and operational risk have been revised. And the internal models used by banks to calculate the RWAs subject to credit risk have been put on strains to eliminate the possibility of regulatory arbitrage; those internal model approaches used to calculate the RWAs of operational risk have been removed from the Basel III Reforms. </w:t>
      </w:r>
    </w:p>
    <w:p w14:paraId="0E4C9BE4" w14:textId="2E652028" w:rsidR="00290FC4" w:rsidRDefault="00290FC4" w:rsidP="00941CB8">
      <w:pPr>
        <w:spacing w:before="120" w:after="120" w:line="288" w:lineRule="auto"/>
      </w:pPr>
      <w:r>
        <w:t>The requirement of taking account of the counterparty risk was introduced into the framework in 2010 and was revised in 2017 reforms. The Credit Value Adjustment (CVA)</w:t>
      </w:r>
      <w:r w:rsidR="002807CD">
        <w:t>, which</w:t>
      </w:r>
      <w:r>
        <w:t xml:space="preserve"> is the expected loss due to the possibility of default of a counterparty has been required and become more stringent to strengthen the resilience of financial system. </w:t>
      </w:r>
    </w:p>
    <w:p w14:paraId="2C05406A" w14:textId="77777777" w:rsidR="00290FC4" w:rsidRDefault="00290FC4" w:rsidP="00941CB8">
      <w:pPr>
        <w:spacing w:before="120" w:after="120" w:line="288" w:lineRule="auto"/>
      </w:pPr>
      <w:r>
        <w:t xml:space="preserve">In addition to the Risk-based regulatory capital ratio, a non-risk-based Leverage Ratio has been introduced into the Basel III Reforms to constrain banks’ leverage. Global Systemically Important Banks (G-SIBs) are subject to higher Leverage Ratio standards on the ground that they should maintain higher loss absorbing capacity. </w:t>
      </w:r>
    </w:p>
    <w:p w14:paraId="6084DA07" w14:textId="77777777" w:rsidR="00290FC4" w:rsidRPr="00413FEB" w:rsidRDefault="00290FC4" w:rsidP="00941CB8">
      <w:pPr>
        <w:pStyle w:val="Heading4"/>
        <w:numPr>
          <w:ilvl w:val="0"/>
          <w:numId w:val="13"/>
        </w:numPr>
        <w:spacing w:before="120" w:after="120" w:line="288" w:lineRule="auto"/>
      </w:pPr>
      <w:r w:rsidRPr="00413FEB">
        <w:t>Improvement of liquidity</w:t>
      </w:r>
    </w:p>
    <w:p w14:paraId="63AD2F3C" w14:textId="152C6BA3" w:rsidR="00290FC4" w:rsidRDefault="00290FC4" w:rsidP="00941CB8">
      <w:pPr>
        <w:spacing w:before="120" w:after="120" w:line="288" w:lineRule="auto"/>
      </w:pPr>
      <w:r>
        <w:t xml:space="preserve">The 2007-2009 financial crisis proved that it is not enough to focus on sufficient capital holding by banks. It turned out that many collapses of big institutions during the crisis were induced by severe liquidity risk. The Basel Committee introduced two Liquidity Ratios into the Basel III Reforms to ensure that banks can survive liquidity pressure. The Liquidity Coverage Ratio (LCR) focuses on banks’ ability to withstand a 30-day liquidity stress. The Net Stable Funding Ratio (NSFR) focuses on </w:t>
      </w:r>
      <w:proofErr w:type="gramStart"/>
      <w:r>
        <w:t>a longer</w:t>
      </w:r>
      <w:proofErr w:type="gramEnd"/>
      <w:r>
        <w:t xml:space="preserve"> term (over 1 year) liquidity management and to encourage banks to use </w:t>
      </w:r>
      <w:r w:rsidR="00F83F91">
        <w:t>a stable</w:t>
      </w:r>
      <w:r>
        <w:t xml:space="preserve"> source of funding. </w:t>
      </w:r>
    </w:p>
    <w:p w14:paraId="05F9F1D5" w14:textId="77777777" w:rsidR="00290FC4" w:rsidRPr="00941CB8" w:rsidRDefault="00290FC4" w:rsidP="00941CB8">
      <w:pPr>
        <w:pStyle w:val="Heading1"/>
        <w:numPr>
          <w:ilvl w:val="0"/>
          <w:numId w:val="7"/>
        </w:numPr>
        <w:spacing w:before="120" w:after="120" w:line="288" w:lineRule="auto"/>
        <w:rPr>
          <w:sz w:val="28"/>
          <w:szCs w:val="28"/>
        </w:rPr>
      </w:pPr>
      <w:r w:rsidRPr="00941CB8">
        <w:rPr>
          <w:sz w:val="28"/>
          <w:szCs w:val="28"/>
        </w:rPr>
        <w:t>The evolving framework</w:t>
      </w:r>
    </w:p>
    <w:p w14:paraId="60BF3478" w14:textId="77777777" w:rsidR="00290FC4" w:rsidRDefault="00290FC4" w:rsidP="00941CB8">
      <w:pPr>
        <w:spacing w:before="120" w:after="120" w:line="288" w:lineRule="auto"/>
      </w:pPr>
      <w:r>
        <w:t xml:space="preserve">Basel Accords are a prudential regulation framework which is closely tied to global economic developments. By going through the brief history of Basel Accords, we can find that almost every aspect in the Basel Framework has been changed and the Framework has evolved into a more advanced place. The Basel Framework is still evolving. </w:t>
      </w:r>
    </w:p>
    <w:p w14:paraId="224CD35C" w14:textId="77777777" w:rsidR="00290FC4" w:rsidRDefault="00290FC4" w:rsidP="00941CB8">
      <w:pPr>
        <w:spacing w:before="120" w:after="120" w:line="288" w:lineRule="auto"/>
      </w:pPr>
      <w:r>
        <w:t xml:space="preserve">In this section, changes in Basel Accords will be categorized and presented according to their features and aims, </w:t>
      </w:r>
      <w:proofErr w:type="gramStart"/>
      <w:r>
        <w:t>in order to</w:t>
      </w:r>
      <w:proofErr w:type="gramEnd"/>
      <w:r>
        <w:t xml:space="preserve"> reveal the trajectory of the development of the Basel Framework. </w:t>
      </w:r>
    </w:p>
    <w:p w14:paraId="78553C3F" w14:textId="77777777" w:rsidR="00290FC4" w:rsidRPr="00413FEB" w:rsidRDefault="00290FC4" w:rsidP="00941CB8">
      <w:pPr>
        <w:pStyle w:val="Heading4"/>
        <w:numPr>
          <w:ilvl w:val="0"/>
          <w:numId w:val="14"/>
        </w:numPr>
        <w:spacing w:before="120" w:after="120" w:line="288" w:lineRule="auto"/>
      </w:pPr>
      <w:r w:rsidRPr="00413FEB">
        <w:t>The regulatory capital requirements</w:t>
      </w:r>
    </w:p>
    <w:p w14:paraId="78F53631" w14:textId="0E2CD23C" w:rsidR="00290FC4" w:rsidRDefault="00290FC4" w:rsidP="00941CB8">
      <w:pPr>
        <w:spacing w:before="120" w:after="120" w:line="288" w:lineRule="auto"/>
      </w:pPr>
      <w:r>
        <w:t xml:space="preserve">The regulatory capital requirements can be considered as the soul of the Basel Framework. The 1988 Basel Accord set international risk-based standards for capital adequacy for the first time. The capital adequacy was measured by the ratio of the total regulatory capital to the Risk-Weighted Assets (RWAs), which should be at least 8%. This ratio is known as ‘the Cooke Ratio’ which was named after Peter Cooke, the Chairman of the Basel Committee at that time. In the following years, the spirit of supervision </w:t>
      </w:r>
      <w:r w:rsidR="00F83F91">
        <w:t>of the financial</w:t>
      </w:r>
      <w:r>
        <w:t xml:space="preserve"> system through risk-based capital requirements has never changed and </w:t>
      </w:r>
      <w:proofErr w:type="gramStart"/>
      <w:r>
        <w:t>been</w:t>
      </w:r>
      <w:proofErr w:type="gramEnd"/>
      <w:r>
        <w:t xml:space="preserve"> defended by constant progress. </w:t>
      </w:r>
    </w:p>
    <w:p w14:paraId="722CF8FF" w14:textId="1E00A0C6" w:rsidR="00290FC4" w:rsidRDefault="00290FC4" w:rsidP="00941CB8">
      <w:pPr>
        <w:spacing w:before="120" w:after="120" w:line="288" w:lineRule="auto"/>
      </w:pPr>
      <w:r>
        <w:t>I</w:t>
      </w:r>
      <w:r>
        <w:rPr>
          <w:rFonts w:hint="eastAsia"/>
        </w:rPr>
        <w:t>n</w:t>
      </w:r>
      <w:r>
        <w:t xml:space="preserve"> </w:t>
      </w:r>
      <w:r w:rsidR="00F83F91">
        <w:t>Basel</w:t>
      </w:r>
      <w:r>
        <w:t xml:space="preserve"> I, the regulatory capital had two constituents: Tier 1 capital and Tier 2 capital. </w:t>
      </w:r>
      <w:r>
        <w:rPr>
          <w:rFonts w:hint="eastAsia"/>
        </w:rPr>
        <w:t>Ti</w:t>
      </w:r>
      <w:r>
        <w:t xml:space="preserve">er 1 capital is the core capital which is mainly comprised of the common equity of a bank. Tier 2 capital is the supplemental capital, including reserves and hybrid instruments and other elements. Goodwill has been deducted from Tier 1 capital. The Basel Committee also required that Tier 1 capital should be at least 50% of the total capital, which equals to 4% of the RWAs. </w:t>
      </w:r>
    </w:p>
    <w:p w14:paraId="425950F0" w14:textId="77777777" w:rsidR="00290FC4" w:rsidRDefault="00290FC4" w:rsidP="00941CB8">
      <w:pPr>
        <w:spacing w:before="120" w:after="120" w:line="288" w:lineRule="auto"/>
      </w:pPr>
      <w:r>
        <w:t xml:space="preserve">In the 1996 Amendment, some short-term subordinated debt was added into the regulatory capital as ‘Tier 3 capital’ to meet part of banks’ market risk mitigation requirements only. Tier 1 and Tier 2 capital remained unchanged. </w:t>
      </w:r>
    </w:p>
    <w:p w14:paraId="7782DC3A" w14:textId="77777777" w:rsidR="00290FC4" w:rsidRDefault="00290FC4" w:rsidP="00941CB8">
      <w:pPr>
        <w:spacing w:before="120" w:after="120" w:line="288" w:lineRule="auto"/>
      </w:pPr>
      <w:r>
        <w:t xml:space="preserve">The Basel II Framework remained the capital framework stated in the 1988 Basel Accord and the 1996 Amendment unchanged. </w:t>
      </w:r>
    </w:p>
    <w:p w14:paraId="7247A37D" w14:textId="011A8ABB" w:rsidR="00290FC4" w:rsidRDefault="00290FC4" w:rsidP="00941CB8">
      <w:pPr>
        <w:spacing w:before="120" w:after="120" w:line="288" w:lineRule="auto"/>
      </w:pPr>
      <w:r>
        <w:t xml:space="preserve">The Basel III Reforms have not only detailed every constituent included in the regulatory capital, but also changed the capital structure and requirements for specific components. The regulatory capital in the Basel III Reforms </w:t>
      </w:r>
      <w:r w:rsidR="00F83F91">
        <w:t>consists of</w:t>
      </w:r>
      <w:r>
        <w:t xml:space="preserve"> two tiers of capital: Tier 1 capital (common equity Tier 1 and additional Tier 1 capital) and Tier 2 capital. Tier 3 capital stipulated in the Basel II Framework has been removed. </w:t>
      </w:r>
    </w:p>
    <w:p w14:paraId="4157ED85" w14:textId="77777777" w:rsidR="00290FC4" w:rsidRDefault="00290FC4" w:rsidP="00941CB8">
      <w:pPr>
        <w:spacing w:before="120" w:after="120" w:line="288" w:lineRule="auto"/>
      </w:pPr>
      <w:r>
        <w:t>The Basel Committee has set three independent minimum capital requirements within the total capital requirements. Common equity Tier 1 capital must be at least 4.5% of the Risk-Weighted Assets (RWAs); total Tier 1 capital must be least 6% of RW</w:t>
      </w:r>
      <w:r>
        <w:rPr>
          <w:rFonts w:hint="eastAsia"/>
        </w:rPr>
        <w:t>A</w:t>
      </w:r>
      <w:r>
        <w:t xml:space="preserve">s; total capital must be at least 8% of RWAs. Through the above setting, the total Tier 1 capital has increased from 4% to 6%. The total regulatory capital requirement remained changed. </w:t>
      </w:r>
    </w:p>
    <w:p w14:paraId="653FCB93" w14:textId="11458504" w:rsidR="00290FC4" w:rsidRDefault="00290FC4" w:rsidP="00941CB8">
      <w:pPr>
        <w:spacing w:before="120" w:after="120" w:line="288" w:lineRule="auto"/>
      </w:pPr>
      <w:r>
        <w:t xml:space="preserve">Capital buffers have been established above the minimum capital requirements to ensure that banks have the capability to </w:t>
      </w:r>
      <w:r w:rsidR="00F83F91">
        <w:t>survive stressful</w:t>
      </w:r>
      <w:r>
        <w:t xml:space="preserve"> times. A Capital Conservation Buffer is set as 2.5% which is comprised of Common Equity Tier 1 capital. The Counter-cyclical Buffer varies from 0%-2.5% which is decided at the national authorities’ discretion. </w:t>
      </w:r>
    </w:p>
    <w:p w14:paraId="5B71B273" w14:textId="77777777" w:rsidR="00290FC4" w:rsidRDefault="00290FC4" w:rsidP="00941CB8">
      <w:pPr>
        <w:spacing w:before="120" w:after="120" w:line="288" w:lineRule="auto"/>
      </w:pPr>
      <w:r>
        <w:t xml:space="preserve">For those Global Systemically Important Banks (G-SIBs), the Basel Committee has set G-SIB Buffer to require G-SIBs to have higher loss absorbency ability. G-SIBs Buffer varies between 1% and 3.5%, which is met with Common Equity Tier 1 Capital only. </w:t>
      </w:r>
    </w:p>
    <w:p w14:paraId="33D7BCC5" w14:textId="77777777" w:rsidR="00290FC4" w:rsidRPr="00413FEB" w:rsidRDefault="00290FC4" w:rsidP="00941CB8">
      <w:pPr>
        <w:pStyle w:val="Heading4"/>
        <w:numPr>
          <w:ilvl w:val="0"/>
          <w:numId w:val="14"/>
        </w:numPr>
        <w:spacing w:before="120" w:after="120" w:line="288" w:lineRule="auto"/>
      </w:pPr>
      <w:r w:rsidRPr="00413FEB">
        <w:t>The calculation of RWAs</w:t>
      </w:r>
    </w:p>
    <w:p w14:paraId="7671A6FB" w14:textId="39CBFB41" w:rsidR="00290FC4" w:rsidRDefault="00290FC4" w:rsidP="00941CB8">
      <w:pPr>
        <w:spacing w:before="120" w:after="120" w:line="288" w:lineRule="auto"/>
      </w:pPr>
      <w:r>
        <w:t xml:space="preserve">As an </w:t>
      </w:r>
      <w:r w:rsidR="00F83F91">
        <w:t>integrating</w:t>
      </w:r>
      <w:r>
        <w:t xml:space="preserve"> part of regulatory capital adequacy requirements, Risk-Weighted Assets have been through great changes in terms of risk profiles, </w:t>
      </w:r>
      <w:proofErr w:type="gramStart"/>
      <w:r>
        <w:t>methodologies</w:t>
      </w:r>
      <w:proofErr w:type="gramEnd"/>
      <w:r>
        <w:t xml:space="preserve"> and categories. </w:t>
      </w:r>
    </w:p>
    <w:p w14:paraId="011FEE16" w14:textId="77777777" w:rsidR="00290FC4" w:rsidRDefault="00290FC4" w:rsidP="00941CB8">
      <w:pPr>
        <w:pStyle w:val="Heading5"/>
        <w:numPr>
          <w:ilvl w:val="0"/>
          <w:numId w:val="15"/>
        </w:numPr>
        <w:spacing w:before="120" w:after="120" w:line="288" w:lineRule="auto"/>
      </w:pPr>
      <w:r>
        <w:t>The treatment of credit risk</w:t>
      </w:r>
    </w:p>
    <w:p w14:paraId="40FD820E" w14:textId="77777777" w:rsidR="00290FC4" w:rsidRDefault="00290FC4" w:rsidP="00941CB8">
      <w:pPr>
        <w:spacing w:before="120" w:after="120" w:line="288" w:lineRule="auto"/>
      </w:pPr>
      <w:r>
        <w:t xml:space="preserve">In the 1988 Basel Accord, the capital framework was mainly directed to assess the credit risk banks faced. The credit risk exposures were categorized as: those arising from on-balance-sheet assets, those arising from off-balance-sheet assets and those arising from Over-the Counter (OTC) derivatives. These exposures (loans) were put into different risk-weight bands according to the types of loans such as loans to Organization for Economic Co-operation and Development (OECD) sovereigns, loans to banks, and loans to private sectors, etc. The RWAs of credit risk were the total amount of exposures </w:t>
      </w:r>
      <w:proofErr w:type="gramStart"/>
      <w:r>
        <w:t>taking into account</w:t>
      </w:r>
      <w:proofErr w:type="gramEnd"/>
      <w:r>
        <w:t xml:space="preserve"> of these conditions and prerequisites. This approach is called Standardized Approach in calculation of the RWAs for credit risk in the Basel II Framework. Nonetheless, the methodologies to give the weighting bands had been changed a lot. </w:t>
      </w:r>
    </w:p>
    <w:p w14:paraId="5873388A" w14:textId="77777777" w:rsidR="00290FC4" w:rsidRDefault="00290FC4" w:rsidP="00941CB8">
      <w:pPr>
        <w:spacing w:before="120" w:after="120" w:line="288" w:lineRule="auto"/>
      </w:pPr>
      <w:r>
        <w:t xml:space="preserve">In the Basel II Framework, two approaches were provided by the Basel Committee for the treatment of credit risk: The Standardized Approach (SA) and the Internal Ratings Based (IRB) Approach. </w:t>
      </w:r>
    </w:p>
    <w:p w14:paraId="574CE930" w14:textId="4F29E6F3" w:rsidR="00290FC4" w:rsidRDefault="00290FC4" w:rsidP="00941CB8">
      <w:pPr>
        <w:spacing w:before="120" w:after="120" w:line="288" w:lineRule="auto"/>
      </w:pPr>
      <w:r>
        <w:t xml:space="preserve">Under the Standardized Approach (SA), credit exposures were still slotted into weighting bands. However, the weight bands were given based on ratings by the eligible external rating agencies permitted by national supervisory authorities.  The Internal Ratings Based (IRB) Approach allowed banks to categorize credit exposures using their internal risk assessments.  The Internal Ratings Based (IRB) framework was further divided into two approaches: The Foundation Internal Ratings Based (F-IRB) Approach which only allowed banks to estimate the Probability of Default (PD), and the Advanced Internal Ratings Based (A-IRB) Approach which allowed banks to provide their own estimates of PD, LGD (Loss Given Default), and EAD (Exposure </w:t>
      </w:r>
      <w:r w:rsidR="00F83F91">
        <w:t>at</w:t>
      </w:r>
      <w:r>
        <w:t xml:space="preserve"> Default). </w:t>
      </w:r>
    </w:p>
    <w:p w14:paraId="3C9AB539" w14:textId="77777777" w:rsidR="00290FC4" w:rsidRDefault="00290FC4" w:rsidP="00941CB8">
      <w:pPr>
        <w:spacing w:before="120" w:after="120" w:line="288" w:lineRule="auto"/>
      </w:pPr>
      <w:r>
        <w:t xml:space="preserve">Under the Basel III Reforms, the above two approaches have been greatly changed. Under the Standardized Approach, The Basel Committee has provided an approach to give more detailed weight bands to exposures to increase the risk sensitivity. And the Basel Committee also provided approaches for national authorities in decision making process to reduce the rely on the external rating agencies. </w:t>
      </w:r>
    </w:p>
    <w:p w14:paraId="16271CEF" w14:textId="2C3580DD" w:rsidR="00290FC4" w:rsidRDefault="00290FC4" w:rsidP="00941CB8">
      <w:pPr>
        <w:spacing w:before="120" w:after="120" w:line="288" w:lineRule="auto"/>
      </w:pPr>
      <w:r>
        <w:t xml:space="preserve">Due to regulatory arbitrage and other issues caused by the Internal Ratings Based (IRB) Approach, the Basel Committee introduced more </w:t>
      </w:r>
      <w:r w:rsidR="00F83F91">
        <w:t>constraints</w:t>
      </w:r>
      <w:r>
        <w:t xml:space="preserve"> on the use of the Internal Ratings Based (IRB) Approach. In some certain exposure classes, such as </w:t>
      </w:r>
      <w:r w:rsidR="00F83F91">
        <w:t>exposure</w:t>
      </w:r>
      <w:r>
        <w:t xml:space="preserve"> to banks and other financial institutions, the Advanced Internal Ratings Based (A-IRB) Approach has been removed. In the exposure of class of equity, the two Internal Ratings Based Approaches have </w:t>
      </w:r>
      <w:r w:rsidR="00F83F91">
        <w:t>both been</w:t>
      </w:r>
      <w:r>
        <w:t xml:space="preserve"> removed. </w:t>
      </w:r>
    </w:p>
    <w:p w14:paraId="758DAC67" w14:textId="77777777" w:rsidR="00290FC4" w:rsidRDefault="00290FC4" w:rsidP="00941CB8">
      <w:pPr>
        <w:spacing w:before="120" w:after="120" w:line="288" w:lineRule="auto"/>
      </w:pPr>
      <w:r>
        <w:t xml:space="preserve">Under the Basel III Reforms, the capital requirement for Credit Valuation Adjustment (CVA) risk is required to cover the default risk of counterparties due to the adjustments of derivative valuation.  </w:t>
      </w:r>
    </w:p>
    <w:p w14:paraId="571BD25E" w14:textId="77777777" w:rsidR="00290FC4" w:rsidRPr="00413FEB" w:rsidRDefault="00290FC4" w:rsidP="00941CB8">
      <w:pPr>
        <w:pStyle w:val="Heading5"/>
        <w:numPr>
          <w:ilvl w:val="0"/>
          <w:numId w:val="15"/>
        </w:numPr>
        <w:spacing w:before="120" w:after="120" w:line="288" w:lineRule="auto"/>
      </w:pPr>
      <w:r w:rsidRPr="00413FEB">
        <w:t>The treatment of market risk</w:t>
      </w:r>
    </w:p>
    <w:p w14:paraId="6162502A" w14:textId="0EA62970" w:rsidR="00290FC4" w:rsidRDefault="00290FC4" w:rsidP="00941CB8">
      <w:pPr>
        <w:spacing w:before="120" w:after="120" w:line="288" w:lineRule="auto"/>
      </w:pPr>
      <w:r>
        <w:t xml:space="preserve">The treatment of market risk was provided in the 1996 Amendment due to the </w:t>
      </w:r>
      <w:proofErr w:type="gramStart"/>
      <w:r>
        <w:t>insufficiency that</w:t>
      </w:r>
      <w:proofErr w:type="gramEnd"/>
      <w:r>
        <w:t xml:space="preserve"> the Basel I was seen when risk was assessed in banks’ trading book. Two approaches were provided in the 1996 Amendment: The Standardized Approach (SA) and the Internal Model Approach (IMA). The Standardized Approach (SA) assigned market risk capital </w:t>
      </w:r>
      <w:proofErr w:type="gramStart"/>
      <w:r>
        <w:t>charge</w:t>
      </w:r>
      <w:proofErr w:type="gramEnd"/>
      <w:r>
        <w:t xml:space="preserve"> to each type of instruments such as debt, equity, foreign exchanges, </w:t>
      </w:r>
      <w:proofErr w:type="gramStart"/>
      <w:r>
        <w:t>commodities</w:t>
      </w:r>
      <w:proofErr w:type="gramEnd"/>
      <w:r>
        <w:t xml:space="preserve"> and options, then add those separate capital charges together. The Internal Model Approach (IMA) allowed banks to use their internal Value-at Risk (</w:t>
      </w:r>
      <w:proofErr w:type="spellStart"/>
      <w:r>
        <w:t>VaR</w:t>
      </w:r>
      <w:proofErr w:type="spellEnd"/>
      <w:r>
        <w:t xml:space="preserve">) models to calculate the market risk capital charge </w:t>
      </w:r>
      <w:proofErr w:type="gramStart"/>
      <w:r>
        <w:t>as long as</w:t>
      </w:r>
      <w:proofErr w:type="gramEnd"/>
      <w:r>
        <w:t xml:space="preserve"> they got </w:t>
      </w:r>
      <w:r w:rsidR="00F83F91">
        <w:t>permission</w:t>
      </w:r>
      <w:r>
        <w:t xml:space="preserve"> from the national supervisory authorities. Under these two approaches, a Specific Risk Charge (SCR) was calculated in the total market risk capital charge to </w:t>
      </w:r>
      <w:proofErr w:type="gramStart"/>
      <w:r>
        <w:t xml:space="preserve">avoid </w:t>
      </w:r>
      <w:r w:rsidR="00F83F91">
        <w:t>what</w:t>
      </w:r>
      <w:proofErr w:type="gramEnd"/>
      <w:r w:rsidR="00F83F91">
        <w:t xml:space="preserve"> </w:t>
      </w:r>
      <w:r>
        <w:t xml:space="preserve">banks used the trading book as a tool for regulatory arbitrage. </w:t>
      </w:r>
    </w:p>
    <w:p w14:paraId="13AA4A4E" w14:textId="7ACCF138" w:rsidR="00290FC4" w:rsidRDefault="00290FC4" w:rsidP="00941CB8">
      <w:pPr>
        <w:spacing w:before="120" w:after="120" w:line="288" w:lineRule="auto"/>
      </w:pPr>
      <w:r>
        <w:t xml:space="preserve">The Basel II Framework retained the treatment of market risk presented in the 1996 Amendment. It was until </w:t>
      </w:r>
      <w:r w:rsidR="00F83F91">
        <w:t>Basel</w:t>
      </w:r>
      <w:r>
        <w:t xml:space="preserve"> II.5: Revisions to the Basel II Market Risk Framework that the treatment was developed to cope with the stress scenarios. The Basel II.5 Revisions refined and strengthened the capital requirements on Specific Risk Charge (SCR) under both approaches. </w:t>
      </w:r>
    </w:p>
    <w:p w14:paraId="06F14D29" w14:textId="73EE7918" w:rsidR="00290FC4" w:rsidRDefault="00290FC4" w:rsidP="00941CB8">
      <w:pPr>
        <w:spacing w:before="120" w:after="120" w:line="288" w:lineRule="auto"/>
      </w:pPr>
      <w:r>
        <w:t>Specifically, under</w:t>
      </w:r>
      <w:r w:rsidRPr="00370AF1">
        <w:t xml:space="preserve"> </w:t>
      </w:r>
      <w:r>
        <w:t>the Internal Model Approach (IMA), the Basel Committee required banks to calculate a Stressed Value at Risk (</w:t>
      </w:r>
      <w:proofErr w:type="spellStart"/>
      <w:r>
        <w:t>SVaR</w:t>
      </w:r>
      <w:proofErr w:type="spellEnd"/>
      <w:r>
        <w:t>) to be added in the calculation of total market risk capital charge, which assessed the capital adequacy in a period of stress.  The Basel Committee also required banks to calculate Incremental Capital Charge (IRC) to capture default risk and migration risk of certain securitization exposures. The ‘Comprehensive Risk Measure (CRM)’ was introduced, which was intended to capture all price risks</w:t>
      </w:r>
      <w:r w:rsidR="00F83F91">
        <w:t>, but was</w:t>
      </w:r>
      <w:r>
        <w:t xml:space="preserve"> still subject to national supervisory approval. </w:t>
      </w:r>
    </w:p>
    <w:p w14:paraId="7229C18F" w14:textId="0DB06DEE" w:rsidR="00290FC4" w:rsidRDefault="00290FC4" w:rsidP="00941CB8">
      <w:pPr>
        <w:spacing w:before="120" w:after="120" w:line="288" w:lineRule="auto"/>
      </w:pPr>
      <w:r>
        <w:t xml:space="preserve">The Basel III Reforms have phase-in arrangements for </w:t>
      </w:r>
      <w:r w:rsidR="00F83F91">
        <w:t>treatment</w:t>
      </w:r>
      <w:r>
        <w:t xml:space="preserve"> of market risk. From January 1, 2022, the current approaches (SA, IMA) will be replaced by the new Standardized Approach and the new Internal Model Approach to assess the market risk under the Basel Framework. </w:t>
      </w:r>
    </w:p>
    <w:p w14:paraId="46F37679" w14:textId="77777777" w:rsidR="00290FC4" w:rsidRDefault="00290FC4" w:rsidP="00941CB8">
      <w:pPr>
        <w:spacing w:before="120" w:after="120" w:line="288" w:lineRule="auto"/>
      </w:pPr>
      <w:r>
        <w:t xml:space="preserve">Under the new Standardized Approach (SA), the market risk capital charge is composed of three components: the capital charge calculated by the sensitivity-based method, the Default Risk Capital (DRC) charge, and the Residual Risk Add-On (RRAO). For those banks using the new Internal Model Approach (IMA), the Basel Committee require banks to use Expected Shortfall (ES) models or Stressed Expected Shortfall (SES) Models to capture all modellable market risk factors. All non-modellable risk factors are required to be captured using a stress scenario. </w:t>
      </w:r>
    </w:p>
    <w:p w14:paraId="0514CC9D" w14:textId="77777777" w:rsidR="00290FC4" w:rsidRPr="00413FEB" w:rsidRDefault="00290FC4" w:rsidP="00941CB8">
      <w:pPr>
        <w:pStyle w:val="Heading5"/>
        <w:numPr>
          <w:ilvl w:val="0"/>
          <w:numId w:val="15"/>
        </w:numPr>
        <w:spacing w:before="120" w:after="120" w:line="288" w:lineRule="auto"/>
      </w:pPr>
      <w:r w:rsidRPr="00413FEB">
        <w:t>The treatment of operational risk</w:t>
      </w:r>
    </w:p>
    <w:p w14:paraId="09FA4F8C" w14:textId="4B46FA06" w:rsidR="00290FC4" w:rsidRDefault="00290FC4" w:rsidP="00941CB8">
      <w:pPr>
        <w:spacing w:before="120" w:after="120" w:line="288" w:lineRule="auto"/>
      </w:pPr>
      <w:r>
        <w:t xml:space="preserve">It is under the Basel II Framework that regulatory capital requirements for operational risk </w:t>
      </w:r>
      <w:r w:rsidR="00BC333A">
        <w:t>were</w:t>
      </w:r>
      <w:r>
        <w:t xml:space="preserve"> considered for the first time. The Basel II Framework allowed three methods in calculation of operational risk capital charge: The Basic Indicator Approach (BIA), the Standardized Approach (SA) and the Advanced Measurement Approach (AMA).  </w:t>
      </w:r>
    </w:p>
    <w:p w14:paraId="62CA5D4A" w14:textId="77777777" w:rsidR="00290FC4" w:rsidRPr="008937FE" w:rsidRDefault="00290FC4" w:rsidP="00941CB8">
      <w:pPr>
        <w:spacing w:before="120" w:after="120" w:line="288" w:lineRule="auto"/>
      </w:pPr>
      <w:r>
        <w:t xml:space="preserve">Under the Basic Indicator Approach (BIA), a fixed percentage (15%) indicator was given, multiplied by the average over the positive annual gross income over the previous three years </w:t>
      </w:r>
      <w:proofErr w:type="gramStart"/>
      <w:r>
        <w:t>in order to</w:t>
      </w:r>
      <w:proofErr w:type="gramEnd"/>
      <w:r>
        <w:t xml:space="preserve"> meet the operational risk capital charge. In the Standardized Approach (SA), banks’ activities were divided into eight business lines, each of lines was given a fixed percentage indicator to calculate the operational risk capital charge. </w:t>
      </w:r>
    </w:p>
    <w:p w14:paraId="0869B8E7" w14:textId="77777777" w:rsidR="00290FC4" w:rsidRDefault="00290FC4" w:rsidP="00941CB8">
      <w:pPr>
        <w:spacing w:before="120" w:after="120" w:line="288" w:lineRule="auto"/>
      </w:pPr>
      <w:r>
        <w:t xml:space="preserve">The Advanced Measurement Approach (AMA) allowed banks to assess the expected losses for operational risk through the frequency and the severity risk factors by using internal and external data. </w:t>
      </w:r>
    </w:p>
    <w:p w14:paraId="5AE7214D" w14:textId="77777777" w:rsidR="00290FC4" w:rsidRDefault="00290FC4" w:rsidP="00941CB8">
      <w:pPr>
        <w:spacing w:before="120" w:after="120" w:line="288" w:lineRule="auto"/>
      </w:pPr>
      <w:r>
        <w:t xml:space="preserve">The Basel III Reforms will replace the current methodologies under the Basel II Framework by a single Standardized Approach (SA) from January 1, 2022. Under this Standardized Approach (SA), the operational risk capital charge is calculated by multiplying the Business Indicator Component (BIC) and the Internal Loss Multiplier (ILM). The Business Indicator Component (BIC) and the Internal Loss Multiplier (ILM) can be calculated through the business indicators in banks’ financial statements and internal loss data. </w:t>
      </w:r>
    </w:p>
    <w:p w14:paraId="6FF56754" w14:textId="77777777" w:rsidR="00290FC4" w:rsidRPr="00413FEB" w:rsidRDefault="00290FC4" w:rsidP="00941CB8">
      <w:pPr>
        <w:pStyle w:val="Heading4"/>
        <w:numPr>
          <w:ilvl w:val="0"/>
          <w:numId w:val="14"/>
        </w:numPr>
        <w:spacing w:before="120" w:after="120" w:line="288" w:lineRule="auto"/>
      </w:pPr>
      <w:r w:rsidRPr="00413FEB">
        <w:t>Development of other aspects of the Basel Framework</w:t>
      </w:r>
    </w:p>
    <w:p w14:paraId="3489F1FC" w14:textId="77777777" w:rsidR="00290FC4" w:rsidRDefault="00290FC4" w:rsidP="00941CB8">
      <w:pPr>
        <w:spacing w:before="120" w:after="120" w:line="288" w:lineRule="auto"/>
      </w:pPr>
      <w:r>
        <w:t xml:space="preserve">The center of the Basel Framework – the minimum regulatory capital requirement has experienced great changes in the past decades. In recent years, the Basel Framework </w:t>
      </w:r>
      <w:proofErr w:type="gramStart"/>
      <w:r>
        <w:t>also has</w:t>
      </w:r>
      <w:proofErr w:type="gramEnd"/>
      <w:r>
        <w:t xml:space="preserve"> developed and reformed other aspects in the framework. </w:t>
      </w:r>
    </w:p>
    <w:p w14:paraId="2B151CC0" w14:textId="77777777" w:rsidR="00290FC4" w:rsidRDefault="00290FC4" w:rsidP="00941CB8">
      <w:pPr>
        <w:spacing w:before="120" w:after="120" w:line="288" w:lineRule="auto"/>
      </w:pPr>
      <w:r>
        <w:t xml:space="preserve">Liquidity standards - The Liquidity Coverage Ratio (LCR) focuses on banks’ ability to withstand a 30-day liquidity stress. The Net Stable Funding Ratio (NSFR) focuses on </w:t>
      </w:r>
      <w:proofErr w:type="gramStart"/>
      <w:r>
        <w:t>a longer term</w:t>
      </w:r>
      <w:proofErr w:type="gramEnd"/>
      <w:r>
        <w:t xml:space="preserve"> (over 1 year) liquidity management. </w:t>
      </w:r>
    </w:p>
    <w:p w14:paraId="63FCC12C" w14:textId="0F11E70A" w:rsidR="00290FC4" w:rsidRDefault="00290FC4" w:rsidP="00941CB8">
      <w:pPr>
        <w:spacing w:before="120" w:after="120" w:line="288" w:lineRule="auto"/>
      </w:pPr>
      <w:r>
        <w:t xml:space="preserve">Leverage management – Leverage Ratio (3%) has been placed </w:t>
      </w:r>
      <w:r w:rsidR="00BC333A">
        <w:t>restraints</w:t>
      </w:r>
      <w:r>
        <w:t xml:space="preserve"> on banks’ on-and-off balance-sheet exposures and acts as supplementary measure to the regulatory capital requirements. A Leverage Ratio Buffer has been introduced for the Global Systemically Important Banks (G-SIBs) to ensure that those banks maintain higher absorbency capability.</w:t>
      </w:r>
    </w:p>
    <w:p w14:paraId="728BA380" w14:textId="77777777" w:rsidR="00290FC4" w:rsidRDefault="00290FC4" w:rsidP="00941CB8">
      <w:pPr>
        <w:spacing w:before="120" w:after="120" w:line="288" w:lineRule="auto"/>
      </w:pPr>
      <w:r>
        <w:t>Chart 1: the evolving framework (Source: BCBS)</w:t>
      </w:r>
    </w:p>
    <w:tbl>
      <w:tblPr>
        <w:tblStyle w:val="GridTable4-Accent1"/>
        <w:tblW w:w="0" w:type="auto"/>
        <w:tblLayout w:type="fixed"/>
        <w:tblLook w:val="04A0" w:firstRow="1" w:lastRow="0" w:firstColumn="1" w:lastColumn="0" w:noHBand="0" w:noVBand="1"/>
      </w:tblPr>
      <w:tblGrid>
        <w:gridCol w:w="1345"/>
        <w:gridCol w:w="1440"/>
        <w:gridCol w:w="1350"/>
        <w:gridCol w:w="1530"/>
        <w:gridCol w:w="1350"/>
        <w:gridCol w:w="1890"/>
      </w:tblGrid>
      <w:tr w:rsidR="00290FC4" w:rsidRPr="00A36113" w14:paraId="0949CDAD" w14:textId="77777777" w:rsidTr="00290F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20C62A1" w14:textId="77777777" w:rsidR="00290FC4" w:rsidRPr="00A36113" w:rsidRDefault="00290FC4" w:rsidP="00290FC4">
            <w:pPr>
              <w:rPr>
                <w:sz w:val="18"/>
                <w:szCs w:val="18"/>
              </w:rPr>
            </w:pPr>
          </w:p>
        </w:tc>
        <w:tc>
          <w:tcPr>
            <w:tcW w:w="1440" w:type="dxa"/>
          </w:tcPr>
          <w:p w14:paraId="6030A183" w14:textId="77777777" w:rsidR="00290FC4" w:rsidRPr="00A36113" w:rsidRDefault="00290FC4" w:rsidP="00290FC4">
            <w:pPr>
              <w:cnfStyle w:val="100000000000" w:firstRow="1" w:lastRow="0" w:firstColumn="0" w:lastColumn="0" w:oddVBand="0" w:evenVBand="0" w:oddHBand="0" w:evenHBand="0" w:firstRowFirstColumn="0" w:firstRowLastColumn="0" w:lastRowFirstColumn="0" w:lastRowLastColumn="0"/>
              <w:rPr>
                <w:sz w:val="18"/>
                <w:szCs w:val="18"/>
              </w:rPr>
            </w:pPr>
            <w:r w:rsidRPr="00A36113">
              <w:rPr>
                <w:sz w:val="18"/>
                <w:szCs w:val="18"/>
              </w:rPr>
              <w:t>1988 Basel Accord</w:t>
            </w:r>
          </w:p>
        </w:tc>
        <w:tc>
          <w:tcPr>
            <w:tcW w:w="1350" w:type="dxa"/>
          </w:tcPr>
          <w:p w14:paraId="44B11580" w14:textId="77777777" w:rsidR="00290FC4" w:rsidRPr="00A36113" w:rsidRDefault="00290FC4" w:rsidP="00290FC4">
            <w:pPr>
              <w:cnfStyle w:val="100000000000" w:firstRow="1" w:lastRow="0" w:firstColumn="0" w:lastColumn="0" w:oddVBand="0" w:evenVBand="0" w:oddHBand="0" w:evenHBand="0" w:firstRowFirstColumn="0" w:firstRowLastColumn="0" w:lastRowFirstColumn="0" w:lastRowLastColumn="0"/>
              <w:rPr>
                <w:sz w:val="18"/>
                <w:szCs w:val="18"/>
              </w:rPr>
            </w:pPr>
            <w:r w:rsidRPr="00A36113">
              <w:rPr>
                <w:sz w:val="18"/>
                <w:szCs w:val="18"/>
              </w:rPr>
              <w:t>1996 Amendment</w:t>
            </w:r>
          </w:p>
        </w:tc>
        <w:tc>
          <w:tcPr>
            <w:tcW w:w="1530" w:type="dxa"/>
          </w:tcPr>
          <w:p w14:paraId="5892B374" w14:textId="77777777" w:rsidR="00290FC4" w:rsidRPr="00A36113" w:rsidRDefault="00290FC4" w:rsidP="00290FC4">
            <w:pPr>
              <w:cnfStyle w:val="100000000000" w:firstRow="1" w:lastRow="0" w:firstColumn="0" w:lastColumn="0" w:oddVBand="0" w:evenVBand="0" w:oddHBand="0" w:evenHBand="0" w:firstRowFirstColumn="0" w:firstRowLastColumn="0" w:lastRowFirstColumn="0" w:lastRowLastColumn="0"/>
              <w:rPr>
                <w:sz w:val="18"/>
                <w:szCs w:val="18"/>
              </w:rPr>
            </w:pPr>
            <w:r w:rsidRPr="00A36113">
              <w:rPr>
                <w:sz w:val="18"/>
                <w:szCs w:val="18"/>
              </w:rPr>
              <w:t>Basel II</w:t>
            </w:r>
          </w:p>
        </w:tc>
        <w:tc>
          <w:tcPr>
            <w:tcW w:w="1350" w:type="dxa"/>
          </w:tcPr>
          <w:p w14:paraId="0EFB4ED2" w14:textId="77777777" w:rsidR="00290FC4" w:rsidRPr="00A36113" w:rsidRDefault="00290FC4" w:rsidP="00290FC4">
            <w:pPr>
              <w:cnfStyle w:val="100000000000" w:firstRow="1" w:lastRow="0" w:firstColumn="0" w:lastColumn="0" w:oddVBand="0" w:evenVBand="0" w:oddHBand="0" w:evenHBand="0" w:firstRowFirstColumn="0" w:firstRowLastColumn="0" w:lastRowFirstColumn="0" w:lastRowLastColumn="0"/>
              <w:rPr>
                <w:sz w:val="18"/>
                <w:szCs w:val="18"/>
              </w:rPr>
            </w:pPr>
            <w:r w:rsidRPr="00A36113">
              <w:rPr>
                <w:sz w:val="18"/>
                <w:szCs w:val="18"/>
              </w:rPr>
              <w:t>Basel II.5</w:t>
            </w:r>
          </w:p>
        </w:tc>
        <w:tc>
          <w:tcPr>
            <w:tcW w:w="1890" w:type="dxa"/>
          </w:tcPr>
          <w:p w14:paraId="5A0B946C" w14:textId="77777777" w:rsidR="00290FC4" w:rsidRPr="00A36113" w:rsidRDefault="00290FC4" w:rsidP="00290FC4">
            <w:pPr>
              <w:cnfStyle w:val="100000000000" w:firstRow="1" w:lastRow="0" w:firstColumn="0" w:lastColumn="0" w:oddVBand="0" w:evenVBand="0" w:oddHBand="0" w:evenHBand="0" w:firstRowFirstColumn="0" w:firstRowLastColumn="0" w:lastRowFirstColumn="0" w:lastRowLastColumn="0"/>
              <w:rPr>
                <w:sz w:val="18"/>
                <w:szCs w:val="18"/>
              </w:rPr>
            </w:pPr>
            <w:r w:rsidRPr="00A36113">
              <w:rPr>
                <w:sz w:val="18"/>
                <w:szCs w:val="18"/>
              </w:rPr>
              <w:t>Basel III</w:t>
            </w:r>
          </w:p>
        </w:tc>
      </w:tr>
      <w:tr w:rsidR="00290FC4" w:rsidRPr="003056B0" w14:paraId="4DA1F9A5" w14:textId="77777777" w:rsidTr="00290FC4">
        <w:trPr>
          <w:cnfStyle w:val="000000100000" w:firstRow="0" w:lastRow="0" w:firstColumn="0" w:lastColumn="0" w:oddVBand="0" w:evenVBand="0" w:oddHBand="1" w:evenHBand="0" w:firstRowFirstColumn="0" w:firstRowLastColumn="0" w:lastRowFirstColumn="0" w:lastRowLastColumn="0"/>
          <w:trHeight w:val="2231"/>
        </w:trPr>
        <w:tc>
          <w:tcPr>
            <w:cnfStyle w:val="001000000000" w:firstRow="0" w:lastRow="0" w:firstColumn="1" w:lastColumn="0" w:oddVBand="0" w:evenVBand="0" w:oddHBand="0" w:evenHBand="0" w:firstRowFirstColumn="0" w:firstRowLastColumn="0" w:lastRowFirstColumn="0" w:lastRowLastColumn="0"/>
            <w:tcW w:w="1345" w:type="dxa"/>
          </w:tcPr>
          <w:p w14:paraId="6F642289" w14:textId="77777777" w:rsidR="00290FC4" w:rsidRPr="003056B0" w:rsidRDefault="00290FC4" w:rsidP="00290FC4">
            <w:pPr>
              <w:rPr>
                <w:b w:val="0"/>
                <w:bCs w:val="0"/>
                <w:sz w:val="18"/>
                <w:szCs w:val="18"/>
              </w:rPr>
            </w:pPr>
            <w:r w:rsidRPr="003056B0">
              <w:rPr>
                <w:b w:val="0"/>
                <w:bCs w:val="0"/>
                <w:sz w:val="18"/>
                <w:szCs w:val="18"/>
              </w:rPr>
              <w:t>The Minimum Capital Requirement</w:t>
            </w:r>
          </w:p>
        </w:tc>
        <w:tc>
          <w:tcPr>
            <w:tcW w:w="1440" w:type="dxa"/>
          </w:tcPr>
          <w:p w14:paraId="6F8DE6EA" w14:textId="77777777" w:rsidR="00290FC4" w:rsidRPr="003056B0" w:rsidRDefault="00290FC4" w:rsidP="00290FC4">
            <w:pPr>
              <w:cnfStyle w:val="000000100000" w:firstRow="0" w:lastRow="0" w:firstColumn="0" w:lastColumn="0" w:oddVBand="0" w:evenVBand="0" w:oddHBand="1" w:evenHBand="0" w:firstRowFirstColumn="0" w:firstRowLastColumn="0" w:lastRowFirstColumn="0" w:lastRowLastColumn="0"/>
              <w:rPr>
                <w:sz w:val="18"/>
                <w:szCs w:val="18"/>
              </w:rPr>
            </w:pPr>
            <w:r w:rsidRPr="003056B0">
              <w:rPr>
                <w:sz w:val="18"/>
                <w:szCs w:val="18"/>
              </w:rPr>
              <w:t xml:space="preserve">Tier 1 Capital 4%, </w:t>
            </w:r>
          </w:p>
          <w:p w14:paraId="31E096AB" w14:textId="77777777" w:rsidR="00290FC4" w:rsidRPr="003056B0" w:rsidRDefault="00290FC4" w:rsidP="00290FC4">
            <w:pPr>
              <w:cnfStyle w:val="000000100000" w:firstRow="0" w:lastRow="0" w:firstColumn="0" w:lastColumn="0" w:oddVBand="0" w:evenVBand="0" w:oddHBand="1" w:evenHBand="0" w:firstRowFirstColumn="0" w:firstRowLastColumn="0" w:lastRowFirstColumn="0" w:lastRowLastColumn="0"/>
              <w:rPr>
                <w:sz w:val="18"/>
                <w:szCs w:val="18"/>
              </w:rPr>
            </w:pPr>
            <w:r w:rsidRPr="003056B0">
              <w:rPr>
                <w:sz w:val="18"/>
                <w:szCs w:val="18"/>
              </w:rPr>
              <w:t xml:space="preserve">Total capital to RWA ratio 8% </w:t>
            </w:r>
          </w:p>
        </w:tc>
        <w:tc>
          <w:tcPr>
            <w:tcW w:w="1350" w:type="dxa"/>
          </w:tcPr>
          <w:p w14:paraId="1000FB1C" w14:textId="77777777" w:rsidR="00290FC4" w:rsidRPr="003056B0" w:rsidRDefault="00290FC4" w:rsidP="00290FC4">
            <w:pPr>
              <w:cnfStyle w:val="000000100000" w:firstRow="0" w:lastRow="0" w:firstColumn="0" w:lastColumn="0" w:oddVBand="0" w:evenVBand="0" w:oddHBand="1" w:evenHBand="0" w:firstRowFirstColumn="0" w:firstRowLastColumn="0" w:lastRowFirstColumn="0" w:lastRowLastColumn="0"/>
              <w:rPr>
                <w:sz w:val="18"/>
                <w:szCs w:val="18"/>
              </w:rPr>
            </w:pPr>
            <w:r w:rsidRPr="003056B0">
              <w:rPr>
                <w:sz w:val="18"/>
                <w:szCs w:val="18"/>
              </w:rPr>
              <w:t>Adding Tier 3 capital for market risk</w:t>
            </w:r>
          </w:p>
        </w:tc>
        <w:tc>
          <w:tcPr>
            <w:tcW w:w="1530" w:type="dxa"/>
          </w:tcPr>
          <w:p w14:paraId="10AE249C" w14:textId="77777777" w:rsidR="00290FC4" w:rsidRPr="003056B0" w:rsidRDefault="00290FC4" w:rsidP="00290FC4">
            <w:pPr>
              <w:cnfStyle w:val="000000100000" w:firstRow="0" w:lastRow="0" w:firstColumn="0" w:lastColumn="0" w:oddVBand="0" w:evenVBand="0" w:oddHBand="1" w:evenHBand="0" w:firstRowFirstColumn="0" w:firstRowLastColumn="0" w:lastRowFirstColumn="0" w:lastRowLastColumn="0"/>
              <w:rPr>
                <w:sz w:val="18"/>
                <w:szCs w:val="18"/>
              </w:rPr>
            </w:pPr>
            <w:r w:rsidRPr="003056B0">
              <w:rPr>
                <w:sz w:val="18"/>
                <w:szCs w:val="18"/>
              </w:rPr>
              <w:t>Tier 3 capital removed</w:t>
            </w:r>
          </w:p>
        </w:tc>
        <w:tc>
          <w:tcPr>
            <w:tcW w:w="1350" w:type="dxa"/>
          </w:tcPr>
          <w:p w14:paraId="03BF3A6F" w14:textId="77777777" w:rsidR="00290FC4" w:rsidRPr="003056B0" w:rsidRDefault="00290FC4" w:rsidP="00290FC4">
            <w:pPr>
              <w:cnfStyle w:val="000000100000" w:firstRow="0" w:lastRow="0" w:firstColumn="0" w:lastColumn="0" w:oddVBand="0" w:evenVBand="0" w:oddHBand="1" w:evenHBand="0" w:firstRowFirstColumn="0" w:firstRowLastColumn="0" w:lastRowFirstColumn="0" w:lastRowLastColumn="0"/>
              <w:rPr>
                <w:sz w:val="18"/>
                <w:szCs w:val="18"/>
              </w:rPr>
            </w:pPr>
          </w:p>
        </w:tc>
        <w:tc>
          <w:tcPr>
            <w:tcW w:w="1890" w:type="dxa"/>
          </w:tcPr>
          <w:p w14:paraId="5A316BEB" w14:textId="77777777" w:rsidR="00290FC4" w:rsidRPr="003056B0" w:rsidRDefault="00290FC4" w:rsidP="00290FC4">
            <w:pPr>
              <w:cnfStyle w:val="000000100000" w:firstRow="0" w:lastRow="0" w:firstColumn="0" w:lastColumn="0" w:oddVBand="0" w:evenVBand="0" w:oddHBand="1" w:evenHBand="0" w:firstRowFirstColumn="0" w:firstRowLastColumn="0" w:lastRowFirstColumn="0" w:lastRowLastColumn="0"/>
              <w:rPr>
                <w:sz w:val="18"/>
                <w:szCs w:val="18"/>
              </w:rPr>
            </w:pPr>
            <w:r w:rsidRPr="003056B0">
              <w:rPr>
                <w:sz w:val="18"/>
                <w:szCs w:val="18"/>
              </w:rPr>
              <w:t xml:space="preserve">Common Equity Tier 1 capital 4.5%, Tier 1 capital 6%, </w:t>
            </w:r>
          </w:p>
          <w:p w14:paraId="35060E08" w14:textId="77777777" w:rsidR="00290FC4" w:rsidRPr="003056B0" w:rsidRDefault="00290FC4" w:rsidP="00290FC4">
            <w:pPr>
              <w:cnfStyle w:val="000000100000" w:firstRow="0" w:lastRow="0" w:firstColumn="0" w:lastColumn="0" w:oddVBand="0" w:evenVBand="0" w:oddHBand="1" w:evenHBand="0" w:firstRowFirstColumn="0" w:firstRowLastColumn="0" w:lastRowFirstColumn="0" w:lastRowLastColumn="0"/>
              <w:rPr>
                <w:sz w:val="18"/>
                <w:szCs w:val="18"/>
              </w:rPr>
            </w:pPr>
            <w:r w:rsidRPr="003056B0">
              <w:rPr>
                <w:sz w:val="18"/>
                <w:szCs w:val="18"/>
              </w:rPr>
              <w:t xml:space="preserve">Capital Conservation Buffer 2.5%, </w:t>
            </w:r>
          </w:p>
          <w:p w14:paraId="445525D1" w14:textId="77777777" w:rsidR="00290FC4" w:rsidRDefault="00290FC4" w:rsidP="00290FC4">
            <w:pPr>
              <w:cnfStyle w:val="000000100000" w:firstRow="0" w:lastRow="0" w:firstColumn="0" w:lastColumn="0" w:oddVBand="0" w:evenVBand="0" w:oddHBand="1" w:evenHBand="0" w:firstRowFirstColumn="0" w:firstRowLastColumn="0" w:lastRowFirstColumn="0" w:lastRowLastColumn="0"/>
              <w:rPr>
                <w:sz w:val="18"/>
                <w:szCs w:val="18"/>
              </w:rPr>
            </w:pPr>
            <w:r w:rsidRPr="003056B0">
              <w:rPr>
                <w:sz w:val="18"/>
                <w:szCs w:val="18"/>
              </w:rPr>
              <w:t xml:space="preserve">Counter-cyclical Buffer 0%-2.5%, </w:t>
            </w:r>
          </w:p>
          <w:p w14:paraId="1198A5C2" w14:textId="77777777" w:rsidR="00290FC4" w:rsidRPr="003056B0" w:rsidRDefault="00290FC4" w:rsidP="00290FC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G-SIB Buffer 1%-3.5%</w:t>
            </w:r>
          </w:p>
          <w:p w14:paraId="281BCD5C" w14:textId="77777777" w:rsidR="00290FC4" w:rsidRPr="003056B0" w:rsidRDefault="00290FC4" w:rsidP="00290FC4">
            <w:pPr>
              <w:cnfStyle w:val="000000100000" w:firstRow="0" w:lastRow="0" w:firstColumn="0" w:lastColumn="0" w:oddVBand="0" w:evenVBand="0" w:oddHBand="1" w:evenHBand="0" w:firstRowFirstColumn="0" w:firstRowLastColumn="0" w:lastRowFirstColumn="0" w:lastRowLastColumn="0"/>
              <w:rPr>
                <w:sz w:val="18"/>
                <w:szCs w:val="18"/>
              </w:rPr>
            </w:pPr>
          </w:p>
        </w:tc>
      </w:tr>
      <w:tr w:rsidR="00290FC4" w:rsidRPr="00613E8A" w14:paraId="277BCC2A" w14:textId="77777777" w:rsidTr="00290FC4">
        <w:tc>
          <w:tcPr>
            <w:cnfStyle w:val="001000000000" w:firstRow="0" w:lastRow="0" w:firstColumn="1" w:lastColumn="0" w:oddVBand="0" w:evenVBand="0" w:oddHBand="0" w:evenHBand="0" w:firstRowFirstColumn="0" w:firstRowLastColumn="0" w:lastRowFirstColumn="0" w:lastRowLastColumn="0"/>
            <w:tcW w:w="1345" w:type="dxa"/>
          </w:tcPr>
          <w:p w14:paraId="59F303C2" w14:textId="77777777" w:rsidR="00290FC4" w:rsidRPr="00613E8A" w:rsidRDefault="00290FC4" w:rsidP="00290FC4">
            <w:pPr>
              <w:rPr>
                <w:b w:val="0"/>
                <w:bCs w:val="0"/>
                <w:sz w:val="18"/>
                <w:szCs w:val="18"/>
              </w:rPr>
            </w:pPr>
            <w:r w:rsidRPr="00613E8A">
              <w:rPr>
                <w:b w:val="0"/>
                <w:bCs w:val="0"/>
                <w:sz w:val="18"/>
                <w:szCs w:val="18"/>
              </w:rPr>
              <w:t>Credit Risk</w:t>
            </w:r>
          </w:p>
        </w:tc>
        <w:tc>
          <w:tcPr>
            <w:tcW w:w="1440" w:type="dxa"/>
          </w:tcPr>
          <w:p w14:paraId="5AE41AFE" w14:textId="77777777" w:rsidR="00290FC4" w:rsidRPr="00613E8A" w:rsidRDefault="00290FC4" w:rsidP="00290FC4">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Standardized Approach (SA)</w:t>
            </w:r>
          </w:p>
        </w:tc>
        <w:tc>
          <w:tcPr>
            <w:tcW w:w="1350" w:type="dxa"/>
          </w:tcPr>
          <w:p w14:paraId="7BEC633A" w14:textId="77777777" w:rsidR="00290FC4" w:rsidRPr="00613E8A" w:rsidRDefault="00290FC4" w:rsidP="00290FC4">
            <w:pPr>
              <w:cnfStyle w:val="000000000000" w:firstRow="0" w:lastRow="0" w:firstColumn="0" w:lastColumn="0" w:oddVBand="0" w:evenVBand="0" w:oddHBand="0" w:evenHBand="0" w:firstRowFirstColumn="0" w:firstRowLastColumn="0" w:lastRowFirstColumn="0" w:lastRowLastColumn="0"/>
              <w:rPr>
                <w:sz w:val="18"/>
                <w:szCs w:val="18"/>
              </w:rPr>
            </w:pPr>
          </w:p>
        </w:tc>
        <w:tc>
          <w:tcPr>
            <w:tcW w:w="1530" w:type="dxa"/>
          </w:tcPr>
          <w:p w14:paraId="36A7A9EC" w14:textId="77777777" w:rsidR="00290FC4" w:rsidRDefault="00290FC4" w:rsidP="00290FC4">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Standardized Approach (SA), </w:t>
            </w:r>
          </w:p>
          <w:p w14:paraId="592E9454" w14:textId="77777777" w:rsidR="00290FC4" w:rsidRDefault="00290FC4" w:rsidP="00290FC4">
            <w:pPr>
              <w:cnfStyle w:val="000000000000" w:firstRow="0" w:lastRow="0" w:firstColumn="0" w:lastColumn="0" w:oddVBand="0" w:evenVBand="0" w:oddHBand="0" w:evenHBand="0" w:firstRowFirstColumn="0" w:firstRowLastColumn="0" w:lastRowFirstColumn="0" w:lastRowLastColumn="0"/>
              <w:rPr>
                <w:sz w:val="18"/>
                <w:szCs w:val="18"/>
                <w:lang w:val="en-US"/>
              </w:rPr>
            </w:pPr>
            <w:r w:rsidRPr="00613E8A">
              <w:rPr>
                <w:sz w:val="18"/>
                <w:szCs w:val="18"/>
                <w:lang w:val="en-US"/>
              </w:rPr>
              <w:t>Foundation Internal Ratings Based (F-IRB) Approach</w:t>
            </w:r>
            <w:r>
              <w:rPr>
                <w:sz w:val="18"/>
                <w:szCs w:val="18"/>
                <w:lang w:val="en-US"/>
              </w:rPr>
              <w:t xml:space="preserve">, </w:t>
            </w:r>
          </w:p>
          <w:p w14:paraId="6AFD534C" w14:textId="77777777" w:rsidR="00290FC4" w:rsidRPr="00613E8A" w:rsidRDefault="00290FC4" w:rsidP="00290FC4">
            <w:pPr>
              <w:cnfStyle w:val="000000000000" w:firstRow="0" w:lastRow="0" w:firstColumn="0" w:lastColumn="0" w:oddVBand="0" w:evenVBand="0" w:oddHBand="0" w:evenHBand="0" w:firstRowFirstColumn="0" w:firstRowLastColumn="0" w:lastRowFirstColumn="0" w:lastRowLastColumn="0"/>
              <w:rPr>
                <w:sz w:val="18"/>
                <w:szCs w:val="18"/>
              </w:rPr>
            </w:pPr>
            <w:r w:rsidRPr="00613E8A">
              <w:rPr>
                <w:sz w:val="18"/>
                <w:szCs w:val="18"/>
                <w:lang w:val="en-US"/>
              </w:rPr>
              <w:t>Advanced Internal Ratings Based (A-IRB) Approach</w:t>
            </w:r>
          </w:p>
        </w:tc>
        <w:tc>
          <w:tcPr>
            <w:tcW w:w="1350" w:type="dxa"/>
          </w:tcPr>
          <w:p w14:paraId="13718352" w14:textId="77777777" w:rsidR="00290FC4" w:rsidRPr="00613E8A" w:rsidRDefault="00290FC4" w:rsidP="00290FC4">
            <w:pPr>
              <w:cnfStyle w:val="000000000000" w:firstRow="0" w:lastRow="0" w:firstColumn="0" w:lastColumn="0" w:oddVBand="0" w:evenVBand="0" w:oddHBand="0" w:evenHBand="0" w:firstRowFirstColumn="0" w:firstRowLastColumn="0" w:lastRowFirstColumn="0" w:lastRowLastColumn="0"/>
              <w:rPr>
                <w:sz w:val="18"/>
                <w:szCs w:val="18"/>
              </w:rPr>
            </w:pPr>
          </w:p>
        </w:tc>
        <w:tc>
          <w:tcPr>
            <w:tcW w:w="1890" w:type="dxa"/>
          </w:tcPr>
          <w:p w14:paraId="04C7AC3F" w14:textId="77777777" w:rsidR="00290FC4" w:rsidRPr="0088767C" w:rsidRDefault="00290FC4" w:rsidP="00290FC4">
            <w:pPr>
              <w:cnfStyle w:val="000000000000" w:firstRow="0" w:lastRow="0" w:firstColumn="0" w:lastColumn="0" w:oddVBand="0" w:evenVBand="0" w:oddHBand="0" w:evenHBand="0" w:firstRowFirstColumn="0" w:firstRowLastColumn="0" w:lastRowFirstColumn="0" w:lastRowLastColumn="0"/>
              <w:rPr>
                <w:sz w:val="18"/>
                <w:szCs w:val="18"/>
              </w:rPr>
            </w:pPr>
            <w:r w:rsidRPr="0088767C">
              <w:rPr>
                <w:sz w:val="18"/>
                <w:szCs w:val="18"/>
              </w:rPr>
              <w:t xml:space="preserve">Standardized Approach (SA), </w:t>
            </w:r>
          </w:p>
          <w:p w14:paraId="7B279CFD" w14:textId="77777777" w:rsidR="00290FC4" w:rsidRPr="0088767C" w:rsidRDefault="00290FC4" w:rsidP="00290FC4">
            <w:pPr>
              <w:cnfStyle w:val="000000000000" w:firstRow="0" w:lastRow="0" w:firstColumn="0" w:lastColumn="0" w:oddVBand="0" w:evenVBand="0" w:oddHBand="0" w:evenHBand="0" w:firstRowFirstColumn="0" w:firstRowLastColumn="0" w:lastRowFirstColumn="0" w:lastRowLastColumn="0"/>
              <w:rPr>
                <w:sz w:val="18"/>
                <w:szCs w:val="18"/>
                <w:lang w:val="en-US"/>
              </w:rPr>
            </w:pPr>
            <w:r w:rsidRPr="0088767C">
              <w:rPr>
                <w:sz w:val="18"/>
                <w:szCs w:val="18"/>
                <w:lang w:val="en-US"/>
              </w:rPr>
              <w:t xml:space="preserve">Foundation Internal Ratings Based (F-IRB) Approach, </w:t>
            </w:r>
          </w:p>
          <w:p w14:paraId="39BE8747" w14:textId="77777777" w:rsidR="00290FC4" w:rsidRPr="0088767C" w:rsidRDefault="00290FC4" w:rsidP="00290FC4">
            <w:pPr>
              <w:cnfStyle w:val="000000000000" w:firstRow="0" w:lastRow="0" w:firstColumn="0" w:lastColumn="0" w:oddVBand="0" w:evenVBand="0" w:oddHBand="0" w:evenHBand="0" w:firstRowFirstColumn="0" w:firstRowLastColumn="0" w:lastRowFirstColumn="0" w:lastRowLastColumn="0"/>
              <w:rPr>
                <w:sz w:val="18"/>
                <w:szCs w:val="18"/>
                <w:lang w:val="en-US"/>
              </w:rPr>
            </w:pPr>
            <w:r w:rsidRPr="00AE13B8">
              <w:rPr>
                <w:color w:val="FF0000"/>
                <w:sz w:val="18"/>
                <w:szCs w:val="18"/>
                <w:lang w:val="en-US"/>
              </w:rPr>
              <w:t xml:space="preserve">A-IRB has been removed </w:t>
            </w:r>
            <w:r w:rsidRPr="0088767C">
              <w:rPr>
                <w:sz w:val="18"/>
                <w:szCs w:val="18"/>
                <w:lang w:val="en-US"/>
              </w:rPr>
              <w:t>in certain risk class,</w:t>
            </w:r>
          </w:p>
          <w:p w14:paraId="5D5881E3" w14:textId="77777777" w:rsidR="00290FC4" w:rsidRPr="0088767C" w:rsidRDefault="00290FC4" w:rsidP="00290FC4">
            <w:pPr>
              <w:cnfStyle w:val="000000000000" w:firstRow="0" w:lastRow="0" w:firstColumn="0" w:lastColumn="0" w:oddVBand="0" w:evenVBand="0" w:oddHBand="0" w:evenHBand="0" w:firstRowFirstColumn="0" w:firstRowLastColumn="0" w:lastRowFirstColumn="0" w:lastRowLastColumn="0"/>
              <w:rPr>
                <w:sz w:val="18"/>
                <w:szCs w:val="18"/>
                <w:lang w:val="en-US"/>
              </w:rPr>
            </w:pPr>
            <w:r w:rsidRPr="0088767C">
              <w:rPr>
                <w:sz w:val="18"/>
                <w:szCs w:val="18"/>
                <w:lang w:val="en-US"/>
              </w:rPr>
              <w:t>Credit Valuation Adjustment (CVA)</w:t>
            </w:r>
          </w:p>
        </w:tc>
      </w:tr>
      <w:tr w:rsidR="00290FC4" w:rsidRPr="00613E8A" w14:paraId="55C7D0BA" w14:textId="77777777" w:rsidTr="00290F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535433E9" w14:textId="77777777" w:rsidR="00290FC4" w:rsidRPr="00613E8A" w:rsidRDefault="00290FC4" w:rsidP="00290FC4">
            <w:pPr>
              <w:rPr>
                <w:b w:val="0"/>
                <w:bCs w:val="0"/>
                <w:sz w:val="18"/>
                <w:szCs w:val="18"/>
              </w:rPr>
            </w:pPr>
            <w:r>
              <w:rPr>
                <w:b w:val="0"/>
                <w:bCs w:val="0"/>
                <w:sz w:val="18"/>
                <w:szCs w:val="18"/>
              </w:rPr>
              <w:t>Market Risk</w:t>
            </w:r>
          </w:p>
        </w:tc>
        <w:tc>
          <w:tcPr>
            <w:tcW w:w="1440" w:type="dxa"/>
          </w:tcPr>
          <w:p w14:paraId="60584483" w14:textId="77777777" w:rsidR="00290FC4" w:rsidRPr="00613E8A" w:rsidRDefault="00290FC4" w:rsidP="00290FC4">
            <w:pPr>
              <w:cnfStyle w:val="000000100000" w:firstRow="0" w:lastRow="0" w:firstColumn="0" w:lastColumn="0" w:oddVBand="0" w:evenVBand="0" w:oddHBand="1" w:evenHBand="0" w:firstRowFirstColumn="0" w:firstRowLastColumn="0" w:lastRowFirstColumn="0" w:lastRowLastColumn="0"/>
              <w:rPr>
                <w:sz w:val="18"/>
                <w:szCs w:val="18"/>
              </w:rPr>
            </w:pPr>
          </w:p>
        </w:tc>
        <w:tc>
          <w:tcPr>
            <w:tcW w:w="1350" w:type="dxa"/>
          </w:tcPr>
          <w:p w14:paraId="354951BF" w14:textId="77777777" w:rsidR="00290FC4" w:rsidRPr="00613E8A" w:rsidRDefault="00290FC4" w:rsidP="00290FC4">
            <w:pPr>
              <w:cnfStyle w:val="000000100000" w:firstRow="0" w:lastRow="0" w:firstColumn="0" w:lastColumn="0" w:oddVBand="0" w:evenVBand="0" w:oddHBand="1" w:evenHBand="0" w:firstRowFirstColumn="0" w:firstRowLastColumn="0" w:lastRowFirstColumn="0" w:lastRowLastColumn="0"/>
              <w:rPr>
                <w:sz w:val="18"/>
                <w:szCs w:val="18"/>
                <w:lang w:val="en-US"/>
              </w:rPr>
            </w:pPr>
            <w:r w:rsidRPr="00613E8A">
              <w:rPr>
                <w:sz w:val="18"/>
                <w:szCs w:val="18"/>
                <w:lang w:val="en-US"/>
              </w:rPr>
              <w:t>Standardized Approach (SA),</w:t>
            </w:r>
          </w:p>
          <w:p w14:paraId="58D1E566" w14:textId="77777777" w:rsidR="00290FC4" w:rsidRDefault="00290FC4" w:rsidP="00290FC4">
            <w:pPr>
              <w:cnfStyle w:val="000000100000" w:firstRow="0" w:lastRow="0" w:firstColumn="0" w:lastColumn="0" w:oddVBand="0" w:evenVBand="0" w:oddHBand="1" w:evenHBand="0" w:firstRowFirstColumn="0" w:firstRowLastColumn="0" w:lastRowFirstColumn="0" w:lastRowLastColumn="0"/>
              <w:rPr>
                <w:sz w:val="18"/>
                <w:szCs w:val="18"/>
                <w:lang w:val="en-US"/>
              </w:rPr>
            </w:pPr>
            <w:r w:rsidRPr="00613E8A">
              <w:rPr>
                <w:sz w:val="18"/>
                <w:szCs w:val="18"/>
                <w:lang w:val="en-US"/>
              </w:rPr>
              <w:t>Internal Model Approach (IMA)</w:t>
            </w:r>
            <w:r>
              <w:rPr>
                <w:sz w:val="18"/>
                <w:szCs w:val="18"/>
                <w:lang w:val="en-US"/>
              </w:rPr>
              <w:t>,</w:t>
            </w:r>
          </w:p>
          <w:p w14:paraId="075A722B" w14:textId="77777777" w:rsidR="00290FC4" w:rsidRPr="00613E8A" w:rsidRDefault="00290FC4" w:rsidP="00290FC4">
            <w:pPr>
              <w:cnfStyle w:val="000000100000" w:firstRow="0" w:lastRow="0" w:firstColumn="0" w:lastColumn="0" w:oddVBand="0" w:evenVBand="0" w:oddHBand="1" w:evenHBand="0" w:firstRowFirstColumn="0" w:firstRowLastColumn="0" w:lastRowFirstColumn="0" w:lastRowLastColumn="0"/>
              <w:rPr>
                <w:sz w:val="18"/>
                <w:szCs w:val="18"/>
              </w:rPr>
            </w:pPr>
            <w:r w:rsidRPr="00613E8A">
              <w:rPr>
                <w:sz w:val="18"/>
                <w:szCs w:val="18"/>
                <w:lang w:val="en-US"/>
              </w:rPr>
              <w:t>Specific Risk Charge (SCR)</w:t>
            </w:r>
          </w:p>
        </w:tc>
        <w:tc>
          <w:tcPr>
            <w:tcW w:w="1530" w:type="dxa"/>
          </w:tcPr>
          <w:p w14:paraId="33DA959E" w14:textId="77777777" w:rsidR="00290FC4" w:rsidRPr="00613E8A" w:rsidRDefault="00290FC4" w:rsidP="00290FC4">
            <w:pPr>
              <w:cnfStyle w:val="000000100000" w:firstRow="0" w:lastRow="0" w:firstColumn="0" w:lastColumn="0" w:oddVBand="0" w:evenVBand="0" w:oddHBand="1" w:evenHBand="0" w:firstRowFirstColumn="0" w:firstRowLastColumn="0" w:lastRowFirstColumn="0" w:lastRowLastColumn="0"/>
              <w:rPr>
                <w:sz w:val="18"/>
                <w:szCs w:val="18"/>
              </w:rPr>
            </w:pPr>
          </w:p>
        </w:tc>
        <w:tc>
          <w:tcPr>
            <w:tcW w:w="1350" w:type="dxa"/>
          </w:tcPr>
          <w:p w14:paraId="63AA9880" w14:textId="77777777" w:rsidR="00290FC4" w:rsidRPr="00613E8A" w:rsidRDefault="00290FC4" w:rsidP="00290FC4">
            <w:pPr>
              <w:cnfStyle w:val="000000100000" w:firstRow="0" w:lastRow="0" w:firstColumn="0" w:lastColumn="0" w:oddVBand="0" w:evenVBand="0" w:oddHBand="1" w:evenHBand="0" w:firstRowFirstColumn="0" w:firstRowLastColumn="0" w:lastRowFirstColumn="0" w:lastRowLastColumn="0"/>
              <w:rPr>
                <w:sz w:val="18"/>
                <w:szCs w:val="18"/>
              </w:rPr>
            </w:pPr>
            <w:r w:rsidRPr="00613E8A">
              <w:rPr>
                <w:sz w:val="18"/>
                <w:szCs w:val="18"/>
              </w:rPr>
              <w:t xml:space="preserve">Adding </w:t>
            </w:r>
            <w:r w:rsidRPr="00613E8A">
              <w:rPr>
                <w:sz w:val="18"/>
                <w:szCs w:val="18"/>
                <w:lang w:val="en-US"/>
              </w:rPr>
              <w:t>Stressed Value at Risk (</w:t>
            </w:r>
            <w:proofErr w:type="spellStart"/>
            <w:r w:rsidRPr="00613E8A">
              <w:rPr>
                <w:sz w:val="18"/>
                <w:szCs w:val="18"/>
                <w:lang w:val="en-US"/>
              </w:rPr>
              <w:t>SVaR</w:t>
            </w:r>
            <w:proofErr w:type="spellEnd"/>
            <w:r w:rsidRPr="00613E8A">
              <w:rPr>
                <w:sz w:val="18"/>
                <w:szCs w:val="18"/>
                <w:lang w:val="en-US"/>
              </w:rPr>
              <w:t>) and Incremental Capital Charge (IRC)</w:t>
            </w:r>
            <w:r>
              <w:rPr>
                <w:sz w:val="18"/>
                <w:szCs w:val="18"/>
                <w:lang w:val="en-US"/>
              </w:rPr>
              <w:t xml:space="preserve"> under IMA</w:t>
            </w:r>
          </w:p>
        </w:tc>
        <w:tc>
          <w:tcPr>
            <w:tcW w:w="1890" w:type="dxa"/>
          </w:tcPr>
          <w:p w14:paraId="22A958FE" w14:textId="77777777" w:rsidR="00290FC4" w:rsidRPr="00613E8A" w:rsidRDefault="00290FC4" w:rsidP="00290FC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New Standardized Approach (SA) effective as of January 1, 2022</w:t>
            </w:r>
          </w:p>
        </w:tc>
      </w:tr>
      <w:tr w:rsidR="00290FC4" w:rsidRPr="00613E8A" w14:paraId="596845F0" w14:textId="77777777" w:rsidTr="00290FC4">
        <w:tc>
          <w:tcPr>
            <w:cnfStyle w:val="001000000000" w:firstRow="0" w:lastRow="0" w:firstColumn="1" w:lastColumn="0" w:oddVBand="0" w:evenVBand="0" w:oddHBand="0" w:evenHBand="0" w:firstRowFirstColumn="0" w:firstRowLastColumn="0" w:lastRowFirstColumn="0" w:lastRowLastColumn="0"/>
            <w:tcW w:w="1345" w:type="dxa"/>
          </w:tcPr>
          <w:p w14:paraId="6D9F6235" w14:textId="77777777" w:rsidR="00290FC4" w:rsidRPr="00613E8A" w:rsidRDefault="00290FC4" w:rsidP="00290FC4">
            <w:pPr>
              <w:rPr>
                <w:b w:val="0"/>
                <w:bCs w:val="0"/>
                <w:sz w:val="18"/>
                <w:szCs w:val="18"/>
              </w:rPr>
            </w:pPr>
            <w:r>
              <w:rPr>
                <w:b w:val="0"/>
                <w:bCs w:val="0"/>
                <w:sz w:val="18"/>
                <w:szCs w:val="18"/>
              </w:rPr>
              <w:t>Operational Risk</w:t>
            </w:r>
          </w:p>
        </w:tc>
        <w:tc>
          <w:tcPr>
            <w:tcW w:w="1440" w:type="dxa"/>
          </w:tcPr>
          <w:p w14:paraId="16878803" w14:textId="77777777" w:rsidR="00290FC4" w:rsidRPr="00613E8A" w:rsidRDefault="00290FC4" w:rsidP="00290FC4">
            <w:pPr>
              <w:cnfStyle w:val="000000000000" w:firstRow="0" w:lastRow="0" w:firstColumn="0" w:lastColumn="0" w:oddVBand="0" w:evenVBand="0" w:oddHBand="0" w:evenHBand="0" w:firstRowFirstColumn="0" w:firstRowLastColumn="0" w:lastRowFirstColumn="0" w:lastRowLastColumn="0"/>
              <w:rPr>
                <w:sz w:val="18"/>
                <w:szCs w:val="18"/>
              </w:rPr>
            </w:pPr>
          </w:p>
        </w:tc>
        <w:tc>
          <w:tcPr>
            <w:tcW w:w="1350" w:type="dxa"/>
          </w:tcPr>
          <w:p w14:paraId="68799F33" w14:textId="77777777" w:rsidR="00290FC4" w:rsidRPr="00613E8A" w:rsidRDefault="00290FC4" w:rsidP="00290FC4">
            <w:pPr>
              <w:cnfStyle w:val="000000000000" w:firstRow="0" w:lastRow="0" w:firstColumn="0" w:lastColumn="0" w:oddVBand="0" w:evenVBand="0" w:oddHBand="0" w:evenHBand="0" w:firstRowFirstColumn="0" w:firstRowLastColumn="0" w:lastRowFirstColumn="0" w:lastRowLastColumn="0"/>
              <w:rPr>
                <w:sz w:val="18"/>
                <w:szCs w:val="18"/>
              </w:rPr>
            </w:pPr>
          </w:p>
        </w:tc>
        <w:tc>
          <w:tcPr>
            <w:tcW w:w="1530" w:type="dxa"/>
          </w:tcPr>
          <w:p w14:paraId="1CDD45A4" w14:textId="77777777" w:rsidR="00290FC4" w:rsidRDefault="00290FC4" w:rsidP="00290FC4">
            <w:pPr>
              <w:cnfStyle w:val="000000000000" w:firstRow="0" w:lastRow="0" w:firstColumn="0" w:lastColumn="0" w:oddVBand="0" w:evenVBand="0" w:oddHBand="0" w:evenHBand="0" w:firstRowFirstColumn="0" w:firstRowLastColumn="0" w:lastRowFirstColumn="0" w:lastRowLastColumn="0"/>
              <w:rPr>
                <w:sz w:val="18"/>
                <w:szCs w:val="18"/>
                <w:lang w:val="en-US"/>
              </w:rPr>
            </w:pPr>
            <w:r w:rsidRPr="0088767C">
              <w:rPr>
                <w:sz w:val="18"/>
                <w:szCs w:val="18"/>
                <w:lang w:val="en-US"/>
              </w:rPr>
              <w:t>Basic Indicator Approach (BIA),</w:t>
            </w:r>
          </w:p>
          <w:p w14:paraId="6FC55D72" w14:textId="77777777" w:rsidR="00290FC4" w:rsidRDefault="00290FC4" w:rsidP="00290FC4">
            <w:pPr>
              <w:cnfStyle w:val="000000000000" w:firstRow="0" w:lastRow="0" w:firstColumn="0" w:lastColumn="0" w:oddVBand="0" w:evenVBand="0" w:oddHBand="0" w:evenHBand="0" w:firstRowFirstColumn="0" w:firstRowLastColumn="0" w:lastRowFirstColumn="0" w:lastRowLastColumn="0"/>
              <w:rPr>
                <w:sz w:val="18"/>
                <w:szCs w:val="18"/>
                <w:lang w:val="en-US"/>
              </w:rPr>
            </w:pPr>
            <w:r w:rsidRPr="0088767C">
              <w:rPr>
                <w:sz w:val="18"/>
                <w:szCs w:val="18"/>
                <w:lang w:val="en-US"/>
              </w:rPr>
              <w:t>Standardized Approach (SA)</w:t>
            </w:r>
            <w:r>
              <w:rPr>
                <w:sz w:val="18"/>
                <w:szCs w:val="18"/>
                <w:lang w:val="en-US"/>
              </w:rPr>
              <w:t>,</w:t>
            </w:r>
          </w:p>
          <w:p w14:paraId="019ED973" w14:textId="77777777" w:rsidR="00290FC4" w:rsidRPr="0088767C" w:rsidRDefault="00290FC4" w:rsidP="00290FC4">
            <w:pPr>
              <w:cnfStyle w:val="000000000000" w:firstRow="0" w:lastRow="0" w:firstColumn="0" w:lastColumn="0" w:oddVBand="0" w:evenVBand="0" w:oddHBand="0" w:evenHBand="0" w:firstRowFirstColumn="0" w:firstRowLastColumn="0" w:lastRowFirstColumn="0" w:lastRowLastColumn="0"/>
              <w:rPr>
                <w:sz w:val="18"/>
                <w:szCs w:val="18"/>
              </w:rPr>
            </w:pPr>
            <w:r w:rsidRPr="0088767C">
              <w:rPr>
                <w:sz w:val="18"/>
                <w:szCs w:val="18"/>
                <w:lang w:val="en-US"/>
              </w:rPr>
              <w:t>Advanced Measurement Approach (AMA)</w:t>
            </w:r>
          </w:p>
        </w:tc>
        <w:tc>
          <w:tcPr>
            <w:tcW w:w="1350" w:type="dxa"/>
          </w:tcPr>
          <w:p w14:paraId="4608CE25" w14:textId="77777777" w:rsidR="00290FC4" w:rsidRPr="00613E8A" w:rsidRDefault="00290FC4" w:rsidP="00290FC4">
            <w:pPr>
              <w:cnfStyle w:val="000000000000" w:firstRow="0" w:lastRow="0" w:firstColumn="0" w:lastColumn="0" w:oddVBand="0" w:evenVBand="0" w:oddHBand="0" w:evenHBand="0" w:firstRowFirstColumn="0" w:firstRowLastColumn="0" w:lastRowFirstColumn="0" w:lastRowLastColumn="0"/>
              <w:rPr>
                <w:sz w:val="18"/>
                <w:szCs w:val="18"/>
              </w:rPr>
            </w:pPr>
          </w:p>
        </w:tc>
        <w:tc>
          <w:tcPr>
            <w:tcW w:w="1890" w:type="dxa"/>
          </w:tcPr>
          <w:p w14:paraId="5AD93237" w14:textId="77777777" w:rsidR="00290FC4" w:rsidRPr="00613E8A" w:rsidRDefault="00290FC4" w:rsidP="00290FC4">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New Standardized Approach (SA) effective as of January 1, 2022</w:t>
            </w:r>
          </w:p>
        </w:tc>
      </w:tr>
      <w:tr w:rsidR="00290FC4" w:rsidRPr="00613E8A" w14:paraId="1D98BF4F" w14:textId="77777777" w:rsidTr="00290F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04FFFDA" w14:textId="77777777" w:rsidR="00290FC4" w:rsidRDefault="00290FC4" w:rsidP="00290FC4">
            <w:pPr>
              <w:rPr>
                <w:b w:val="0"/>
                <w:bCs w:val="0"/>
                <w:sz w:val="18"/>
                <w:szCs w:val="18"/>
              </w:rPr>
            </w:pPr>
            <w:r>
              <w:rPr>
                <w:b w:val="0"/>
                <w:bCs w:val="0"/>
                <w:sz w:val="18"/>
                <w:szCs w:val="18"/>
              </w:rPr>
              <w:t>Other aspects</w:t>
            </w:r>
          </w:p>
        </w:tc>
        <w:tc>
          <w:tcPr>
            <w:tcW w:w="1440" w:type="dxa"/>
          </w:tcPr>
          <w:p w14:paraId="681704BE" w14:textId="77777777" w:rsidR="00290FC4" w:rsidRPr="00613E8A" w:rsidRDefault="00290FC4" w:rsidP="00290FC4">
            <w:pPr>
              <w:cnfStyle w:val="000000100000" w:firstRow="0" w:lastRow="0" w:firstColumn="0" w:lastColumn="0" w:oddVBand="0" w:evenVBand="0" w:oddHBand="1" w:evenHBand="0" w:firstRowFirstColumn="0" w:firstRowLastColumn="0" w:lastRowFirstColumn="0" w:lastRowLastColumn="0"/>
              <w:rPr>
                <w:sz w:val="18"/>
                <w:szCs w:val="18"/>
              </w:rPr>
            </w:pPr>
          </w:p>
        </w:tc>
        <w:tc>
          <w:tcPr>
            <w:tcW w:w="1350" w:type="dxa"/>
          </w:tcPr>
          <w:p w14:paraId="561DCFDA" w14:textId="77777777" w:rsidR="00290FC4" w:rsidRPr="00613E8A" w:rsidRDefault="00290FC4" w:rsidP="00290FC4">
            <w:pPr>
              <w:cnfStyle w:val="000000100000" w:firstRow="0" w:lastRow="0" w:firstColumn="0" w:lastColumn="0" w:oddVBand="0" w:evenVBand="0" w:oddHBand="1" w:evenHBand="0" w:firstRowFirstColumn="0" w:firstRowLastColumn="0" w:lastRowFirstColumn="0" w:lastRowLastColumn="0"/>
              <w:rPr>
                <w:sz w:val="18"/>
                <w:szCs w:val="18"/>
              </w:rPr>
            </w:pPr>
          </w:p>
        </w:tc>
        <w:tc>
          <w:tcPr>
            <w:tcW w:w="1530" w:type="dxa"/>
          </w:tcPr>
          <w:p w14:paraId="50BBCE70" w14:textId="77777777" w:rsidR="00290FC4" w:rsidRPr="0088767C" w:rsidRDefault="00290FC4" w:rsidP="00290FC4">
            <w:pPr>
              <w:cnfStyle w:val="000000100000" w:firstRow="0" w:lastRow="0" w:firstColumn="0" w:lastColumn="0" w:oddVBand="0" w:evenVBand="0" w:oddHBand="1" w:evenHBand="0" w:firstRowFirstColumn="0" w:firstRowLastColumn="0" w:lastRowFirstColumn="0" w:lastRowLastColumn="0"/>
              <w:rPr>
                <w:sz w:val="18"/>
                <w:szCs w:val="18"/>
                <w:lang w:val="en-US"/>
              </w:rPr>
            </w:pPr>
          </w:p>
        </w:tc>
        <w:tc>
          <w:tcPr>
            <w:tcW w:w="1350" w:type="dxa"/>
          </w:tcPr>
          <w:p w14:paraId="4FEB7C46" w14:textId="77777777" w:rsidR="00290FC4" w:rsidRPr="00613E8A" w:rsidRDefault="00290FC4" w:rsidP="00290FC4">
            <w:pPr>
              <w:cnfStyle w:val="000000100000" w:firstRow="0" w:lastRow="0" w:firstColumn="0" w:lastColumn="0" w:oddVBand="0" w:evenVBand="0" w:oddHBand="1" w:evenHBand="0" w:firstRowFirstColumn="0" w:firstRowLastColumn="0" w:lastRowFirstColumn="0" w:lastRowLastColumn="0"/>
              <w:rPr>
                <w:sz w:val="18"/>
                <w:szCs w:val="18"/>
              </w:rPr>
            </w:pPr>
          </w:p>
        </w:tc>
        <w:tc>
          <w:tcPr>
            <w:tcW w:w="1890" w:type="dxa"/>
          </w:tcPr>
          <w:p w14:paraId="180B5E40" w14:textId="77777777" w:rsidR="00290FC4" w:rsidRPr="0088767C" w:rsidRDefault="00290FC4" w:rsidP="00290FC4">
            <w:pPr>
              <w:cnfStyle w:val="000000100000" w:firstRow="0" w:lastRow="0" w:firstColumn="0" w:lastColumn="0" w:oddVBand="0" w:evenVBand="0" w:oddHBand="1" w:evenHBand="0" w:firstRowFirstColumn="0" w:firstRowLastColumn="0" w:lastRowFirstColumn="0" w:lastRowLastColumn="0"/>
              <w:rPr>
                <w:sz w:val="18"/>
                <w:szCs w:val="18"/>
              </w:rPr>
            </w:pPr>
            <w:r w:rsidRPr="0088767C">
              <w:rPr>
                <w:sz w:val="18"/>
                <w:szCs w:val="18"/>
              </w:rPr>
              <w:t>Liquidity Coverage Ratio (LCR),</w:t>
            </w:r>
          </w:p>
          <w:p w14:paraId="072B8868" w14:textId="77777777" w:rsidR="00290FC4" w:rsidRPr="0088767C" w:rsidRDefault="00290FC4" w:rsidP="00290FC4">
            <w:pPr>
              <w:cnfStyle w:val="000000100000" w:firstRow="0" w:lastRow="0" w:firstColumn="0" w:lastColumn="0" w:oddVBand="0" w:evenVBand="0" w:oddHBand="1" w:evenHBand="0" w:firstRowFirstColumn="0" w:firstRowLastColumn="0" w:lastRowFirstColumn="0" w:lastRowLastColumn="0"/>
              <w:rPr>
                <w:sz w:val="18"/>
                <w:szCs w:val="18"/>
              </w:rPr>
            </w:pPr>
            <w:r w:rsidRPr="0088767C">
              <w:rPr>
                <w:sz w:val="18"/>
                <w:szCs w:val="18"/>
              </w:rPr>
              <w:t>Net Stable Funding Ratio (NSFR)</w:t>
            </w:r>
          </w:p>
          <w:p w14:paraId="2C1CB860" w14:textId="77777777" w:rsidR="00290FC4" w:rsidRPr="0088767C" w:rsidRDefault="00290FC4" w:rsidP="00290FC4">
            <w:pPr>
              <w:cnfStyle w:val="000000100000" w:firstRow="0" w:lastRow="0" w:firstColumn="0" w:lastColumn="0" w:oddVBand="0" w:evenVBand="0" w:oddHBand="1" w:evenHBand="0" w:firstRowFirstColumn="0" w:firstRowLastColumn="0" w:lastRowFirstColumn="0" w:lastRowLastColumn="0"/>
              <w:rPr>
                <w:sz w:val="18"/>
                <w:szCs w:val="18"/>
              </w:rPr>
            </w:pPr>
            <w:r w:rsidRPr="0088767C">
              <w:rPr>
                <w:sz w:val="18"/>
                <w:szCs w:val="18"/>
              </w:rPr>
              <w:t>Leverage Ratio 3%,</w:t>
            </w:r>
          </w:p>
          <w:p w14:paraId="64DA165C" w14:textId="77777777" w:rsidR="00290FC4" w:rsidRPr="0088767C" w:rsidRDefault="00290FC4" w:rsidP="00290FC4">
            <w:pPr>
              <w:cnfStyle w:val="000000100000" w:firstRow="0" w:lastRow="0" w:firstColumn="0" w:lastColumn="0" w:oddVBand="0" w:evenVBand="0" w:oddHBand="1" w:evenHBand="0" w:firstRowFirstColumn="0" w:firstRowLastColumn="0" w:lastRowFirstColumn="0" w:lastRowLastColumn="0"/>
              <w:rPr>
                <w:sz w:val="18"/>
                <w:szCs w:val="18"/>
              </w:rPr>
            </w:pPr>
            <w:r w:rsidRPr="0088767C">
              <w:rPr>
                <w:sz w:val="18"/>
                <w:szCs w:val="18"/>
              </w:rPr>
              <w:t xml:space="preserve">Leverage Buffer for G-SIBs </w:t>
            </w:r>
          </w:p>
        </w:tc>
      </w:tr>
    </w:tbl>
    <w:p w14:paraId="07F00528" w14:textId="77777777" w:rsidR="00290FC4" w:rsidRDefault="00290FC4" w:rsidP="00290FC4"/>
    <w:p w14:paraId="1E027FA3" w14:textId="77777777" w:rsidR="00290FC4" w:rsidRPr="00941CB8" w:rsidRDefault="00290FC4" w:rsidP="00941CB8">
      <w:pPr>
        <w:pStyle w:val="Heading1"/>
        <w:numPr>
          <w:ilvl w:val="0"/>
          <w:numId w:val="7"/>
        </w:numPr>
        <w:spacing w:before="120" w:after="120" w:line="288" w:lineRule="auto"/>
        <w:rPr>
          <w:sz w:val="28"/>
          <w:szCs w:val="28"/>
        </w:rPr>
      </w:pPr>
      <w:r w:rsidRPr="00941CB8">
        <w:rPr>
          <w:sz w:val="28"/>
          <w:szCs w:val="28"/>
        </w:rPr>
        <w:t>How do the Basel Accords work?</w:t>
      </w:r>
    </w:p>
    <w:p w14:paraId="60E75B37" w14:textId="46F48C1C" w:rsidR="00290FC4" w:rsidRDefault="00290FC4" w:rsidP="00941CB8">
      <w:pPr>
        <w:spacing w:before="120" w:after="120" w:line="288" w:lineRule="auto"/>
      </w:pPr>
      <w:r>
        <w:t xml:space="preserve">The Basel Accords are a financial supervisory framework built up by the Basel Committee which, as stated in its charter, has no formal supranational authority on the implementation of, or the compliance </w:t>
      </w:r>
      <w:r w:rsidR="00BC333A">
        <w:t>with,</w:t>
      </w:r>
      <w:r>
        <w:t xml:space="preserve"> the standards under the Basel Framework. The functions of the Basel Framework rely on communication and cooperation between national supervisory authorities which are the members of the BCBS. The national supervisory authorities have the </w:t>
      </w:r>
      <w:r w:rsidR="00BC333A">
        <w:t>discretion</w:t>
      </w:r>
      <w:r>
        <w:t xml:space="preserve"> to go beyond the minimum requirements stipulated under the Basel Framework. </w:t>
      </w:r>
    </w:p>
    <w:p w14:paraId="26A3465E" w14:textId="18DB2E31" w:rsidR="00290FC4" w:rsidRDefault="00290FC4" w:rsidP="00941CB8">
      <w:pPr>
        <w:spacing w:before="120" w:after="120" w:line="288" w:lineRule="auto"/>
      </w:pPr>
      <w:r>
        <w:t xml:space="preserve">The Basel Committee </w:t>
      </w:r>
      <w:r w:rsidR="00BC333A">
        <w:t>monitors</w:t>
      </w:r>
      <w:r>
        <w:t xml:space="preserve"> the adoption of regulations and standards under the Basel Framework by banks in its member countries through the Regulatory Consistency Assessment </w:t>
      </w:r>
      <w:proofErr w:type="spellStart"/>
      <w:r>
        <w:t>Programme</w:t>
      </w:r>
      <w:proofErr w:type="spellEnd"/>
      <w:r>
        <w:t xml:space="preserve"> (RCAP). </w:t>
      </w:r>
    </w:p>
    <w:p w14:paraId="60CF4183" w14:textId="77777777" w:rsidR="00290FC4" w:rsidRPr="00941CB8" w:rsidRDefault="00290FC4" w:rsidP="00941CB8">
      <w:pPr>
        <w:pStyle w:val="Heading1"/>
        <w:numPr>
          <w:ilvl w:val="0"/>
          <w:numId w:val="7"/>
        </w:numPr>
        <w:spacing w:before="120" w:after="120" w:line="288" w:lineRule="auto"/>
        <w:rPr>
          <w:sz w:val="28"/>
          <w:szCs w:val="28"/>
        </w:rPr>
      </w:pPr>
      <w:r w:rsidRPr="00941CB8">
        <w:rPr>
          <w:sz w:val="28"/>
          <w:szCs w:val="28"/>
        </w:rPr>
        <w:t>What is next?</w:t>
      </w:r>
    </w:p>
    <w:p w14:paraId="0A1135BB" w14:textId="77777777" w:rsidR="00290FC4" w:rsidRDefault="00290FC4" w:rsidP="00941CB8">
      <w:pPr>
        <w:spacing w:before="120" w:after="120" w:line="288" w:lineRule="auto"/>
      </w:pPr>
      <w:r>
        <w:t xml:space="preserve">The Basel III Reforms are responses to the global financial crises and the rebuilding of the post-crisis global financial system. Besides the imperative Pillar one – the minimum capital requirements, Pillar two – Supervisory Review and Pillar three – Market Discipline also are indispensable parts of the Basel Framework. Especially, Pillar two and Pillar three can be testaments of communication and cooperation between related stakeholders to the Basel Framework. </w:t>
      </w:r>
    </w:p>
    <w:p w14:paraId="5146F311" w14:textId="2DD03096" w:rsidR="00290FC4" w:rsidRDefault="00290FC4" w:rsidP="00941CB8">
      <w:pPr>
        <w:spacing w:before="120" w:after="120" w:line="288" w:lineRule="auto"/>
      </w:pPr>
      <w:r>
        <w:t xml:space="preserve">The Basel Committee has already started to conduct work programs on evaluation of the impact and effectiveness of its post-crisis reform framework. Financial innovation and the changes in the structure of </w:t>
      </w:r>
      <w:r w:rsidR="00BC333A">
        <w:t>the financial</w:t>
      </w:r>
      <w:r>
        <w:t xml:space="preserve"> system will never stop.  There will be another financial crisis and there will be a ‘Basel IV’ or whatever it is called in the future.</w:t>
      </w:r>
    </w:p>
    <w:p w14:paraId="4EA2877E" w14:textId="05559D57" w:rsidR="00BF1947" w:rsidRDefault="00BF1947">
      <w:pPr>
        <w:rPr>
          <w:rStyle w:val="IntenseEmphasis"/>
          <w:noProof/>
        </w:rPr>
      </w:pPr>
      <w:r>
        <w:rPr>
          <w:rStyle w:val="IntenseEmphasis"/>
        </w:rPr>
        <w:br w:type="page"/>
      </w:r>
    </w:p>
    <w:p w14:paraId="0CFFDEEC" w14:textId="06C50020" w:rsidR="0061685D" w:rsidRPr="00A558EA" w:rsidRDefault="0061685D" w:rsidP="0061685D">
      <w:pPr>
        <w:pStyle w:val="EndNoteBibliography"/>
        <w:spacing w:after="0" w:line="288" w:lineRule="auto"/>
        <w:ind w:left="720" w:hanging="720"/>
        <w:rPr>
          <w:rStyle w:val="IntenseEmphasis"/>
        </w:rPr>
      </w:pPr>
      <w:r w:rsidRPr="00A558EA">
        <w:rPr>
          <w:rStyle w:val="IntenseEmphasis"/>
        </w:rPr>
        <w:t>Reference</w:t>
      </w:r>
    </w:p>
    <w:p w14:paraId="4B9E9AA8" w14:textId="77777777" w:rsidR="00BA6FDB" w:rsidRPr="00BA6FDB" w:rsidRDefault="00D31C63" w:rsidP="00BA6FDB">
      <w:pPr>
        <w:pStyle w:val="EndNoteBibliography"/>
        <w:spacing w:after="0"/>
        <w:ind w:left="720" w:hanging="720"/>
      </w:pPr>
      <w:r w:rsidRPr="00BA6FDB">
        <w:fldChar w:fldCharType="begin"/>
      </w:r>
      <w:r w:rsidRPr="00BA6FDB">
        <w:instrText xml:space="preserve"> ADDIN EN.REFLIST </w:instrText>
      </w:r>
      <w:r w:rsidRPr="00BA6FDB">
        <w:fldChar w:fldCharType="separate"/>
      </w:r>
      <w:r w:rsidR="00BA6FDB" w:rsidRPr="00BA6FDB">
        <w:t xml:space="preserve">ARENA, M. 2008. Bank failures and bank fundamentals: A comparative analysis of Latin America and East Asia during the nineties using bank-level data. </w:t>
      </w:r>
      <w:r w:rsidR="00BA6FDB" w:rsidRPr="00BA6FDB">
        <w:rPr>
          <w:i/>
        </w:rPr>
        <w:t>Journal of Banking &amp; Finance,</w:t>
      </w:r>
      <w:r w:rsidR="00BA6FDB" w:rsidRPr="00BA6FDB">
        <w:t xml:space="preserve"> 32</w:t>
      </w:r>
      <w:r w:rsidR="00BA6FDB" w:rsidRPr="00BA6FDB">
        <w:rPr>
          <w:b/>
        </w:rPr>
        <w:t>,</w:t>
      </w:r>
      <w:r w:rsidR="00BA6FDB" w:rsidRPr="00BA6FDB">
        <w:t xml:space="preserve"> 299-310.</w:t>
      </w:r>
    </w:p>
    <w:p w14:paraId="331DC90A" w14:textId="77777777" w:rsidR="00BA6FDB" w:rsidRPr="00BA6FDB" w:rsidRDefault="00BA6FDB" w:rsidP="00BA6FDB">
      <w:pPr>
        <w:pStyle w:val="EndNoteBibliography"/>
        <w:spacing w:after="0"/>
        <w:ind w:left="720" w:hanging="720"/>
      </w:pPr>
      <w:r w:rsidRPr="00BA6FDB">
        <w:t xml:space="preserve">ATHERTON, A. &amp; NEWMAN, A. 2016. The emergence of the private entrepreneur in reform era China: re-birth of an earlier tradition, or a more recent product of development and change? </w:t>
      </w:r>
      <w:r w:rsidRPr="00BA6FDB">
        <w:rPr>
          <w:i/>
        </w:rPr>
        <w:t>Business History,</w:t>
      </w:r>
      <w:r w:rsidRPr="00BA6FDB">
        <w:t xml:space="preserve"> 58</w:t>
      </w:r>
      <w:r w:rsidRPr="00BA6FDB">
        <w:rPr>
          <w:b/>
        </w:rPr>
        <w:t>,</w:t>
      </w:r>
      <w:r w:rsidRPr="00BA6FDB">
        <w:t xml:space="preserve"> 319-344.</w:t>
      </w:r>
    </w:p>
    <w:p w14:paraId="429F87FD" w14:textId="77777777" w:rsidR="00BA6FDB" w:rsidRPr="00BA6FDB" w:rsidRDefault="00BA6FDB" w:rsidP="00BA6FDB">
      <w:pPr>
        <w:pStyle w:val="EndNoteBibliography"/>
        <w:spacing w:after="0"/>
        <w:ind w:left="720" w:hanging="720"/>
      </w:pPr>
      <w:r w:rsidRPr="00BA6FDB">
        <w:t xml:space="preserve">BARTH, J. R., CAPRIO, G. &amp; LEVINE, R. 2004. Bank regulation and supervision: what works best? </w:t>
      </w:r>
      <w:r w:rsidRPr="00BA6FDB">
        <w:rPr>
          <w:i/>
        </w:rPr>
        <w:t>Journal of Financial Intermediation,</w:t>
      </w:r>
      <w:r w:rsidRPr="00BA6FDB">
        <w:t xml:space="preserve"> 13</w:t>
      </w:r>
      <w:r w:rsidRPr="00BA6FDB">
        <w:rPr>
          <w:b/>
        </w:rPr>
        <w:t>,</w:t>
      </w:r>
      <w:r w:rsidRPr="00BA6FDB">
        <w:t xml:space="preserve"> 205-248.</w:t>
      </w:r>
    </w:p>
    <w:p w14:paraId="549DCBBD" w14:textId="77777777" w:rsidR="00BA6FDB" w:rsidRPr="00BA6FDB" w:rsidRDefault="00BA6FDB" w:rsidP="00BA6FDB">
      <w:pPr>
        <w:pStyle w:val="EndNoteBibliography"/>
        <w:spacing w:after="0"/>
        <w:ind w:left="720" w:hanging="720"/>
      </w:pPr>
      <w:r w:rsidRPr="00BA6FDB">
        <w:t>BCBS 2013. Regulatory Consistency Assessment Programme (RCAP) Assessment of Basel III Regulations - China. Basel Committee on Banking Supervision.</w:t>
      </w:r>
    </w:p>
    <w:p w14:paraId="74CDB322" w14:textId="77777777" w:rsidR="00BA6FDB" w:rsidRPr="00BA6FDB" w:rsidRDefault="00BA6FDB" w:rsidP="00BA6FDB">
      <w:pPr>
        <w:pStyle w:val="EndNoteBibliography"/>
        <w:spacing w:after="0"/>
        <w:ind w:left="720" w:hanging="720"/>
      </w:pPr>
      <w:r w:rsidRPr="00BA6FDB">
        <w:t xml:space="preserve">BERGER, A. N., HASAN, I. &amp; ZHOU, M. 2009. Bank ownership and efficiency in China: What will happen in the world’s largest nation? </w:t>
      </w:r>
      <w:r w:rsidRPr="00BA6FDB">
        <w:rPr>
          <w:i/>
        </w:rPr>
        <w:t>Journal of Banking &amp; Finance,</w:t>
      </w:r>
      <w:r w:rsidRPr="00BA6FDB">
        <w:t xml:space="preserve"> 33</w:t>
      </w:r>
      <w:r w:rsidRPr="00BA6FDB">
        <w:rPr>
          <w:b/>
        </w:rPr>
        <w:t>,</w:t>
      </w:r>
      <w:r w:rsidRPr="00BA6FDB">
        <w:t xml:space="preserve"> 113-130.</w:t>
      </w:r>
    </w:p>
    <w:p w14:paraId="5539B7D3" w14:textId="77777777" w:rsidR="00BA6FDB" w:rsidRPr="00BA6FDB" w:rsidRDefault="00BA6FDB" w:rsidP="00BA6FDB">
      <w:pPr>
        <w:pStyle w:val="EndNoteBibliography"/>
        <w:spacing w:after="0"/>
        <w:ind w:left="720" w:hanging="720"/>
      </w:pPr>
      <w:r w:rsidRPr="00BA6FDB">
        <w:t xml:space="preserve">BERGER, A. N., HASAN, I. &amp; ZHOU, M. 2010. The effects of focus versus diversification on bank performance: Evidence from Chinese banks. </w:t>
      </w:r>
      <w:r w:rsidRPr="00BA6FDB">
        <w:rPr>
          <w:i/>
        </w:rPr>
        <w:t>Journal of Banking &amp; Finance,</w:t>
      </w:r>
      <w:r w:rsidRPr="00BA6FDB">
        <w:t xml:space="preserve"> 34</w:t>
      </w:r>
      <w:r w:rsidRPr="00BA6FDB">
        <w:rPr>
          <w:b/>
        </w:rPr>
        <w:t>,</w:t>
      </w:r>
      <w:r w:rsidRPr="00BA6FDB">
        <w:t xml:space="preserve"> 1417-1435.</w:t>
      </w:r>
    </w:p>
    <w:p w14:paraId="231B7F1A" w14:textId="77777777" w:rsidR="00BA6FDB" w:rsidRPr="00BA6FDB" w:rsidRDefault="00BA6FDB" w:rsidP="00BA6FDB">
      <w:pPr>
        <w:pStyle w:val="EndNoteBibliography"/>
        <w:spacing w:after="0"/>
        <w:ind w:left="720" w:hanging="720"/>
      </w:pPr>
      <w:r w:rsidRPr="00BA6FDB">
        <w:t xml:space="preserve">BERGER, A. N., MOLYNEUX, P. &amp; WILSON, J. O. S. 2017. </w:t>
      </w:r>
      <w:r w:rsidRPr="00BA6FDB">
        <w:rPr>
          <w:i/>
        </w:rPr>
        <w:t>The Oxford handbook of banking</w:t>
      </w:r>
      <w:r w:rsidRPr="00BA6FDB">
        <w:t>.</w:t>
      </w:r>
    </w:p>
    <w:p w14:paraId="0F118149" w14:textId="77777777" w:rsidR="00BA6FDB" w:rsidRPr="00BA6FDB" w:rsidRDefault="00BA6FDB" w:rsidP="00BA6FDB">
      <w:pPr>
        <w:pStyle w:val="EndNoteBibliography"/>
        <w:spacing w:after="0"/>
        <w:ind w:left="720" w:hanging="720"/>
      </w:pPr>
      <w:r w:rsidRPr="00BA6FDB">
        <w:t xml:space="preserve">BITAR, M., PUKTHUANTHONG, K. &amp; WALKER, T. 2018. The effect of capital ratios on the risk, efficiency and profitability of banks: Evidence from OECD countries. </w:t>
      </w:r>
      <w:r w:rsidRPr="00BA6FDB">
        <w:rPr>
          <w:i/>
        </w:rPr>
        <w:t>Journal of International Financial Markets, Institutions and Money,</w:t>
      </w:r>
      <w:r w:rsidRPr="00BA6FDB">
        <w:t xml:space="preserve"> 53</w:t>
      </w:r>
      <w:r w:rsidRPr="00BA6FDB">
        <w:rPr>
          <w:b/>
        </w:rPr>
        <w:t>,</w:t>
      </w:r>
      <w:r w:rsidRPr="00BA6FDB">
        <w:t xml:space="preserve"> 227-262.</w:t>
      </w:r>
    </w:p>
    <w:p w14:paraId="1744B783" w14:textId="77777777" w:rsidR="00BA6FDB" w:rsidRPr="00BA6FDB" w:rsidRDefault="00BA6FDB" w:rsidP="00BA6FDB">
      <w:pPr>
        <w:pStyle w:val="EndNoteBibliography"/>
        <w:spacing w:after="0"/>
        <w:ind w:left="720" w:hanging="720"/>
      </w:pPr>
      <w:r w:rsidRPr="00BA6FDB">
        <w:t xml:space="preserve">BOUSSEMART, J.-P., LELEU, H., SHEN, Z., VARDANYAN, M. &amp; ZHU, N. 2019. Decomposing banking performance into economic and credit risk efficiencies. </w:t>
      </w:r>
      <w:r w:rsidRPr="00BA6FDB">
        <w:rPr>
          <w:i/>
        </w:rPr>
        <w:t>European Journal of Operational Research,</w:t>
      </w:r>
      <w:r w:rsidRPr="00BA6FDB">
        <w:t xml:space="preserve"> 277</w:t>
      </w:r>
      <w:r w:rsidRPr="00BA6FDB">
        <w:rPr>
          <w:b/>
        </w:rPr>
        <w:t>,</w:t>
      </w:r>
      <w:r w:rsidRPr="00BA6FDB">
        <w:t xml:space="preserve"> 719-726.</w:t>
      </w:r>
    </w:p>
    <w:p w14:paraId="4EC24815" w14:textId="77777777" w:rsidR="00BA6FDB" w:rsidRPr="00BA6FDB" w:rsidRDefault="00BA6FDB" w:rsidP="00BA6FDB">
      <w:pPr>
        <w:pStyle w:val="EndNoteBibliography"/>
        <w:spacing w:after="0"/>
        <w:ind w:left="720" w:hanging="720"/>
      </w:pPr>
      <w:r w:rsidRPr="00BA6FDB">
        <w:t xml:space="preserve">DEMIRGÜÇ-KUNT, A. &amp; HUIZINGA, H. 2010. Bank activity and funding strategies: The impact on risk and returns. </w:t>
      </w:r>
      <w:r w:rsidRPr="00BA6FDB">
        <w:rPr>
          <w:i/>
        </w:rPr>
        <w:t>Journal of Financial Economics,</w:t>
      </w:r>
      <w:r w:rsidRPr="00BA6FDB">
        <w:t xml:space="preserve"> 98</w:t>
      </w:r>
      <w:r w:rsidRPr="00BA6FDB">
        <w:rPr>
          <w:b/>
        </w:rPr>
        <w:t>,</w:t>
      </w:r>
      <w:r w:rsidRPr="00BA6FDB">
        <w:t xml:space="preserve"> 626-650.</w:t>
      </w:r>
    </w:p>
    <w:p w14:paraId="7D0AAB52" w14:textId="77777777" w:rsidR="00BA6FDB" w:rsidRPr="00BA6FDB" w:rsidRDefault="00BA6FDB" w:rsidP="00BA6FDB">
      <w:pPr>
        <w:pStyle w:val="EndNoteBibliography"/>
        <w:spacing w:after="0"/>
        <w:ind w:left="720" w:hanging="720"/>
      </w:pPr>
      <w:r w:rsidRPr="00BA6FDB">
        <w:t xml:space="preserve">DONG, Y., GIRARDONE, C. &amp; KUO, J.-M. 2017. Governance, efficiency and risk taking in Chinese banking. </w:t>
      </w:r>
      <w:r w:rsidRPr="00BA6FDB">
        <w:rPr>
          <w:i/>
        </w:rPr>
        <w:t>The British Accounting Review,</w:t>
      </w:r>
      <w:r w:rsidRPr="00BA6FDB">
        <w:t xml:space="preserve"> 49</w:t>
      </w:r>
      <w:r w:rsidRPr="00BA6FDB">
        <w:rPr>
          <w:b/>
        </w:rPr>
        <w:t>,</w:t>
      </w:r>
      <w:r w:rsidRPr="00BA6FDB">
        <w:t xml:space="preserve"> 211-229.</w:t>
      </w:r>
    </w:p>
    <w:p w14:paraId="28DD7B17" w14:textId="77777777" w:rsidR="00BA6FDB" w:rsidRPr="00BA6FDB" w:rsidRDefault="00BA6FDB" w:rsidP="00BA6FDB">
      <w:pPr>
        <w:pStyle w:val="EndNoteBibliography"/>
        <w:spacing w:after="0"/>
        <w:ind w:left="720" w:hanging="720"/>
      </w:pPr>
      <w:r w:rsidRPr="00BA6FDB">
        <w:t xml:space="preserve">DOUMPOS, M., GAGANIS, C. &amp; PASIOURAS, F. 2015. Central bank independence, financial supervision structure and bank soundness: An empirical analysis around the crisis. </w:t>
      </w:r>
      <w:r w:rsidRPr="00BA6FDB">
        <w:rPr>
          <w:i/>
        </w:rPr>
        <w:t>Journal of Banking &amp; Finance,</w:t>
      </w:r>
      <w:r w:rsidRPr="00BA6FDB">
        <w:t xml:space="preserve"> 61</w:t>
      </w:r>
      <w:r w:rsidRPr="00BA6FDB">
        <w:rPr>
          <w:b/>
        </w:rPr>
        <w:t>,</w:t>
      </w:r>
      <w:r w:rsidRPr="00BA6FDB">
        <w:t xml:space="preserve"> S69-S83.</w:t>
      </w:r>
    </w:p>
    <w:p w14:paraId="3716E034" w14:textId="77777777" w:rsidR="00BA6FDB" w:rsidRPr="00BA6FDB" w:rsidRDefault="00BA6FDB" w:rsidP="00BA6FDB">
      <w:pPr>
        <w:pStyle w:val="EndNoteBibliography"/>
        <w:spacing w:after="0"/>
        <w:ind w:left="720" w:hanging="720"/>
      </w:pPr>
      <w:r w:rsidRPr="00BA6FDB">
        <w:t>FSB 2019. Global Monitoring Report on Non-Bank Financial Intermediation 2018. Financial Stability Board.</w:t>
      </w:r>
    </w:p>
    <w:p w14:paraId="44A15F43" w14:textId="77777777" w:rsidR="00BA6FDB" w:rsidRPr="00BA6FDB" w:rsidRDefault="00BA6FDB" w:rsidP="00BA6FDB">
      <w:pPr>
        <w:pStyle w:val="EndNoteBibliography"/>
        <w:spacing w:after="0"/>
        <w:ind w:left="720" w:hanging="720"/>
      </w:pPr>
      <w:r w:rsidRPr="00BA6FDB">
        <w:t>FSB 2020. Global Monitoring Report on Non-Banking Financial Intermediation. Financial Stability Board.</w:t>
      </w:r>
    </w:p>
    <w:p w14:paraId="40E4CC6F" w14:textId="77777777" w:rsidR="00BA6FDB" w:rsidRPr="00BA6FDB" w:rsidRDefault="00BA6FDB" w:rsidP="00BA6FDB">
      <w:pPr>
        <w:pStyle w:val="EndNoteBibliography"/>
        <w:spacing w:after="0"/>
        <w:ind w:left="720" w:hanging="720"/>
      </w:pPr>
      <w:r w:rsidRPr="00BA6FDB">
        <w:t xml:space="preserve">FU, X., LIN, Y. &amp; MOLYNEUX, P. 2014a. Bank competition and financial stability in Asia Pacific. </w:t>
      </w:r>
      <w:r w:rsidRPr="00BA6FDB">
        <w:rPr>
          <w:i/>
        </w:rPr>
        <w:t>Journal of Banking &amp; Finance,</w:t>
      </w:r>
      <w:r w:rsidRPr="00BA6FDB">
        <w:t xml:space="preserve"> 38</w:t>
      </w:r>
      <w:r w:rsidRPr="00BA6FDB">
        <w:rPr>
          <w:b/>
        </w:rPr>
        <w:t>,</w:t>
      </w:r>
      <w:r w:rsidRPr="00BA6FDB">
        <w:t xml:space="preserve"> 64-77.</w:t>
      </w:r>
    </w:p>
    <w:p w14:paraId="2F845708" w14:textId="77777777" w:rsidR="00BA6FDB" w:rsidRPr="00BA6FDB" w:rsidRDefault="00BA6FDB" w:rsidP="00BA6FDB">
      <w:pPr>
        <w:pStyle w:val="EndNoteBibliography"/>
        <w:spacing w:after="0"/>
        <w:ind w:left="720" w:hanging="720"/>
      </w:pPr>
      <w:r w:rsidRPr="00BA6FDB">
        <w:t xml:space="preserve">FU, X., LIN, Y. &amp; MOLYNEUX, P. 2014b. Bank efficiency and shareholder value in Asia Pacific. </w:t>
      </w:r>
      <w:r w:rsidRPr="00BA6FDB">
        <w:rPr>
          <w:i/>
        </w:rPr>
        <w:t>Journal of International Financial Markets, Institutions and Money,</w:t>
      </w:r>
      <w:r w:rsidRPr="00BA6FDB">
        <w:t xml:space="preserve"> 33</w:t>
      </w:r>
      <w:r w:rsidRPr="00BA6FDB">
        <w:rPr>
          <w:b/>
        </w:rPr>
        <w:t>,</w:t>
      </w:r>
      <w:r w:rsidRPr="00BA6FDB">
        <w:t xml:space="preserve"> 200-222.</w:t>
      </w:r>
    </w:p>
    <w:p w14:paraId="6F0A14C2" w14:textId="77777777" w:rsidR="00BA6FDB" w:rsidRPr="00BA6FDB" w:rsidRDefault="00BA6FDB" w:rsidP="00BA6FDB">
      <w:pPr>
        <w:pStyle w:val="EndNoteBibliography"/>
        <w:spacing w:after="0"/>
        <w:ind w:left="720" w:hanging="720"/>
      </w:pPr>
      <w:r w:rsidRPr="00BA6FDB">
        <w:t xml:space="preserve">GUNTHER, J. W. &amp; MOORE, R. R. 2003. Early warning models in real time. </w:t>
      </w:r>
      <w:r w:rsidRPr="00BA6FDB">
        <w:rPr>
          <w:i/>
        </w:rPr>
        <w:t>Journal of Banking &amp; Finance,</w:t>
      </w:r>
      <w:r w:rsidRPr="00BA6FDB">
        <w:t xml:space="preserve"> 27</w:t>
      </w:r>
      <w:r w:rsidRPr="00BA6FDB">
        <w:rPr>
          <w:b/>
        </w:rPr>
        <w:t>,</w:t>
      </w:r>
      <w:r w:rsidRPr="00BA6FDB">
        <w:t xml:space="preserve"> 1979-2001.</w:t>
      </w:r>
    </w:p>
    <w:p w14:paraId="1E2AC366" w14:textId="77777777" w:rsidR="00BA6FDB" w:rsidRPr="00BA6FDB" w:rsidRDefault="00BA6FDB" w:rsidP="00BA6FDB">
      <w:pPr>
        <w:pStyle w:val="EndNoteBibliography"/>
        <w:spacing w:after="0"/>
        <w:ind w:left="720" w:hanging="720"/>
      </w:pPr>
      <w:r w:rsidRPr="00BA6FDB">
        <w:t xml:space="preserve">HERRING, R. &amp; CARMASSI, J. 2008. The Structure of Cross-Sector Financial Supervision. </w:t>
      </w:r>
      <w:r w:rsidRPr="00BA6FDB">
        <w:rPr>
          <w:i/>
        </w:rPr>
        <w:t>Financial Markets, Institutions &amp; Instruments,</w:t>
      </w:r>
      <w:r w:rsidRPr="00BA6FDB">
        <w:t xml:space="preserve"> 17</w:t>
      </w:r>
      <w:r w:rsidRPr="00BA6FDB">
        <w:rPr>
          <w:b/>
        </w:rPr>
        <w:t>,</w:t>
      </w:r>
      <w:r w:rsidRPr="00BA6FDB">
        <w:t xml:space="preserve"> 51-76.</w:t>
      </w:r>
    </w:p>
    <w:p w14:paraId="5C1824BD" w14:textId="77777777" w:rsidR="00BA6FDB" w:rsidRPr="00BA6FDB" w:rsidRDefault="00BA6FDB" w:rsidP="00BA6FDB">
      <w:pPr>
        <w:pStyle w:val="EndNoteBibliography"/>
        <w:spacing w:after="0"/>
        <w:ind w:left="720" w:hanging="720"/>
      </w:pPr>
      <w:r w:rsidRPr="00BA6FDB">
        <w:t xml:space="preserve">HIRTLE, B. J. &amp; STIROH, K. J. 2007. The return to retail and the performance of US banks. </w:t>
      </w:r>
      <w:r w:rsidRPr="00BA6FDB">
        <w:rPr>
          <w:i/>
        </w:rPr>
        <w:t>Journal of Banking &amp; Finance,</w:t>
      </w:r>
      <w:r w:rsidRPr="00BA6FDB">
        <w:t xml:space="preserve"> 31</w:t>
      </w:r>
      <w:r w:rsidRPr="00BA6FDB">
        <w:rPr>
          <w:b/>
        </w:rPr>
        <w:t>,</w:t>
      </w:r>
      <w:r w:rsidRPr="00BA6FDB">
        <w:t xml:space="preserve"> 1101-1133.</w:t>
      </w:r>
    </w:p>
    <w:p w14:paraId="3E3D889D" w14:textId="77777777" w:rsidR="00BA6FDB" w:rsidRPr="00BA6FDB" w:rsidRDefault="00BA6FDB" w:rsidP="00BA6FDB">
      <w:pPr>
        <w:pStyle w:val="EndNoteBibliography"/>
        <w:spacing w:after="0"/>
        <w:ind w:left="720" w:hanging="720"/>
      </w:pPr>
      <w:r w:rsidRPr="00BA6FDB">
        <w:t xml:space="preserve">HSIAO, C., SHEN, Y. &amp; BIAN, W. 2015. Evaluating the effectiveness of China's financial reform—The efficiency of China's domestic banks. </w:t>
      </w:r>
      <w:r w:rsidRPr="00BA6FDB">
        <w:rPr>
          <w:i/>
        </w:rPr>
        <w:t>China Economic Review,</w:t>
      </w:r>
      <w:r w:rsidRPr="00BA6FDB">
        <w:t xml:space="preserve"> 35</w:t>
      </w:r>
      <w:r w:rsidRPr="00BA6FDB">
        <w:rPr>
          <w:b/>
        </w:rPr>
        <w:t>,</w:t>
      </w:r>
      <w:r w:rsidRPr="00BA6FDB">
        <w:t xml:space="preserve"> 70-82.</w:t>
      </w:r>
    </w:p>
    <w:p w14:paraId="21740A04" w14:textId="77777777" w:rsidR="00BA6FDB" w:rsidRPr="00BA6FDB" w:rsidRDefault="00BA6FDB" w:rsidP="00BA6FDB">
      <w:pPr>
        <w:pStyle w:val="EndNoteBibliography"/>
        <w:spacing w:after="0"/>
        <w:ind w:left="720" w:hanging="720"/>
      </w:pPr>
      <w:r w:rsidRPr="00BA6FDB">
        <w:t xml:space="preserve">HUANG, Q., DE HAAN, J. &amp; SCHOLTENS, B. 2019. Analysing Systemic Risk in the Chinese Banking System. </w:t>
      </w:r>
      <w:r w:rsidRPr="00BA6FDB">
        <w:rPr>
          <w:i/>
        </w:rPr>
        <w:t>Pacific Economic Review,</w:t>
      </w:r>
      <w:r w:rsidRPr="00BA6FDB">
        <w:t xml:space="preserve"> 24</w:t>
      </w:r>
      <w:r w:rsidRPr="00BA6FDB">
        <w:rPr>
          <w:b/>
        </w:rPr>
        <w:t>,</w:t>
      </w:r>
      <w:r w:rsidRPr="00BA6FDB">
        <w:t xml:space="preserve"> 348-372.</w:t>
      </w:r>
    </w:p>
    <w:p w14:paraId="6BDF2886" w14:textId="77777777" w:rsidR="00BA6FDB" w:rsidRPr="00BA6FDB" w:rsidRDefault="00BA6FDB" w:rsidP="00BA6FDB">
      <w:pPr>
        <w:pStyle w:val="EndNoteBibliography"/>
        <w:spacing w:after="0"/>
        <w:ind w:left="720" w:hanging="720"/>
      </w:pPr>
      <w:r w:rsidRPr="00BA6FDB">
        <w:t xml:space="preserve">JIANG, C., YAO, S. &amp; ZHANG, Z. 2009. The effects of governance changes on bank efficiency in China: A stochastic distance function approach. </w:t>
      </w:r>
      <w:r w:rsidRPr="00BA6FDB">
        <w:rPr>
          <w:i/>
        </w:rPr>
        <w:t>China Economic Review,</w:t>
      </w:r>
      <w:r w:rsidRPr="00BA6FDB">
        <w:t xml:space="preserve"> 20</w:t>
      </w:r>
      <w:r w:rsidRPr="00BA6FDB">
        <w:rPr>
          <w:b/>
        </w:rPr>
        <w:t>,</w:t>
      </w:r>
      <w:r w:rsidRPr="00BA6FDB">
        <w:t xml:space="preserve"> 717-731.</w:t>
      </w:r>
    </w:p>
    <w:p w14:paraId="4DC6EEFB" w14:textId="77777777" w:rsidR="00BA6FDB" w:rsidRPr="00BA6FDB" w:rsidRDefault="00BA6FDB" w:rsidP="00BA6FDB">
      <w:pPr>
        <w:pStyle w:val="EndNoteBibliography"/>
        <w:spacing w:after="0"/>
        <w:ind w:left="720" w:hanging="720"/>
      </w:pPr>
      <w:r w:rsidRPr="00BA6FDB">
        <w:t xml:space="preserve">LEE, C.-C., NING, S.-L. &amp; LEE, C.-C. 2015. How does Bank Capital Affect Bank Profitability and Risk? Evidence from China's WTO Accession. </w:t>
      </w:r>
      <w:r w:rsidRPr="00BA6FDB">
        <w:rPr>
          <w:i/>
        </w:rPr>
        <w:t>China &amp; World Economy,</w:t>
      </w:r>
      <w:r w:rsidRPr="00BA6FDB">
        <w:t xml:space="preserve"> 23</w:t>
      </w:r>
      <w:r w:rsidRPr="00BA6FDB">
        <w:rPr>
          <w:b/>
        </w:rPr>
        <w:t>,</w:t>
      </w:r>
      <w:r w:rsidRPr="00BA6FDB">
        <w:t xml:space="preserve"> 19-39.</w:t>
      </w:r>
    </w:p>
    <w:p w14:paraId="7D18D826" w14:textId="77777777" w:rsidR="00BA6FDB" w:rsidRPr="00BA6FDB" w:rsidRDefault="00BA6FDB" w:rsidP="00BA6FDB">
      <w:pPr>
        <w:pStyle w:val="EndNoteBibliography"/>
        <w:spacing w:after="0"/>
        <w:ind w:left="720" w:hanging="720"/>
      </w:pPr>
      <w:r w:rsidRPr="00BA6FDB">
        <w:t xml:space="preserve">LIN, E. M. H., SUN, E. W. &amp; YU, M.-T. 2018. Systemic risk, financial markets, and performance of financial institutions. </w:t>
      </w:r>
      <w:r w:rsidRPr="00BA6FDB">
        <w:rPr>
          <w:i/>
        </w:rPr>
        <w:t>Annals of Operations Research,</w:t>
      </w:r>
      <w:r w:rsidRPr="00BA6FDB">
        <w:t xml:space="preserve"> 262</w:t>
      </w:r>
      <w:r w:rsidRPr="00BA6FDB">
        <w:rPr>
          <w:b/>
        </w:rPr>
        <w:t>,</w:t>
      </w:r>
      <w:r w:rsidRPr="00BA6FDB">
        <w:t xml:space="preserve"> 579-603.</w:t>
      </w:r>
    </w:p>
    <w:p w14:paraId="641DEA13" w14:textId="77777777" w:rsidR="00BA6FDB" w:rsidRPr="00BA6FDB" w:rsidRDefault="00BA6FDB" w:rsidP="00BA6FDB">
      <w:pPr>
        <w:pStyle w:val="EndNoteBibliography"/>
        <w:spacing w:after="0"/>
        <w:ind w:left="720" w:hanging="720"/>
      </w:pPr>
      <w:r w:rsidRPr="00BA6FDB">
        <w:t xml:space="preserve">LIN, K.-L., DOAN, A. T. &amp; DOONG, S.-C. 2016. Changes in ownership structure and bank efficiency in Asian developing countries: The role of financial freedom. </w:t>
      </w:r>
      <w:r w:rsidRPr="00BA6FDB">
        <w:rPr>
          <w:i/>
        </w:rPr>
        <w:t>International Review of Economics &amp; Finance,</w:t>
      </w:r>
      <w:r w:rsidRPr="00BA6FDB">
        <w:t xml:space="preserve"> 43</w:t>
      </w:r>
      <w:r w:rsidRPr="00BA6FDB">
        <w:rPr>
          <w:b/>
        </w:rPr>
        <w:t>,</w:t>
      </w:r>
      <w:r w:rsidRPr="00BA6FDB">
        <w:t xml:space="preserve"> 19-34.</w:t>
      </w:r>
    </w:p>
    <w:p w14:paraId="7EF950FD" w14:textId="77777777" w:rsidR="00BA6FDB" w:rsidRPr="00BA6FDB" w:rsidRDefault="00BA6FDB" w:rsidP="00BA6FDB">
      <w:pPr>
        <w:pStyle w:val="EndNoteBibliography"/>
        <w:spacing w:after="0"/>
        <w:ind w:left="720" w:hanging="720"/>
      </w:pPr>
      <w:r w:rsidRPr="00BA6FDB">
        <w:t>LIN, K. J., LU, X., ZHANG, J. &amp; ZHENG, Y. 2020. State-owned enterprises in China: A review of 40</w:t>
      </w:r>
      <w:r w:rsidRPr="00BA6FDB">
        <w:rPr>
          <w:rFonts w:ascii="Times New Roman" w:hAnsi="Times New Roman" w:cs="Times New Roman"/>
        </w:rPr>
        <w:t> </w:t>
      </w:r>
      <w:r w:rsidRPr="00BA6FDB">
        <w:t xml:space="preserve">years of research and practice. </w:t>
      </w:r>
      <w:r w:rsidRPr="00BA6FDB">
        <w:rPr>
          <w:i/>
        </w:rPr>
        <w:t>China Journal of Accounting Research,</w:t>
      </w:r>
      <w:r w:rsidRPr="00BA6FDB">
        <w:t xml:space="preserve"> 13</w:t>
      </w:r>
      <w:r w:rsidRPr="00BA6FDB">
        <w:rPr>
          <w:b/>
        </w:rPr>
        <w:t>,</w:t>
      </w:r>
      <w:r w:rsidRPr="00BA6FDB">
        <w:t xml:space="preserve"> 31-55.</w:t>
      </w:r>
    </w:p>
    <w:p w14:paraId="3F872249" w14:textId="77777777" w:rsidR="00BA6FDB" w:rsidRPr="00BA6FDB" w:rsidRDefault="00BA6FDB" w:rsidP="00BA6FDB">
      <w:pPr>
        <w:pStyle w:val="EndNoteBibliography"/>
        <w:spacing w:after="0"/>
        <w:ind w:left="720" w:hanging="720"/>
      </w:pPr>
      <w:r w:rsidRPr="00BA6FDB">
        <w:t xml:space="preserve">NGUYEN, T. P. T., NGHIEM, S. H., ROCA, E. &amp; SHARMA, P. 2016. Efficiency, innovation and competition: evidence from Vietnam, China and India. </w:t>
      </w:r>
      <w:r w:rsidRPr="00BA6FDB">
        <w:rPr>
          <w:i/>
        </w:rPr>
        <w:t>Empirical Economics,</w:t>
      </w:r>
      <w:r w:rsidRPr="00BA6FDB">
        <w:t xml:space="preserve"> 51</w:t>
      </w:r>
      <w:r w:rsidRPr="00BA6FDB">
        <w:rPr>
          <w:b/>
        </w:rPr>
        <w:t>,</w:t>
      </w:r>
      <w:r w:rsidRPr="00BA6FDB">
        <w:t xml:space="preserve"> 1235-1259.</w:t>
      </w:r>
    </w:p>
    <w:p w14:paraId="7B5F4C94" w14:textId="77777777" w:rsidR="00BA6FDB" w:rsidRPr="00BA6FDB" w:rsidRDefault="00BA6FDB" w:rsidP="00BA6FDB">
      <w:pPr>
        <w:pStyle w:val="EndNoteBibliography"/>
        <w:spacing w:after="0"/>
        <w:ind w:left="720" w:hanging="720"/>
      </w:pPr>
      <w:r w:rsidRPr="00BA6FDB">
        <w:t xml:space="preserve">SHABAN, M. &amp; JAMES, G. A. 2018. The effects of ownership change on bank performance and risk exposure: Evidence from indonesia. </w:t>
      </w:r>
      <w:r w:rsidRPr="00BA6FDB">
        <w:rPr>
          <w:i/>
        </w:rPr>
        <w:t>Journal of Banking &amp; Finance,</w:t>
      </w:r>
      <w:r w:rsidRPr="00BA6FDB">
        <w:t xml:space="preserve"> 88</w:t>
      </w:r>
      <w:r w:rsidRPr="00BA6FDB">
        <w:rPr>
          <w:b/>
        </w:rPr>
        <w:t>,</w:t>
      </w:r>
      <w:r w:rsidRPr="00BA6FDB">
        <w:t xml:space="preserve"> 483-497.</w:t>
      </w:r>
    </w:p>
    <w:p w14:paraId="2C81118C" w14:textId="77777777" w:rsidR="00BA6FDB" w:rsidRPr="00BA6FDB" w:rsidRDefault="00BA6FDB" w:rsidP="00BA6FDB">
      <w:pPr>
        <w:pStyle w:val="EndNoteBibliography"/>
        <w:spacing w:after="0"/>
        <w:ind w:left="720" w:hanging="720"/>
      </w:pPr>
      <w:r w:rsidRPr="00BA6FDB">
        <w:t xml:space="preserve">WANG, K., HUANG, W., WU, J. &amp; LIU, Y.-N. 2014. Efficiency measures of the Chinese commercial banking system using an additive two-stage DEA. </w:t>
      </w:r>
      <w:r w:rsidRPr="00BA6FDB">
        <w:rPr>
          <w:i/>
        </w:rPr>
        <w:t>Omega,</w:t>
      </w:r>
      <w:r w:rsidRPr="00BA6FDB">
        <w:t xml:space="preserve"> 44</w:t>
      </w:r>
      <w:r w:rsidRPr="00BA6FDB">
        <w:rPr>
          <w:b/>
        </w:rPr>
        <w:t>,</w:t>
      </w:r>
      <w:r w:rsidRPr="00BA6FDB">
        <w:t xml:space="preserve"> 5-20.</w:t>
      </w:r>
    </w:p>
    <w:p w14:paraId="65C18237" w14:textId="208CC476" w:rsidR="00BA6FDB" w:rsidRPr="00BA6FDB" w:rsidRDefault="00BA6FDB" w:rsidP="00BA6FDB">
      <w:pPr>
        <w:pStyle w:val="EndNoteBibliography"/>
        <w:spacing w:after="0"/>
        <w:ind w:left="720" w:hanging="720"/>
      </w:pPr>
      <w:r w:rsidRPr="00BA6FDB">
        <w:t xml:space="preserve">YUAN, W. 2006. Corporate Banking in China: History, Opportunities, and Challenges. </w:t>
      </w:r>
      <w:hyperlink r:id="rId50" w:history="1">
        <w:r w:rsidRPr="00BA6FDB">
          <w:rPr>
            <w:rStyle w:val="Hyperlink"/>
          </w:rPr>
          <w:t>www.celent.com/insights</w:t>
        </w:r>
      </w:hyperlink>
      <w:r w:rsidRPr="00BA6FDB">
        <w:t>.</w:t>
      </w:r>
    </w:p>
    <w:p w14:paraId="67692D23" w14:textId="77777777" w:rsidR="00BA6FDB" w:rsidRPr="00BA6FDB" w:rsidRDefault="00BA6FDB" w:rsidP="00BA6FDB">
      <w:pPr>
        <w:pStyle w:val="EndNoteBibliography"/>
        <w:spacing w:after="0"/>
        <w:ind w:left="720" w:hanging="720"/>
      </w:pPr>
      <w:r w:rsidRPr="00BA6FDB">
        <w:t xml:space="preserve">ZHANG, D., CAI, J., DICKINSON, D. G. &amp; KUTAN, A. M. 2016. Non-performing loans, moral hazard and regulation of the Chinese commercial banking system. </w:t>
      </w:r>
      <w:r w:rsidRPr="00BA6FDB">
        <w:rPr>
          <w:i/>
        </w:rPr>
        <w:t>Journal of Banking &amp; Finance,</w:t>
      </w:r>
      <w:r w:rsidRPr="00BA6FDB">
        <w:t xml:space="preserve"> 63</w:t>
      </w:r>
      <w:r w:rsidRPr="00BA6FDB">
        <w:rPr>
          <w:b/>
        </w:rPr>
        <w:t>,</w:t>
      </w:r>
      <w:r w:rsidRPr="00BA6FDB">
        <w:t xml:space="preserve"> 48-60.</w:t>
      </w:r>
    </w:p>
    <w:p w14:paraId="39EB6036" w14:textId="77777777" w:rsidR="00BA6FDB" w:rsidRPr="00BA6FDB" w:rsidRDefault="00BA6FDB" w:rsidP="00BA6FDB">
      <w:pPr>
        <w:pStyle w:val="EndNoteBibliography"/>
        <w:spacing w:after="0"/>
        <w:ind w:left="720" w:hanging="720"/>
      </w:pPr>
      <w:r w:rsidRPr="00BA6FDB">
        <w:t xml:space="preserve">ZHANG, D., CAI, J., LIU, J. &amp; KUTAN, A. M. 2018. Real estate investments and financial stability: evidence from regional commercial banks in China. </w:t>
      </w:r>
      <w:r w:rsidRPr="00BA6FDB">
        <w:rPr>
          <w:i/>
        </w:rPr>
        <w:t>The European Journal of Finance,</w:t>
      </w:r>
      <w:r w:rsidRPr="00BA6FDB">
        <w:t xml:space="preserve"> 24</w:t>
      </w:r>
      <w:r w:rsidRPr="00BA6FDB">
        <w:rPr>
          <w:b/>
        </w:rPr>
        <w:t>,</w:t>
      </w:r>
      <w:r w:rsidRPr="00BA6FDB">
        <w:t xml:space="preserve"> 1388-1408.</w:t>
      </w:r>
    </w:p>
    <w:p w14:paraId="31784DD4" w14:textId="77777777" w:rsidR="00BA6FDB" w:rsidRPr="00BA6FDB" w:rsidRDefault="00BA6FDB" w:rsidP="00BA6FDB">
      <w:pPr>
        <w:pStyle w:val="EndNoteBibliography"/>
        <w:ind w:left="720" w:hanging="720"/>
      </w:pPr>
      <w:r w:rsidRPr="00BA6FDB">
        <w:t xml:space="preserve">ZHANG, J., JIANG, C., QU, B. &amp; WANG, P. 2013. Market concentration, risk-taking, and bank performance: Evidence from emerging economies. </w:t>
      </w:r>
      <w:r w:rsidRPr="00BA6FDB">
        <w:rPr>
          <w:i/>
        </w:rPr>
        <w:t>International Review of Financial Analysis,</w:t>
      </w:r>
      <w:r w:rsidRPr="00BA6FDB">
        <w:t xml:space="preserve"> 30</w:t>
      </w:r>
      <w:r w:rsidRPr="00BA6FDB">
        <w:rPr>
          <w:b/>
        </w:rPr>
        <w:t>,</w:t>
      </w:r>
      <w:r w:rsidRPr="00BA6FDB">
        <w:t xml:space="preserve"> 149-157.</w:t>
      </w:r>
    </w:p>
    <w:p w14:paraId="577DB6E2" w14:textId="29D141FD" w:rsidR="00BA6FDB" w:rsidRPr="00BA6FDB" w:rsidRDefault="00D31C63" w:rsidP="00941CB8">
      <w:pPr>
        <w:rPr>
          <w:rFonts w:ascii="Segoe UI" w:hAnsi="Segoe UI" w:cs="Segoe UI"/>
        </w:rPr>
      </w:pPr>
      <w:r w:rsidRPr="00BA6FDB">
        <w:fldChar w:fldCharType="end"/>
      </w:r>
      <w:r w:rsidR="00BA6FDB" w:rsidRPr="00BA6FDB">
        <w:fldChar w:fldCharType="begin"/>
      </w:r>
      <w:r w:rsidR="00BA6FDB" w:rsidRPr="00BA6FDB">
        <w:instrText xml:space="preserve"> ADDIN EN.CITE &lt;EndNote&gt;&lt;Cite Hidden="1"&gt;&lt;Author&gt;Nguyen&lt;/Author&gt;&lt;Year&gt;2016&lt;/Year&gt;&lt;RecNum&gt;162&lt;/RecNum&gt;&lt;record&gt;&lt;rec-number&gt;162&lt;/rec-number&gt;&lt;foreign-keys&gt;&lt;key app="EN" db-id="tewxv52070srvlesdv5x5srafe0w5fspwe2v" timestamp="1598779613"&gt;162&lt;/key&gt;&lt;/foreign-keys&gt;&lt;ref-type name="Journal Article"&gt;17&lt;/ref-type&gt;&lt;contributors&gt;&lt;authors&gt;&lt;author&gt;Nguyen, Thanh Pham Thien&lt;/author&gt;&lt;author&gt;Nghiem, Son Hong&lt;/author&gt;&lt;author&gt;Roca, Eduardo&lt;/author&gt;&lt;author&gt;Sharma, Parmendra&lt;/author&gt;&lt;/authors&gt;&lt;/contributors&gt;&lt;titles&gt;&lt;title&gt;Efficiency, innovation and competition: evidence from Vietnam, China and India&lt;/title&gt;&lt;secondary-title&gt;Empirical Economics&lt;/secondary-title&gt;&lt;/titles&gt;&lt;periodical&gt;&lt;full-title&gt;Empirical Economics&lt;/full-title&gt;&lt;/periodical&gt;&lt;pages&gt;1235-1259&lt;/pages&gt;&lt;volume&gt;51&lt;/volume&gt;&lt;number&gt;3&lt;/number&gt;&lt;dates&gt;&lt;year&gt;2016&lt;/year&gt;&lt;pub-dates&gt;&lt;date&gt;2016/11/01&lt;/date&gt;&lt;/pub-dates&gt;&lt;/dates&gt;&lt;isbn&gt;1435-8921&lt;/isbn&gt;&lt;urls&gt;&lt;related-urls&gt;&lt;url&gt;https://doi.org/10.1007/s00181-015-1045-5&lt;/url&gt;&lt;/related-urls&gt;&lt;/urls&gt;&lt;electronic-resource-num&gt;10.1007/s00181-015-1045-5&lt;/electronic-resource-num&gt;&lt;/record&gt;&lt;/Cite&gt;&lt;/EndNote&gt;</w:instrText>
      </w:r>
      <w:r w:rsidR="00BA6FDB" w:rsidRPr="00BA6FDB">
        <w:fldChar w:fldCharType="end"/>
      </w:r>
      <w:r w:rsidR="00941CB8" w:rsidRPr="00BA6FDB">
        <w:rPr>
          <w:rFonts w:ascii="Segoe UI" w:hAnsi="Segoe UI" w:cs="Segoe UI"/>
        </w:rPr>
        <w:t xml:space="preserve"> </w:t>
      </w:r>
      <w:r w:rsidR="00BA6FDB" w:rsidRPr="00BA6FDB">
        <w:rPr>
          <w:rFonts w:ascii="Segoe UI" w:hAnsi="Segoe UI" w:cs="Segoe UI"/>
        </w:rPr>
        <w:fldChar w:fldCharType="begin">
          <w:fldData xml:space="preserve">PEVuZE5vdGU+PENpdGUgSGlkZGVuPSIxIj48QXV0aG9yPkxpbjwvQXV0aG9yPjxZZWFyPjIwMTg8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</w:fldData>
        </w:fldChar>
      </w:r>
      <w:r w:rsidR="00BA6FDB" w:rsidRPr="00BA6FDB">
        <w:rPr>
          <w:rFonts w:ascii="Segoe UI" w:hAnsi="Segoe UI" w:cs="Segoe UI"/>
        </w:rPr>
        <w:instrText xml:space="preserve"> ADDIN EN.CITE </w:instrText>
      </w:r>
      <w:r w:rsidR="00BA6FDB" w:rsidRPr="00BA6FDB">
        <w:rPr>
          <w:rFonts w:ascii="Segoe UI" w:hAnsi="Segoe UI" w:cs="Segoe UI"/>
        </w:rPr>
        <w:fldChar w:fldCharType="begin">
          <w:fldData xml:space="preserve">PEVuZE5vdGU+PENpdGUgSGlkZGVuPSIxIj48QXV0aG9yPkxpbjwvQXV0aG9yPjxZZWFyPjIwMTg8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</w:fldData>
        </w:fldChar>
      </w:r>
      <w:r w:rsidR="00BA6FDB" w:rsidRPr="00BA6FDB">
        <w:rPr>
          <w:rFonts w:ascii="Segoe UI" w:hAnsi="Segoe UI" w:cs="Segoe UI"/>
        </w:rPr>
        <w:instrText xml:space="preserve"> ADDIN EN.CITE.DATA </w:instrText>
      </w:r>
      <w:r w:rsidR="00BA6FDB" w:rsidRPr="00BA6FDB">
        <w:rPr>
          <w:rFonts w:ascii="Segoe UI" w:hAnsi="Segoe UI" w:cs="Segoe UI"/>
        </w:rPr>
      </w:r>
      <w:r w:rsidR="00BA6FDB" w:rsidRPr="00BA6FDB">
        <w:rPr>
          <w:rFonts w:ascii="Segoe UI" w:hAnsi="Segoe UI" w:cs="Segoe UI"/>
        </w:rPr>
        <w:fldChar w:fldCharType="end"/>
      </w:r>
      <w:r w:rsidR="00BA6FDB" w:rsidRPr="00BA6FDB">
        <w:rPr>
          <w:rFonts w:ascii="Segoe UI" w:hAnsi="Segoe UI" w:cs="Segoe UI"/>
        </w:rPr>
      </w:r>
      <w:r w:rsidR="00BA6FDB" w:rsidRPr="00BA6FDB">
        <w:rPr>
          <w:rFonts w:ascii="Segoe UI" w:hAnsi="Segoe UI" w:cs="Segoe UI"/>
        </w:rPr>
        <w:fldChar w:fldCharType="end"/>
      </w:r>
    </w:p>
    <w:sectPr w:rsidR="00BA6FDB" w:rsidRPr="00BA6FDB" w:rsidSect="008664B1">
      <w:pgSz w:w="12240" w:h="15840" w:code="1"/>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1" w:author="Veronica ZHANG" w:date="2020-01-09T12:49:00Z" w:initials="VZ">
    <w:p w14:paraId="03471304" w14:textId="77777777" w:rsidR="00E10EE6" w:rsidRDefault="00E10EE6" w:rsidP="00311624">
      <w:pPr>
        <w:pStyle w:val="CommentText"/>
      </w:pPr>
      <w:r>
        <w:rPr>
          <w:rStyle w:val="CommentReference"/>
        </w:rPr>
        <w:annotationRef/>
      </w:r>
      <w:r>
        <w:t xml:space="preserve">This ‘other financial institution’ is a quote from the founding law of the CBIRC. There is no detailed explanation in that legal document. I figure it means that any institutions as long as absorbing public deposits are their core business. Other forms of financial institutions such as asset management companies, trusts and financial lease companies are mentioned after this quote. </w:t>
      </w:r>
    </w:p>
  </w:comment>
  <w:comment w:id="57" w:author="Veronica ZHANG" w:date="2020-07-19T21:48:00Z" w:initials="VZ">
    <w:p w14:paraId="1C289FA4" w14:textId="5D8129D2" w:rsidR="00E10EE6" w:rsidRDefault="00E10EE6">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3471304" w15:done="0"/>
  <w15:commentEx w15:paraId="1C289FA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2BF3E24" w16cex:dateUtc="2020-07-19T20: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3471304" w16cid:durableId="21C19FD2"/>
  <w16cid:commentId w16cid:paraId="1C289FA4" w16cid:durableId="22BF3E2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94C6E1" w14:textId="77777777" w:rsidR="008664B1" w:rsidRDefault="008664B1" w:rsidP="008D7E90">
      <w:pPr>
        <w:spacing w:after="0" w:line="240" w:lineRule="auto"/>
      </w:pPr>
      <w:r>
        <w:separator/>
      </w:r>
    </w:p>
  </w:endnote>
  <w:endnote w:type="continuationSeparator" w:id="0">
    <w:p w14:paraId="5BEA3E6D" w14:textId="77777777" w:rsidR="008664B1" w:rsidRDefault="008664B1" w:rsidP="008D7E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8607012"/>
      <w:docPartObj>
        <w:docPartGallery w:val="Page Numbers (Bottom of Page)"/>
        <w:docPartUnique/>
      </w:docPartObj>
    </w:sdtPr>
    <w:sdtContent>
      <w:sdt>
        <w:sdtPr>
          <w:id w:val="1728636285"/>
          <w:docPartObj>
            <w:docPartGallery w:val="Page Numbers (Top of Page)"/>
            <w:docPartUnique/>
          </w:docPartObj>
        </w:sdtPr>
        <w:sdtContent>
          <w:p w14:paraId="3D3A6947" w14:textId="77FBF9C3" w:rsidR="00E10EE6" w:rsidRDefault="00E10EE6">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17D307A" w14:textId="77777777" w:rsidR="00E10EE6" w:rsidRDefault="00E10E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66D42C" w14:textId="77777777" w:rsidR="008664B1" w:rsidRDefault="008664B1" w:rsidP="008D7E90">
      <w:pPr>
        <w:spacing w:after="0" w:line="240" w:lineRule="auto"/>
      </w:pPr>
      <w:r>
        <w:separator/>
      </w:r>
    </w:p>
  </w:footnote>
  <w:footnote w:type="continuationSeparator" w:id="0">
    <w:p w14:paraId="7C992D71" w14:textId="77777777" w:rsidR="008664B1" w:rsidRDefault="008664B1" w:rsidP="008D7E90">
      <w:pPr>
        <w:spacing w:after="0" w:line="240" w:lineRule="auto"/>
      </w:pPr>
      <w:r>
        <w:continuationSeparator/>
      </w:r>
    </w:p>
  </w:footnote>
  <w:footnote w:id="1">
    <w:p w14:paraId="4EFD3876" w14:textId="58882672" w:rsidR="00E10EE6" w:rsidRDefault="00E10EE6">
      <w:pPr>
        <w:pStyle w:val="FootnoteText"/>
      </w:pPr>
      <w:r>
        <w:rPr>
          <w:rStyle w:val="FootnoteReference"/>
        </w:rPr>
        <w:footnoteRef/>
      </w:r>
      <w:r>
        <w:t xml:space="preserve"> See China Statistical Yearbook </w:t>
      </w:r>
      <w:hyperlink r:id="rId1" w:history="1">
        <w:r>
          <w:rPr>
            <w:rStyle w:val="Hyperlink"/>
          </w:rPr>
          <w:t>http://www.stats.gov.cn/tjsj/ndsj/2019/indexch.htm</w:t>
        </w:r>
      </w:hyperlink>
    </w:p>
  </w:footnote>
  <w:footnote w:id="2">
    <w:p w14:paraId="6328F544" w14:textId="63471106" w:rsidR="00E10EE6" w:rsidRDefault="00E10EE6">
      <w:pPr>
        <w:pStyle w:val="FootnoteText"/>
      </w:pPr>
      <w:r>
        <w:rPr>
          <w:rStyle w:val="FootnoteReference"/>
        </w:rPr>
        <w:footnoteRef/>
      </w:r>
      <w:r>
        <w:t xml:space="preserve"> See Statistical Communique of the People’s Republic of China on 2019 National Economic and Social Development </w:t>
      </w:r>
      <w:hyperlink r:id="rId2" w:history="1">
        <w:r>
          <w:rPr>
            <w:rStyle w:val="Hyperlink"/>
          </w:rPr>
          <w:t>http://www.stats.gov.cn/english/PressRelease/202002/t20200228_1728917.html</w:t>
        </w:r>
      </w:hyperlink>
    </w:p>
  </w:footnote>
  <w:footnote w:id="3">
    <w:p w14:paraId="6FB3475C" w14:textId="7BD45F9C" w:rsidR="00E10EE6" w:rsidRDefault="00E10EE6">
      <w:pPr>
        <w:pStyle w:val="FootnoteText"/>
      </w:pPr>
      <w:r>
        <w:rPr>
          <w:rStyle w:val="FootnoteReference"/>
        </w:rPr>
        <w:footnoteRef/>
      </w:r>
      <w:r>
        <w:t xml:space="preserve"> See GDP ranking on the World Bank Database </w:t>
      </w:r>
      <w:r w:rsidRPr="007F7B6B">
        <w:t>https://data.worldbank.org/indicator/NY.GDP.MKTP.CD?end=2010&amp;most_recent_value_desc=true&amp;start=1960&amp;view=chart</w:t>
      </w:r>
    </w:p>
  </w:footnote>
  <w:footnote w:id="4">
    <w:p w14:paraId="6D614192" w14:textId="77777777" w:rsidR="00E10EE6" w:rsidRDefault="00E10EE6" w:rsidP="00DC03A0">
      <w:pPr>
        <w:pStyle w:val="FootnoteText"/>
      </w:pPr>
      <w:r>
        <w:rPr>
          <w:rStyle w:val="FootnoteReference"/>
        </w:rPr>
        <w:footnoteRef/>
      </w:r>
      <w:r>
        <w:t xml:space="preserve"> For detailed history of the People’s Bank of China, see the official webpage of the PBOC </w:t>
      </w:r>
      <w:hyperlink r:id="rId3" w:history="1">
        <w:r>
          <w:rPr>
            <w:rStyle w:val="Hyperlink"/>
          </w:rPr>
          <w:t>http://www.pbc.gov.cn/rmyh/105226/105433/index.html</w:t>
        </w:r>
      </w:hyperlink>
    </w:p>
  </w:footnote>
  <w:footnote w:id="5">
    <w:p w14:paraId="4992C5DD" w14:textId="34CBC0AA" w:rsidR="00E10EE6" w:rsidRDefault="00E10EE6">
      <w:pPr>
        <w:pStyle w:val="FootnoteText"/>
      </w:pPr>
      <w:r>
        <w:rPr>
          <w:rStyle w:val="FootnoteReference"/>
        </w:rPr>
        <w:footnoteRef/>
      </w:r>
      <w:r>
        <w:t xml:space="preserve"> See the case of Bank of Communications  </w:t>
      </w:r>
    </w:p>
  </w:footnote>
  <w:footnote w:id="6">
    <w:p w14:paraId="6781393E" w14:textId="22503206" w:rsidR="00E10EE6" w:rsidRDefault="00E10EE6">
      <w:pPr>
        <w:pStyle w:val="FootnoteText"/>
      </w:pPr>
      <w:r>
        <w:rPr>
          <w:rStyle w:val="FootnoteReference"/>
        </w:rPr>
        <w:footnoteRef/>
      </w:r>
      <w:r>
        <w:t xml:space="preserve"> Bank of Communications was founded in 1908 during the Qing Dynasty. The bank was dismantled and its business was taken over by the Big Four after 1949. In 1987, Bank of Communication was resumed and performed banking business again.   </w:t>
      </w:r>
    </w:p>
  </w:footnote>
  <w:footnote w:id="7">
    <w:p w14:paraId="541D0CCD" w14:textId="5F5382BF" w:rsidR="00E10EE6" w:rsidRDefault="00E10EE6">
      <w:pPr>
        <w:pStyle w:val="FootnoteText"/>
      </w:pPr>
      <w:r>
        <w:rPr>
          <w:rStyle w:val="FootnoteReference"/>
        </w:rPr>
        <w:footnoteRef/>
      </w:r>
      <w:r>
        <w:t xml:space="preserve"> The People’s Insurance Company was existed before 1949. Therefore, the company was re-established in the early 1990’s. </w:t>
      </w:r>
    </w:p>
  </w:footnote>
  <w:footnote w:id="8">
    <w:p w14:paraId="5F15D849" w14:textId="30067F20" w:rsidR="00E10EE6" w:rsidRPr="002E12DF" w:rsidRDefault="00E10EE6">
      <w:pPr>
        <w:pStyle w:val="FootnoteText"/>
      </w:pPr>
      <w:r>
        <w:rPr>
          <w:rStyle w:val="FootnoteReference"/>
        </w:rPr>
        <w:footnoteRef/>
      </w:r>
      <w:r>
        <w:t xml:space="preserve"> </w:t>
      </w:r>
      <w:r>
        <w:rPr>
          <w:rFonts w:hint="eastAsia"/>
        </w:rPr>
        <w:t>Spe</w:t>
      </w:r>
      <w:r>
        <w:t>cial Economic Zones: a form of Free Ports in China where companies may benefit from tariff allowances and exemption. Chinese government designated the first four Special Eco</w:t>
      </w:r>
      <w:r>
        <w:rPr>
          <w:rFonts w:hint="eastAsia"/>
        </w:rPr>
        <w:t>no</w:t>
      </w:r>
      <w:r>
        <w:t xml:space="preserve">mic Zones – Shenzhen, Xiamen, Shantou, and Hainan Province – in order to encourage foreign investments and improve economy and technology by the end of 1980’s. More details may be found in  </w:t>
      </w:r>
      <w:hyperlink r:id="rId4" w:history="1">
        <w:r w:rsidRPr="00AB3D90">
          <w:rPr>
            <w:rStyle w:val="Hyperlink"/>
          </w:rPr>
          <w:t>http://www.npc.gov.cn/npc/c9757/200904/8e461e2ba405480697185186122812d4.shtml</w:t>
        </w:r>
      </w:hyperlink>
      <w:r>
        <w:t xml:space="preserve"> </w:t>
      </w:r>
    </w:p>
  </w:footnote>
  <w:footnote w:id="9">
    <w:p w14:paraId="480C55F6" w14:textId="77777777" w:rsidR="00E10EE6" w:rsidRDefault="00E10EE6" w:rsidP="0061685D">
      <w:pPr>
        <w:pStyle w:val="FootnoteText"/>
      </w:pPr>
      <w:r>
        <w:rPr>
          <w:rStyle w:val="FootnoteReference"/>
        </w:rPr>
        <w:footnoteRef/>
      </w:r>
      <w:r>
        <w:t xml:space="preserve"> Four state-owned asset management companies: China Huarong Asset Management Co., Ltd., </w:t>
      </w:r>
      <w:r>
        <w:rPr>
          <w:rFonts w:hint="eastAsia"/>
        </w:rPr>
        <w:t>China</w:t>
      </w:r>
      <w:r>
        <w:t xml:space="preserve"> Great Wall Asset Management Co., Ltd., China Cinda Asset Management Co., Ltd., and China Orient Asset Management Co., Ltd. </w:t>
      </w:r>
    </w:p>
  </w:footnote>
  <w:footnote w:id="10">
    <w:p w14:paraId="1EAB7325" w14:textId="4A225BA1" w:rsidR="00E10EE6" w:rsidRDefault="00E10EE6">
      <w:pPr>
        <w:pStyle w:val="FootnoteText"/>
      </w:pPr>
      <w:r>
        <w:rPr>
          <w:rStyle w:val="FootnoteReference"/>
        </w:rPr>
        <w:footnoteRef/>
      </w:r>
      <w:r>
        <w:t xml:space="preserve"> National banks: commercial banks which have nationwide branches with no geographical constrains. </w:t>
      </w:r>
    </w:p>
  </w:footnote>
  <w:footnote w:id="11">
    <w:p w14:paraId="67E240F0" w14:textId="718926E7" w:rsidR="00E10EE6" w:rsidRDefault="00E10EE6">
      <w:pPr>
        <w:pStyle w:val="FootnoteText"/>
      </w:pPr>
      <w:r>
        <w:rPr>
          <w:rStyle w:val="FootnoteReference"/>
        </w:rPr>
        <w:footnoteRef/>
      </w:r>
      <w:r>
        <w:t xml:space="preserve"> Joint-Stock banks: commercial banks which shares are held by institutional investors, mainly local treasury bureaus  and other enterprises. </w:t>
      </w:r>
    </w:p>
  </w:footnote>
  <w:footnote w:id="12">
    <w:p w14:paraId="1C4A8939" w14:textId="77777777" w:rsidR="00E10EE6" w:rsidRDefault="00E10EE6" w:rsidP="0061685D">
      <w:pPr>
        <w:pStyle w:val="FootnoteText"/>
      </w:pPr>
      <w:r>
        <w:rPr>
          <w:rStyle w:val="FootnoteReference"/>
        </w:rPr>
        <w:footnoteRef/>
      </w:r>
      <w:r>
        <w:t xml:space="preserve"> For details, see the PBOC website </w:t>
      </w:r>
      <w:hyperlink r:id="rId5" w:history="1">
        <w:r w:rsidRPr="00AC62FB">
          <w:rPr>
            <w:rStyle w:val="Hyperlink"/>
          </w:rPr>
          <w:t>http://www.pbc.gov.cn/tiaofasi/144941/144953/2817226/index.html</w:t>
        </w:r>
      </w:hyperlink>
    </w:p>
  </w:footnote>
  <w:footnote w:id="13">
    <w:p w14:paraId="7139EF2C" w14:textId="505F016C" w:rsidR="00E10EE6" w:rsidRPr="003B2DDC" w:rsidRDefault="00E10EE6">
      <w:pPr>
        <w:pStyle w:val="FootnoteText"/>
      </w:pPr>
      <w:r>
        <w:rPr>
          <w:rStyle w:val="FootnoteReference"/>
        </w:rPr>
        <w:footnoteRef/>
      </w:r>
      <w:r>
        <w:t xml:space="preserve"> Shanghai Pudong District: an area similar to the Special Trade Zones where foreign companies have tariff and other benefits; officially designated as China (Shanghai) Pilot Free Trade Zone in 2013. For more details, see </w:t>
      </w:r>
      <w:hyperlink r:id="rId6" w:history="1">
        <w:r>
          <w:rPr>
            <w:rStyle w:val="Hyperlink"/>
          </w:rPr>
          <w:t>http://www.gov.cn/zhengce/content/2015-04/20/content_9631.htm</w:t>
        </w:r>
      </w:hyperlink>
      <w:r w:rsidR="005C59CF">
        <w:rPr>
          <w:rStyle w:val="Hyperlink"/>
          <w:rFonts w:hint="eastAsia"/>
        </w:rPr>
        <w:t>l</w:t>
      </w:r>
    </w:p>
  </w:footnote>
  <w:footnote w:id="14">
    <w:p w14:paraId="727F14CA" w14:textId="77777777" w:rsidR="00E10EE6" w:rsidRDefault="00E10EE6" w:rsidP="0061685D">
      <w:pPr>
        <w:pStyle w:val="FootnoteText"/>
      </w:pPr>
      <w:r>
        <w:rPr>
          <w:rStyle w:val="FootnoteReference"/>
        </w:rPr>
        <w:footnoteRef/>
      </w:r>
      <w:r>
        <w:t xml:space="preserve"> In 2018, the China Banking Regulatory Commission (CBRC) consolidated the China Insurance Regulatory Commission (CIRC) into a new regulatory authority - The China Banking and Insurance Regulatory Commission (CBIRC). </w:t>
      </w:r>
    </w:p>
  </w:footnote>
  <w:footnote w:id="15">
    <w:p w14:paraId="104D755C" w14:textId="77777777" w:rsidR="00E10EE6" w:rsidRDefault="00E10EE6" w:rsidP="0061685D">
      <w:pPr>
        <w:pStyle w:val="FootnoteText"/>
      </w:pPr>
      <w:r>
        <w:rPr>
          <w:rStyle w:val="FootnoteReference"/>
        </w:rPr>
        <w:footnoteRef/>
      </w:r>
      <w:r>
        <w:t xml:space="preserve"> For detailed information, see Central Huijin website </w:t>
      </w:r>
      <w:hyperlink r:id="rId7" w:history="1">
        <w:r>
          <w:rPr>
            <w:rStyle w:val="Hyperlink"/>
          </w:rPr>
          <w:t>http://www.huijin-inv.cn/huijineng/About_Us/index.shtml</w:t>
        </w:r>
      </w:hyperlink>
    </w:p>
  </w:footnote>
  <w:footnote w:id="16">
    <w:p w14:paraId="0EE26337" w14:textId="6D904EB8" w:rsidR="00E10EE6" w:rsidRDefault="00E10EE6">
      <w:pPr>
        <w:pStyle w:val="FootnoteText"/>
      </w:pPr>
      <w:r>
        <w:rPr>
          <w:rStyle w:val="FootnoteReference"/>
        </w:rPr>
        <w:footnoteRef/>
      </w:r>
      <w:r>
        <w:t xml:space="preserve"> </w:t>
      </w:r>
      <w:hyperlink r:id="rId8" w:history="1">
        <w:r>
          <w:rPr>
            <w:rStyle w:val="Hyperlink"/>
          </w:rPr>
          <w:t>http://www.cbirc.gov.cn/cn/view/pages/ItemDetail.html?docId=890465&amp;itemId=954&amp;generaltype=0</w:t>
        </w:r>
      </w:hyperlink>
      <w:r>
        <w:t xml:space="preserve"> </w:t>
      </w:r>
    </w:p>
  </w:footnote>
  <w:footnote w:id="17">
    <w:p w14:paraId="59ED57BC" w14:textId="0DB43972" w:rsidR="00E10EE6" w:rsidRDefault="00E10EE6">
      <w:pPr>
        <w:pStyle w:val="FootnoteText"/>
      </w:pPr>
      <w:r>
        <w:rPr>
          <w:rStyle w:val="FootnoteReference"/>
        </w:rPr>
        <w:footnoteRef/>
      </w:r>
      <w:r>
        <w:t xml:space="preserve"> See regulatory document </w:t>
      </w:r>
      <w:hyperlink r:id="rId9" w:history="1">
        <w:r>
          <w:rPr>
            <w:rStyle w:val="Hyperlink"/>
          </w:rPr>
          <w:t>http://www.pbc.gov.cn/bangongting/135485/135495/135499/2833472/index.html</w:t>
        </w:r>
      </w:hyperlink>
    </w:p>
  </w:footnote>
  <w:footnote w:id="18">
    <w:p w14:paraId="7AA10040" w14:textId="76822392" w:rsidR="00E10EE6" w:rsidRPr="003703BE" w:rsidRDefault="00E10EE6">
      <w:pPr>
        <w:pStyle w:val="FootnoteText"/>
      </w:pPr>
      <w:r>
        <w:rPr>
          <w:rStyle w:val="FootnoteReference"/>
        </w:rPr>
        <w:footnoteRef/>
      </w:r>
      <w:r>
        <w:t xml:space="preserve"> A rural cooperative bank is a transitional structure of a rural financial institution which are smaller than a rural commercial bank in size and has the similar membership feature as a rural credit cooperative. </w:t>
      </w:r>
    </w:p>
  </w:footnote>
  <w:footnote w:id="19">
    <w:p w14:paraId="27F2830A" w14:textId="77777777" w:rsidR="00E10EE6" w:rsidRDefault="00E10EE6" w:rsidP="0061685D">
      <w:pPr>
        <w:pStyle w:val="FootnoteText"/>
      </w:pPr>
      <w:r>
        <w:rPr>
          <w:rStyle w:val="FootnoteReference"/>
        </w:rPr>
        <w:footnoteRef/>
      </w:r>
      <w:r>
        <w:t xml:space="preserve"> Foreign banking entities entail foreign bank branches, foreign bank subsidiaries and foreign joint-stock banks. </w:t>
      </w:r>
    </w:p>
  </w:footnote>
  <w:footnote w:id="20">
    <w:p w14:paraId="482A7B09" w14:textId="24C55692" w:rsidR="00E10EE6" w:rsidRDefault="00E10EE6">
      <w:pPr>
        <w:pStyle w:val="FootnoteText"/>
      </w:pPr>
      <w:r>
        <w:rPr>
          <w:rStyle w:val="FootnoteReference"/>
        </w:rPr>
        <w:footnoteRef/>
      </w:r>
      <w:r>
        <w:t xml:space="preserve"> The data come from the individual banks’ annual financial reports. </w:t>
      </w:r>
    </w:p>
  </w:footnote>
  <w:footnote w:id="21">
    <w:p w14:paraId="04BBB868" w14:textId="14EBEDC8" w:rsidR="00E10EE6" w:rsidRDefault="00E10EE6">
      <w:pPr>
        <w:pStyle w:val="FootnoteText"/>
      </w:pPr>
      <w:r>
        <w:rPr>
          <w:rStyle w:val="FootnoteReference"/>
        </w:rPr>
        <w:footnoteRef/>
      </w:r>
      <w:r>
        <w:t xml:space="preserve"> The data come from the CBIRC annual report in 2006 and manual computation. </w:t>
      </w:r>
    </w:p>
  </w:footnote>
  <w:footnote w:id="22">
    <w:p w14:paraId="68878755" w14:textId="189E4BB0" w:rsidR="00E10EE6" w:rsidRDefault="00E10EE6">
      <w:pPr>
        <w:pStyle w:val="FootnoteText"/>
      </w:pPr>
      <w:r>
        <w:rPr>
          <w:rStyle w:val="FootnoteReference"/>
        </w:rPr>
        <w:footnoteRef/>
      </w:r>
      <w:r>
        <w:t xml:space="preserve"> See appendix 3 for detailed information</w:t>
      </w:r>
    </w:p>
  </w:footnote>
  <w:footnote w:id="23">
    <w:p w14:paraId="1D99EEAD" w14:textId="77777777" w:rsidR="00E10EE6" w:rsidRDefault="00E10EE6" w:rsidP="0061685D">
      <w:pPr>
        <w:pStyle w:val="FootnoteText"/>
      </w:pPr>
      <w:r>
        <w:rPr>
          <w:rStyle w:val="FootnoteReference"/>
        </w:rPr>
        <w:footnoteRef/>
      </w:r>
      <w:r>
        <w:t xml:space="preserve"> Five private joint-stock commercial banks: Kincheng Bank of Tianjin Co., Ltd., Shanghai Huarui Bank Co., Ltd., Zhejiang E-Commerce Bank Co., Ltd., Myshare Bank of Wenzhou Co., Ltd., Shenzhen Qianhai WeBank Co., Ltd.</w:t>
      </w:r>
    </w:p>
  </w:footnote>
  <w:footnote w:id="24">
    <w:p w14:paraId="4FA47D69" w14:textId="4B20B0CC" w:rsidR="00E10EE6" w:rsidRPr="003627FE" w:rsidRDefault="00E10EE6">
      <w:pPr>
        <w:pStyle w:val="FootnoteText"/>
      </w:pPr>
      <w:r>
        <w:rPr>
          <w:rStyle w:val="FootnoteReference"/>
        </w:rPr>
        <w:footnoteRef/>
      </w:r>
      <w:r>
        <w:t xml:space="preserve"> According to ‘the Law of the People’s Republic of China on the Promotion of Small and Medium Enterprises’, small and medium enterprises should submit application to the government to define whether they are small and medium enterprises. Generally, enterprises which have revenue under $70,000 USD (RMB 500,000 Yuan) can be defined as micro enterprises. Enterprises which have revenue between $70,000 USD - $700,000 USD can be defined as Small enterprises. </w:t>
      </w:r>
    </w:p>
  </w:footnote>
  <w:footnote w:id="25">
    <w:p w14:paraId="356626BC" w14:textId="77777777" w:rsidR="00E10EE6" w:rsidRDefault="00E10EE6" w:rsidP="0061685D">
      <w:pPr>
        <w:pStyle w:val="FootnoteText"/>
      </w:pPr>
      <w:r>
        <w:rPr>
          <w:rStyle w:val="FootnoteReference"/>
        </w:rPr>
        <w:footnoteRef/>
      </w:r>
      <w:r>
        <w:t xml:space="preserve"> The 2006 ‘Regulation of the People’s Republic of China governing foreign financial institutions’ itself was an amended version of the original 1994 ‘Regulation of the People’s Republic of China governing foreign financial institutions.</w:t>
      </w:r>
    </w:p>
  </w:footnote>
  <w:footnote w:id="26">
    <w:p w14:paraId="6458E9C4" w14:textId="7AF5F4AE" w:rsidR="00E10EE6" w:rsidRDefault="00E10EE6">
      <w:pPr>
        <w:pStyle w:val="FootnoteText"/>
      </w:pPr>
      <w:r>
        <w:rPr>
          <w:rStyle w:val="FootnoteReference"/>
        </w:rPr>
        <w:footnoteRef/>
      </w:r>
      <w:r>
        <w:t xml:space="preserve"> See appendix 3 for detailed information. </w:t>
      </w:r>
    </w:p>
  </w:footnote>
  <w:footnote w:id="27">
    <w:p w14:paraId="58B13A39" w14:textId="77777777" w:rsidR="00E10EE6" w:rsidRPr="00E204F3" w:rsidRDefault="00E10EE6" w:rsidP="00311624">
      <w:pPr>
        <w:pStyle w:val="Footer"/>
        <w:rPr>
          <w:sz w:val="20"/>
          <w:szCs w:val="20"/>
        </w:rPr>
      </w:pPr>
      <w:r w:rsidRPr="00E204F3">
        <w:rPr>
          <w:rStyle w:val="FootnoteReference"/>
          <w:sz w:val="20"/>
          <w:szCs w:val="20"/>
        </w:rPr>
        <w:footnoteRef/>
      </w:r>
      <w:r w:rsidRPr="00E204F3">
        <w:rPr>
          <w:sz w:val="20"/>
          <w:szCs w:val="20"/>
        </w:rPr>
        <w:t xml:space="preserve"> See the website of the People’s Bank of China </w:t>
      </w:r>
      <w:hyperlink r:id="rId10" w:history="1">
        <w:r w:rsidRPr="00E204F3">
          <w:rPr>
            <w:rStyle w:val="Hyperlink"/>
            <w:sz w:val="20"/>
            <w:szCs w:val="20"/>
          </w:rPr>
          <w:t>http://www.pbc.gov.cn/rmyh/105226/105433/index.html</w:t>
        </w:r>
      </w:hyperlink>
    </w:p>
    <w:p w14:paraId="22137846" w14:textId="77777777" w:rsidR="00E10EE6" w:rsidRPr="00E204F3" w:rsidRDefault="00E10EE6" w:rsidP="00311624">
      <w:pPr>
        <w:pStyle w:val="FootnoteText"/>
      </w:pPr>
    </w:p>
  </w:footnote>
  <w:footnote w:id="28">
    <w:p w14:paraId="5FF9DE8F" w14:textId="77777777" w:rsidR="00E10EE6" w:rsidRPr="00E204F3" w:rsidRDefault="00E10EE6" w:rsidP="00311624">
      <w:pPr>
        <w:pStyle w:val="FootnoteText"/>
      </w:pPr>
      <w:r w:rsidRPr="00E204F3">
        <w:rPr>
          <w:rStyle w:val="FootnoteReference"/>
        </w:rPr>
        <w:footnoteRef/>
      </w:r>
      <w:r w:rsidRPr="00E204F3">
        <w:t xml:space="preserve"> See the official document of the National People’s Congress ‘About China Banking Regulatory Commission Decision of supervision and management duties originally performed by the People’s Bank of China’ </w:t>
      </w:r>
      <w:hyperlink r:id="rId11" w:history="1">
        <w:r w:rsidRPr="00E204F3">
          <w:rPr>
            <w:rStyle w:val="Hyperlink"/>
          </w:rPr>
          <w:t>http://www.gov.cn/gongbao/content/2003/content_62100.htm</w:t>
        </w:r>
      </w:hyperlink>
    </w:p>
  </w:footnote>
  <w:footnote w:id="29">
    <w:p w14:paraId="0FDBF895" w14:textId="77777777" w:rsidR="00E10EE6" w:rsidRDefault="00E10EE6" w:rsidP="00311624">
      <w:pPr>
        <w:pStyle w:val="FootnoteText"/>
      </w:pPr>
      <w:r w:rsidRPr="00E204F3">
        <w:rPr>
          <w:rStyle w:val="FootnoteReference"/>
        </w:rPr>
        <w:footnoteRef/>
      </w:r>
      <w:r w:rsidRPr="00E204F3">
        <w:t xml:space="preserve"> See the official document of the Chinese Government ‘The Central Committee of the Communist Party of China issued the ‘Deepening Party and State Institution Reform Plan’’ </w:t>
      </w:r>
      <w:hyperlink r:id="rId12" w:anchor="2" w:history="1">
        <w:r w:rsidRPr="00E204F3">
          <w:rPr>
            <w:rStyle w:val="Hyperlink"/>
          </w:rPr>
          <w:t>http://www.gov.cn/zhengce/2018-03/21/content_5276191.htm#2</w:t>
        </w:r>
      </w:hyperlink>
    </w:p>
  </w:footnote>
  <w:footnote w:id="30">
    <w:p w14:paraId="04DC1D70" w14:textId="77777777" w:rsidR="00E10EE6" w:rsidRPr="00E204F3" w:rsidRDefault="00E10EE6" w:rsidP="00311624">
      <w:pPr>
        <w:pStyle w:val="FootnoteText"/>
      </w:pPr>
      <w:r w:rsidRPr="00E204F3">
        <w:rPr>
          <w:rStyle w:val="FootnoteReference"/>
        </w:rPr>
        <w:footnoteRef/>
      </w:r>
      <w:r w:rsidRPr="00E204F3">
        <w:t xml:space="preserve"> Also see the official document of the Chinese Government ‘The Central Committee of the Communist Party of China issued the ‘Deepening Party and State Institution Reform Plan’’ </w:t>
      </w:r>
      <w:hyperlink r:id="rId13" w:anchor="2" w:history="1">
        <w:r w:rsidRPr="00E204F3">
          <w:rPr>
            <w:rStyle w:val="Hyperlink"/>
          </w:rPr>
          <w:t>http://www.gov.cn/zhengce/2018-03/21/content_5276191.htm#2</w:t>
        </w:r>
      </w:hyperlink>
    </w:p>
  </w:footnote>
  <w:footnote w:id="31">
    <w:p w14:paraId="0B61F2BC" w14:textId="77777777" w:rsidR="00E10EE6" w:rsidRPr="00E204F3" w:rsidRDefault="00E10EE6" w:rsidP="00311624">
      <w:pPr>
        <w:pStyle w:val="FootnoteText"/>
      </w:pPr>
      <w:r w:rsidRPr="00E204F3">
        <w:rPr>
          <w:rStyle w:val="FootnoteReference"/>
        </w:rPr>
        <w:footnoteRef/>
      </w:r>
      <w:r w:rsidRPr="00E204F3">
        <w:t xml:space="preserve"> See the website of Ministry of Justice of the People’s Republic of China </w:t>
      </w:r>
      <w:hyperlink r:id="rId14" w:history="1">
        <w:r w:rsidRPr="00E204F3">
          <w:rPr>
            <w:rStyle w:val="Hyperlink"/>
          </w:rPr>
          <w:t>http://www.moj.gov.cn/Department/content/2003-12/29/592_201231.html</w:t>
        </w:r>
      </w:hyperlink>
    </w:p>
    <w:p w14:paraId="47A9CDBE" w14:textId="77777777" w:rsidR="00E10EE6" w:rsidRPr="00E204F3" w:rsidRDefault="00E10EE6" w:rsidP="00311624">
      <w:pPr>
        <w:pStyle w:val="FootnoteText"/>
      </w:pPr>
    </w:p>
  </w:footnote>
  <w:footnote w:id="32">
    <w:p w14:paraId="5846DBBF" w14:textId="77777777" w:rsidR="00E10EE6" w:rsidRPr="00E204F3" w:rsidRDefault="00E10EE6" w:rsidP="00311624">
      <w:pPr>
        <w:pStyle w:val="FootnoteText"/>
      </w:pPr>
      <w:r w:rsidRPr="00E204F3">
        <w:rPr>
          <w:rStyle w:val="FootnoteReference"/>
        </w:rPr>
        <w:footnoteRef/>
      </w:r>
      <w:r w:rsidRPr="00E204F3">
        <w:t xml:space="preserve"> See the website of Ministry of Justice of the People’s Republic of China </w:t>
      </w:r>
      <w:hyperlink r:id="rId15" w:history="1">
        <w:r w:rsidRPr="00E204F3">
          <w:rPr>
            <w:rStyle w:val="Hyperlink"/>
          </w:rPr>
          <w:t>http://www.moj.gov.cn/Department/content/2004-01/12/592_201445.html</w:t>
        </w:r>
      </w:hyperlink>
    </w:p>
    <w:p w14:paraId="3169138B" w14:textId="77777777" w:rsidR="00E10EE6" w:rsidRPr="00E204F3" w:rsidRDefault="00E10EE6" w:rsidP="00311624">
      <w:pPr>
        <w:pStyle w:val="FootnoteText"/>
      </w:pPr>
    </w:p>
  </w:footnote>
  <w:footnote w:id="33">
    <w:p w14:paraId="271F7737" w14:textId="77777777" w:rsidR="00E10EE6" w:rsidRPr="00E204F3" w:rsidRDefault="00E10EE6" w:rsidP="00311624">
      <w:pPr>
        <w:pStyle w:val="FootnoteText"/>
      </w:pPr>
      <w:r w:rsidRPr="00E204F3">
        <w:rPr>
          <w:rStyle w:val="FootnoteReference"/>
        </w:rPr>
        <w:footnoteRef/>
      </w:r>
      <w:r w:rsidRPr="00E204F3">
        <w:t xml:space="preserve"> See the website of Ministry of Justice of the People’s Republic of China </w:t>
      </w:r>
      <w:hyperlink r:id="rId16" w:history="1">
        <w:r w:rsidRPr="00E204F3">
          <w:rPr>
            <w:rStyle w:val="Hyperlink"/>
          </w:rPr>
          <w:t>http://www.moj.gov.cn/Department/content/2004-01/12/592_201287.html</w:t>
        </w:r>
      </w:hyperlink>
    </w:p>
  </w:footnote>
  <w:footnote w:id="34">
    <w:p w14:paraId="7D2D49E6" w14:textId="77777777" w:rsidR="00E10EE6" w:rsidRPr="00E204F3" w:rsidRDefault="00E10EE6" w:rsidP="00311624">
      <w:pPr>
        <w:pStyle w:val="FootnoteText"/>
      </w:pPr>
      <w:r w:rsidRPr="00E204F3">
        <w:rPr>
          <w:rStyle w:val="FootnoteReference"/>
        </w:rPr>
        <w:footnoteRef/>
      </w:r>
      <w:r w:rsidRPr="00E204F3">
        <w:t xml:space="preserve"> See the central document ‘China Banking Insurance Regulatory Commission’s functional configuration, internal institutions and staffing regulations’ </w:t>
      </w:r>
      <w:hyperlink r:id="rId17" w:history="1">
        <w:r w:rsidRPr="00E204F3">
          <w:rPr>
            <w:rStyle w:val="Hyperlink"/>
          </w:rPr>
          <w:t>http://www.gov.cn/zhengce/2018-11/13/content_5339932.htm</w:t>
        </w:r>
      </w:hyperlink>
    </w:p>
  </w:footnote>
  <w:footnote w:id="35">
    <w:p w14:paraId="527F9D5A" w14:textId="13DD084B" w:rsidR="00E10EE6" w:rsidRDefault="00E10EE6">
      <w:pPr>
        <w:pStyle w:val="FootnoteText"/>
      </w:pPr>
      <w:r>
        <w:rPr>
          <w:rStyle w:val="FootnoteReference"/>
        </w:rPr>
        <w:footnoteRef/>
      </w:r>
      <w:r>
        <w:t xml:space="preserve"> According to CBIRC, the regulations have more powerful authority than regulatory documents.  </w:t>
      </w:r>
    </w:p>
  </w:footnote>
  <w:footnote w:id="36">
    <w:p w14:paraId="686A8699" w14:textId="6B843738" w:rsidR="00E10EE6" w:rsidRDefault="00E10EE6">
      <w:pPr>
        <w:pStyle w:val="FootnoteText"/>
      </w:pPr>
      <w:r>
        <w:rPr>
          <w:rStyle w:val="FootnoteReference"/>
        </w:rPr>
        <w:footnoteRef/>
      </w:r>
      <w:r>
        <w:t xml:space="preserve"> Open market operations refers to the PBOC buys and sell Treasury Bonds on the open market in order to control the money supply. </w:t>
      </w:r>
    </w:p>
  </w:footnote>
  <w:footnote w:id="37">
    <w:p w14:paraId="4D79035A" w14:textId="77777777" w:rsidR="00E10EE6" w:rsidRPr="00E204F3" w:rsidRDefault="00E10EE6" w:rsidP="00311624">
      <w:pPr>
        <w:pStyle w:val="FootnoteText"/>
      </w:pPr>
      <w:r w:rsidRPr="00E204F3">
        <w:rPr>
          <w:rStyle w:val="FootnoteReference"/>
        </w:rPr>
        <w:footnoteRef/>
      </w:r>
      <w:r w:rsidRPr="00E204F3">
        <w:t xml:space="preserve"> See ‘Industry classification results of listed companies in the third quarter of 2019’ by the CSRC </w:t>
      </w:r>
      <w:hyperlink r:id="rId18" w:history="1">
        <w:r w:rsidRPr="00E204F3">
          <w:rPr>
            <w:rStyle w:val="Hyperlink"/>
          </w:rPr>
          <w:t>http://www.csrc.gov.cn/pub/newsite/scb/ssgshyfljg/201910/t20191028_365098.html</w:t>
        </w:r>
      </w:hyperlink>
    </w:p>
  </w:footnote>
  <w:footnote w:id="38">
    <w:p w14:paraId="368264D8" w14:textId="77777777" w:rsidR="00E10EE6" w:rsidRPr="00E204F3" w:rsidRDefault="00E10EE6" w:rsidP="00311624">
      <w:pPr>
        <w:pStyle w:val="FootnoteText"/>
      </w:pPr>
      <w:r w:rsidRPr="00E204F3">
        <w:rPr>
          <w:rStyle w:val="FootnoteReference"/>
        </w:rPr>
        <w:footnoteRef/>
      </w:r>
      <w:r w:rsidRPr="00E204F3">
        <w:t xml:space="preserve"> See the website of the National Audit Office of the People’s Republic of China </w:t>
      </w:r>
      <w:hyperlink r:id="rId19" w:history="1">
        <w:r w:rsidRPr="00E204F3">
          <w:rPr>
            <w:rStyle w:val="Hyperlink"/>
          </w:rPr>
          <w:t>http://www.audit.gov.cn/n10/n14/index.html</w:t>
        </w:r>
      </w:hyperlink>
    </w:p>
  </w:footnote>
  <w:footnote w:id="39">
    <w:p w14:paraId="43638171" w14:textId="77777777" w:rsidR="00E10EE6" w:rsidRPr="00E204F3" w:rsidRDefault="00E10EE6" w:rsidP="00311624">
      <w:pPr>
        <w:pStyle w:val="FootnoteText"/>
      </w:pPr>
      <w:r w:rsidRPr="00E204F3">
        <w:rPr>
          <w:rStyle w:val="FootnoteReference"/>
        </w:rPr>
        <w:footnoteRef/>
      </w:r>
      <w:r w:rsidRPr="00E204F3">
        <w:t xml:space="preserve"> See the sector ‘regulated bodies’</w:t>
      </w:r>
    </w:p>
  </w:footnote>
  <w:footnote w:id="40">
    <w:p w14:paraId="5B69B71F" w14:textId="77777777" w:rsidR="00E10EE6" w:rsidRPr="00E204F3" w:rsidRDefault="00E10EE6" w:rsidP="00311624">
      <w:pPr>
        <w:pStyle w:val="FootnoteText"/>
      </w:pPr>
      <w:r w:rsidRPr="00E204F3">
        <w:rPr>
          <w:rStyle w:val="FootnoteReference"/>
        </w:rPr>
        <w:footnoteRef/>
      </w:r>
      <w:r w:rsidRPr="00E204F3">
        <w:t xml:space="preserve"> Central Huijin Investment Co., Ltd is a wholly State-owned company and makes equity investments in State-owned financial firms. </w:t>
      </w:r>
    </w:p>
  </w:footnote>
  <w:footnote w:id="41">
    <w:p w14:paraId="01A30FC2" w14:textId="77777777" w:rsidR="00E10EE6" w:rsidRPr="00B604BC" w:rsidRDefault="00E10EE6" w:rsidP="00311624">
      <w:pPr>
        <w:pStyle w:val="FootnoteText"/>
      </w:pPr>
      <w:r w:rsidRPr="00B604BC">
        <w:rPr>
          <w:rStyle w:val="FootnoteReference"/>
        </w:rPr>
        <w:footnoteRef/>
      </w:r>
      <w:r w:rsidRPr="00B604BC">
        <w:t xml:space="preserve"> See the website of Ministry of Justice of the People’s Republic of China </w:t>
      </w:r>
      <w:hyperlink r:id="rId20" w:history="1">
        <w:r w:rsidRPr="00B604BC">
          <w:rPr>
            <w:rStyle w:val="Hyperlink"/>
          </w:rPr>
          <w:t>http://www.moj.gov.cn/Department/content/2003-12/29/592_201231.html</w:t>
        </w:r>
      </w:hyperlink>
    </w:p>
    <w:p w14:paraId="67A043BD" w14:textId="77777777" w:rsidR="00E10EE6" w:rsidRPr="00B604BC" w:rsidRDefault="00E10EE6" w:rsidP="00311624">
      <w:pPr>
        <w:pStyle w:val="FootnoteText"/>
      </w:pPr>
    </w:p>
  </w:footnote>
  <w:footnote w:id="42">
    <w:p w14:paraId="0A53A7B2" w14:textId="77777777" w:rsidR="00E10EE6" w:rsidRPr="00B604BC" w:rsidRDefault="00E10EE6" w:rsidP="00311624">
      <w:pPr>
        <w:pStyle w:val="FootnoteText"/>
      </w:pPr>
      <w:r w:rsidRPr="00B604BC">
        <w:rPr>
          <w:rStyle w:val="FootnoteReference"/>
        </w:rPr>
        <w:footnoteRef/>
      </w:r>
      <w:r w:rsidRPr="00B604BC">
        <w:t xml:space="preserve"> See the website of the central government </w:t>
      </w:r>
      <w:hyperlink r:id="rId21" w:history="1">
        <w:r w:rsidRPr="00B604BC">
          <w:rPr>
            <w:rStyle w:val="Hyperlink"/>
          </w:rPr>
          <w:t>http://www.gov.cn/zhengce/content/2019-10/15/content_5439956.htm</w:t>
        </w:r>
      </w:hyperlink>
      <w:r w:rsidRPr="00B604BC">
        <w:t xml:space="preserve">, </w:t>
      </w:r>
      <w:hyperlink r:id="rId22" w:history="1">
        <w:r w:rsidRPr="00B604BC">
          <w:rPr>
            <w:rStyle w:val="Hyperlink"/>
          </w:rPr>
          <w:t>http://www.gov.cn/zhengce/content/2014-12/20/content_9309.htm</w:t>
        </w:r>
      </w:hyperlink>
      <w:r w:rsidRPr="00B604BC">
        <w:t xml:space="preserve"> and </w:t>
      </w:r>
      <w:hyperlink r:id="rId23" w:history="1">
        <w:r w:rsidRPr="00B604BC">
          <w:rPr>
            <w:rStyle w:val="Hyperlink"/>
          </w:rPr>
          <w:t>http://www.gov.cn/zhengce/content/2008-03/28/content_1958.htm</w:t>
        </w:r>
      </w:hyperlink>
    </w:p>
  </w:footnote>
  <w:footnote w:id="43">
    <w:p w14:paraId="4655042C" w14:textId="77777777" w:rsidR="00E10EE6" w:rsidRPr="00B604BC" w:rsidRDefault="00E10EE6" w:rsidP="00311624">
      <w:pPr>
        <w:pStyle w:val="FootnoteText"/>
      </w:pPr>
      <w:r w:rsidRPr="00B604BC">
        <w:rPr>
          <w:rStyle w:val="FootnoteReference"/>
        </w:rPr>
        <w:footnoteRef/>
      </w:r>
      <w:r w:rsidRPr="00B604BC">
        <w:t xml:space="preserve"> See the website of the CBIRC </w:t>
      </w:r>
      <w:hyperlink r:id="rId24" w:history="1">
        <w:r w:rsidRPr="00B604BC">
          <w:rPr>
            <w:rStyle w:val="Hyperlink"/>
          </w:rPr>
          <w:t>http://www.cbirc.gov.cn/cn/doc/9103/910303/91030302/020943393088424EBD4670788398111B.html</w:t>
        </w:r>
      </w:hyperlink>
    </w:p>
  </w:footnote>
  <w:footnote w:id="44">
    <w:p w14:paraId="468DE1C7" w14:textId="77777777" w:rsidR="00E10EE6" w:rsidRPr="00B604BC" w:rsidRDefault="00E10EE6" w:rsidP="00311624">
      <w:pPr>
        <w:pStyle w:val="FootnoteText"/>
      </w:pPr>
      <w:r w:rsidRPr="00B604BC">
        <w:rPr>
          <w:rStyle w:val="FootnoteReference"/>
        </w:rPr>
        <w:footnoteRef/>
      </w:r>
      <w:r w:rsidRPr="00B604BC">
        <w:t xml:space="preserve"> See the webpage of statistics of the CBIRC </w:t>
      </w:r>
      <w:hyperlink r:id="rId25" w:history="1">
        <w:r w:rsidRPr="00B604BC">
          <w:rPr>
            <w:rStyle w:val="Hyperlink"/>
          </w:rPr>
          <w:t>http://www.cbirc.gov.cn/cn/doc/9106/910601/7C19F626EAC74658A5163952034C06D0.html</w:t>
        </w:r>
      </w:hyperlink>
    </w:p>
  </w:footnote>
  <w:footnote w:id="45">
    <w:p w14:paraId="4C1B684F" w14:textId="77777777" w:rsidR="00E10EE6" w:rsidRPr="00B604BC" w:rsidRDefault="00E10EE6" w:rsidP="00311624">
      <w:pPr>
        <w:pStyle w:val="FootnoteText"/>
      </w:pPr>
      <w:r w:rsidRPr="00B604BC">
        <w:rPr>
          <w:rStyle w:val="FootnoteReference"/>
        </w:rPr>
        <w:footnoteRef/>
      </w:r>
      <w:r w:rsidRPr="00B604BC">
        <w:t xml:space="preserve"> The six largest banks, also called the State-controlled large commercial banks, include the Industrial and Commercial Bank of China, China Construction Bank, Agricultural Bank of China, Bank of China, Bank of Communications, and Postal Savings Bank of China. </w:t>
      </w:r>
    </w:p>
  </w:footnote>
  <w:footnote w:id="46">
    <w:p w14:paraId="527D7072" w14:textId="77777777" w:rsidR="00E10EE6" w:rsidRPr="00B604BC" w:rsidRDefault="00E10EE6" w:rsidP="00311624">
      <w:pPr>
        <w:pStyle w:val="FootnoteText"/>
      </w:pPr>
      <w:r w:rsidRPr="00B604BC">
        <w:rPr>
          <w:rStyle w:val="FootnoteReference"/>
        </w:rPr>
        <w:footnoteRef/>
      </w:r>
      <w:r w:rsidRPr="00B604BC">
        <w:t xml:space="preserve"> See the FSB website </w:t>
      </w:r>
      <w:hyperlink r:id="rId26" w:history="1">
        <w:r w:rsidRPr="00B604BC">
          <w:rPr>
            <w:rStyle w:val="Hyperlink"/>
          </w:rPr>
          <w:t>https://www.fsb.org/2019/11/2019-list-of-global-systemically-important-banks-g-sibs/</w:t>
        </w:r>
      </w:hyperlink>
    </w:p>
  </w:footnote>
  <w:footnote w:id="47">
    <w:p w14:paraId="3F20CBFE" w14:textId="53F9C066" w:rsidR="00E10EE6" w:rsidRDefault="00E10EE6">
      <w:pPr>
        <w:pStyle w:val="FootnoteText"/>
      </w:pPr>
      <w:r>
        <w:rPr>
          <w:rStyle w:val="FootnoteReference"/>
        </w:rPr>
        <w:footnoteRef/>
      </w:r>
      <w:r>
        <w:t xml:space="preserve"> G20: An international forum for the governments and central bank governors from 19 countries and the European Union (EU) in order to promote international cooperation. </w:t>
      </w:r>
    </w:p>
  </w:footnote>
  <w:footnote w:id="48">
    <w:p w14:paraId="314FA5C6" w14:textId="77777777" w:rsidR="00E10EE6" w:rsidRPr="006C012A" w:rsidRDefault="00E10EE6" w:rsidP="00311624">
      <w:pPr>
        <w:pStyle w:val="FootnoteText"/>
      </w:pPr>
      <w:r w:rsidRPr="006C012A">
        <w:rPr>
          <w:rStyle w:val="FootnoteReference"/>
        </w:rPr>
        <w:footnoteRef/>
      </w:r>
      <w:r w:rsidRPr="006C012A">
        <w:t xml:space="preserve"> Here the Great Financial Crisis refers to the financial crisis from 2007 to 2009. </w:t>
      </w:r>
    </w:p>
  </w:footnote>
  <w:footnote w:id="49">
    <w:p w14:paraId="57976708" w14:textId="77777777" w:rsidR="00E10EE6" w:rsidRPr="006C012A" w:rsidRDefault="00E10EE6" w:rsidP="00311624">
      <w:pPr>
        <w:pStyle w:val="FootnoteText"/>
      </w:pPr>
      <w:r w:rsidRPr="006C012A">
        <w:rPr>
          <w:rStyle w:val="FootnoteReference"/>
        </w:rPr>
        <w:footnoteRef/>
      </w:r>
      <w:r w:rsidRPr="006C012A">
        <w:t xml:space="preserve"> The CBRC and the CIRC w</w:t>
      </w:r>
      <w:r>
        <w:t>ere</w:t>
      </w:r>
      <w:r w:rsidRPr="006C012A">
        <w:t xml:space="preserve"> combined into the CBIRC in 2018. </w:t>
      </w:r>
    </w:p>
  </w:footnote>
  <w:footnote w:id="50">
    <w:p w14:paraId="66589065" w14:textId="77777777" w:rsidR="00E10EE6" w:rsidRPr="006C012A" w:rsidRDefault="00E10EE6" w:rsidP="00311624">
      <w:pPr>
        <w:pStyle w:val="FootnoteText"/>
      </w:pPr>
      <w:r w:rsidRPr="006C012A">
        <w:rPr>
          <w:rStyle w:val="FootnoteReference"/>
        </w:rPr>
        <w:footnoteRef/>
      </w:r>
      <w:r w:rsidRPr="006C012A">
        <w:t xml:space="preserve"> China also adopted and implemented Basel II and Basel II.5 in previous years. </w:t>
      </w:r>
    </w:p>
  </w:footnote>
  <w:footnote w:id="51">
    <w:p w14:paraId="6EA86182" w14:textId="77777777" w:rsidR="00E10EE6" w:rsidRPr="00223E65" w:rsidRDefault="00E10EE6" w:rsidP="00311624">
      <w:pPr>
        <w:pStyle w:val="FootnoteText"/>
      </w:pPr>
      <w:r w:rsidRPr="00223E65">
        <w:rPr>
          <w:rStyle w:val="FootnoteReference"/>
        </w:rPr>
        <w:footnoteRef/>
      </w:r>
      <w:r w:rsidRPr="00223E65">
        <w:t xml:space="preserve"> See CBIRC website </w:t>
      </w:r>
      <w:hyperlink r:id="rId27" w:history="1">
        <w:r w:rsidRPr="00223E65">
          <w:rPr>
            <w:rStyle w:val="Hyperlink"/>
          </w:rPr>
          <w:t>http://www.cbirc.gov.cn/cn/doc/9103/910303/91030302/20111009E63FE2BF1B07CFCAFFB978A4C2F0DC00.html</w:t>
        </w:r>
      </w:hyperlink>
    </w:p>
  </w:footnote>
  <w:footnote w:id="52">
    <w:p w14:paraId="4CB1AADE" w14:textId="77777777" w:rsidR="00E10EE6" w:rsidRPr="00223E65" w:rsidRDefault="00E10EE6" w:rsidP="00311624">
      <w:pPr>
        <w:pStyle w:val="FootnoteText"/>
      </w:pPr>
      <w:r w:rsidRPr="00223E65">
        <w:rPr>
          <w:rStyle w:val="FootnoteReference"/>
        </w:rPr>
        <w:footnoteRef/>
      </w:r>
      <w:r w:rsidRPr="00223E65">
        <w:t xml:space="preserve"> See the CBIRC website </w:t>
      </w:r>
      <w:hyperlink r:id="rId28" w:history="1">
        <w:r w:rsidRPr="00223E65">
          <w:rPr>
            <w:rStyle w:val="Hyperlink"/>
          </w:rPr>
          <w:t>http://www.cbirc.gov.cn/cn/doc/9103/910303/91030302/656ED8C75FA44F0387EF393B842A8A11.html</w:t>
        </w:r>
      </w:hyperlink>
    </w:p>
  </w:footnote>
  <w:footnote w:id="53">
    <w:p w14:paraId="56F4DD31" w14:textId="77777777" w:rsidR="00E10EE6" w:rsidRPr="00223E65" w:rsidRDefault="00E10EE6" w:rsidP="00311624">
      <w:pPr>
        <w:pStyle w:val="FootnoteText"/>
      </w:pPr>
      <w:r w:rsidRPr="00223E65">
        <w:rPr>
          <w:rStyle w:val="FootnoteReference"/>
        </w:rPr>
        <w:footnoteRef/>
      </w:r>
      <w:r w:rsidRPr="00223E65">
        <w:t xml:space="preserve"> See the CBIRC website </w:t>
      </w:r>
      <w:hyperlink r:id="rId29" w:history="1">
        <w:r w:rsidRPr="00223E65">
          <w:rPr>
            <w:rStyle w:val="Hyperlink"/>
          </w:rPr>
          <w:t>http://www.cbirc.gov.cn/cn/doc/9103/910303/91030302/D564397D9D8F467F9660BB58E06C6841.html</w:t>
        </w:r>
      </w:hyperlink>
    </w:p>
  </w:footnote>
  <w:footnote w:id="54">
    <w:p w14:paraId="0AD672C7" w14:textId="77777777" w:rsidR="00E10EE6" w:rsidRPr="00223E65" w:rsidRDefault="00E10EE6" w:rsidP="00311624">
      <w:pPr>
        <w:pStyle w:val="FootnoteText"/>
      </w:pPr>
      <w:r w:rsidRPr="00223E65">
        <w:rPr>
          <w:rStyle w:val="FootnoteReference"/>
        </w:rPr>
        <w:footnoteRef/>
      </w:r>
      <w:r w:rsidRPr="00223E65">
        <w:t xml:space="preserve"> See the CBIRC website </w:t>
      </w:r>
      <w:hyperlink r:id="rId30" w:history="1">
        <w:r w:rsidRPr="00223E65">
          <w:rPr>
            <w:rStyle w:val="Hyperlink"/>
          </w:rPr>
          <w:t>http://www.cbirc.gov.cn/cn/doc/9103/910303/91030302/C441E44624394A76B25051CA7F4AFE5C.html</w:t>
        </w:r>
      </w:hyperlink>
    </w:p>
  </w:footnote>
  <w:footnote w:id="55">
    <w:p w14:paraId="5FFDE4D4" w14:textId="77777777" w:rsidR="00E10EE6" w:rsidRPr="00223E65" w:rsidRDefault="00E10EE6" w:rsidP="00311624">
      <w:pPr>
        <w:pStyle w:val="FootnoteText"/>
      </w:pPr>
      <w:r w:rsidRPr="00223E65">
        <w:rPr>
          <w:rStyle w:val="FootnoteReference"/>
        </w:rPr>
        <w:footnoteRef/>
      </w:r>
      <w:r w:rsidRPr="00223E65">
        <w:t xml:space="preserve"> See the CBIRC website </w:t>
      </w:r>
      <w:hyperlink r:id="rId31" w:history="1">
        <w:r w:rsidRPr="00223E65">
          <w:rPr>
            <w:rStyle w:val="Hyperlink"/>
          </w:rPr>
          <w:t>http://www.cbirc.gov.cn/cn/view/pages/ItemDetail.html?docId=876073&amp;itemId=928&amp;generaltype=0</w:t>
        </w:r>
      </w:hyperlink>
    </w:p>
  </w:footnote>
  <w:footnote w:id="56">
    <w:p w14:paraId="0EEF3756" w14:textId="4751D0BF" w:rsidR="00E10EE6" w:rsidRDefault="00E10EE6">
      <w:pPr>
        <w:pStyle w:val="FootnoteText"/>
      </w:pPr>
      <w:r>
        <w:rPr>
          <w:rStyle w:val="FootnoteReference"/>
        </w:rPr>
        <w:footnoteRef/>
      </w:r>
      <w:r>
        <w:t xml:space="preserve">A brief introduction of data sources only because this is a separate written piece, for the sake of clarification. </w:t>
      </w:r>
    </w:p>
  </w:footnote>
  <w:footnote w:id="57">
    <w:p w14:paraId="78410524" w14:textId="5D85D619" w:rsidR="00E10EE6" w:rsidRDefault="00E10EE6">
      <w:pPr>
        <w:pStyle w:val="FootnoteText"/>
      </w:pPr>
      <w:r>
        <w:rPr>
          <w:rStyle w:val="FootnoteReference"/>
        </w:rPr>
        <w:footnoteRef/>
      </w:r>
      <w:r>
        <w:t xml:space="preserve"> Baoshang Bank Co., Ltd. has been replaced by Mengshang Bank Co., Ltd. by the SNL database since Baoshang Bank has been under administration and reconstructed. Most of its assets and liabilities have been undertaken by Mengshang Bank which was founded in May, 2020. </w:t>
      </w:r>
    </w:p>
  </w:footnote>
  <w:footnote w:id="58">
    <w:p w14:paraId="76E714A2" w14:textId="6D170725" w:rsidR="00E10EE6" w:rsidRDefault="00E10EE6">
      <w:pPr>
        <w:pStyle w:val="FootnoteText"/>
      </w:pPr>
      <w:r>
        <w:rPr>
          <w:rStyle w:val="FootnoteReference"/>
        </w:rPr>
        <w:footnoteRef/>
      </w:r>
      <w:r>
        <w:t xml:space="preserve"> </w:t>
      </w:r>
      <w:bookmarkStart w:id="45" w:name="_Hlk62608338"/>
      <w:r>
        <w:t>For more detailed information, see Federal Reserve website and the Commercial Bank Examination Manual https://www.federalreserve.gov/publications/files/cbem.pdf.</w:t>
      </w:r>
      <w:bookmarkEnd w:id="45"/>
    </w:p>
  </w:footnote>
  <w:footnote w:id="59">
    <w:p w14:paraId="3C345B33" w14:textId="5085FE94" w:rsidR="00E10EE6" w:rsidRDefault="00E10EE6">
      <w:pPr>
        <w:pStyle w:val="FootnoteText"/>
      </w:pPr>
      <w:r>
        <w:rPr>
          <w:rStyle w:val="FootnoteReference"/>
        </w:rPr>
        <w:footnoteRef/>
      </w:r>
      <w:r>
        <w:t xml:space="preserve"> </w:t>
      </w:r>
      <w:r>
        <w:rPr>
          <w:rFonts w:hint="eastAsia"/>
        </w:rPr>
        <w:t>C</w:t>
      </w:r>
      <w:r>
        <w:t xml:space="preserve">hina Banking Regulatory Commission (CBRC) combined with China Insurance Regulatory Commission (CIRC) to China Banking and Insurance Regulatory Commission (CBIRC) in 2018. </w:t>
      </w:r>
    </w:p>
  </w:footnote>
  <w:footnote w:id="60">
    <w:p w14:paraId="5A552F50" w14:textId="4D3F4028" w:rsidR="00E10EE6" w:rsidRDefault="00E10EE6">
      <w:pPr>
        <w:pStyle w:val="FootnoteText"/>
      </w:pPr>
      <w:r>
        <w:rPr>
          <w:rStyle w:val="FootnoteReference"/>
        </w:rPr>
        <w:footnoteRef/>
      </w:r>
      <w:r>
        <w:t xml:space="preserve"> Loan Prime Rate (LPR) is one of the essential initiatives of interest rate reform. It resembles the Libor, as a basic interest rate in loan markets, quoted by </w:t>
      </w:r>
      <w:r>
        <w:rPr>
          <w:rFonts w:hint="eastAsia"/>
        </w:rPr>
        <w:t>18</w:t>
      </w:r>
      <w:r>
        <w:t xml:space="preserve"> major commercial banks on monthly basis.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E3346"/>
    <w:multiLevelType w:val="hybridMultilevel"/>
    <w:tmpl w:val="F476166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6C6A3D"/>
    <w:multiLevelType w:val="hybridMultilevel"/>
    <w:tmpl w:val="48DCABC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CF67D6"/>
    <w:multiLevelType w:val="hybridMultilevel"/>
    <w:tmpl w:val="9F087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A83284"/>
    <w:multiLevelType w:val="hybridMultilevel"/>
    <w:tmpl w:val="6200EEA4"/>
    <w:lvl w:ilvl="0" w:tplc="04090017">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0E16C4"/>
    <w:multiLevelType w:val="hybridMultilevel"/>
    <w:tmpl w:val="9AA65F0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2922BF"/>
    <w:multiLevelType w:val="hybridMultilevel"/>
    <w:tmpl w:val="35AC5ED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A80D0D"/>
    <w:multiLevelType w:val="hybridMultilevel"/>
    <w:tmpl w:val="8F4826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72927CD"/>
    <w:multiLevelType w:val="hybridMultilevel"/>
    <w:tmpl w:val="35EC1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6076E8"/>
    <w:multiLevelType w:val="hybridMultilevel"/>
    <w:tmpl w:val="CDE44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0CF39C2"/>
    <w:multiLevelType w:val="hybridMultilevel"/>
    <w:tmpl w:val="FE0E0CD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5292032"/>
    <w:multiLevelType w:val="hybridMultilevel"/>
    <w:tmpl w:val="6B0879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CBF3919"/>
    <w:multiLevelType w:val="hybridMultilevel"/>
    <w:tmpl w:val="F324394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E742975"/>
    <w:multiLevelType w:val="hybridMultilevel"/>
    <w:tmpl w:val="B2B699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2C83292"/>
    <w:multiLevelType w:val="hybridMultilevel"/>
    <w:tmpl w:val="CB3437C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D0333C5"/>
    <w:multiLevelType w:val="hybridMultilevel"/>
    <w:tmpl w:val="74E26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B52C07"/>
    <w:multiLevelType w:val="hybridMultilevel"/>
    <w:tmpl w:val="7DFE0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85303378">
    <w:abstractNumId w:val="6"/>
  </w:num>
  <w:num w:numId="2" w16cid:durableId="949049258">
    <w:abstractNumId w:val="12"/>
  </w:num>
  <w:num w:numId="3" w16cid:durableId="1819881085">
    <w:abstractNumId w:val="13"/>
  </w:num>
  <w:num w:numId="4" w16cid:durableId="1092747867">
    <w:abstractNumId w:val="9"/>
  </w:num>
  <w:num w:numId="5" w16cid:durableId="434786271">
    <w:abstractNumId w:val="5"/>
  </w:num>
  <w:num w:numId="6" w16cid:durableId="1571034421">
    <w:abstractNumId w:val="4"/>
  </w:num>
  <w:num w:numId="7" w16cid:durableId="1384712161">
    <w:abstractNumId w:val="10"/>
  </w:num>
  <w:num w:numId="8" w16cid:durableId="1173687520">
    <w:abstractNumId w:val="2"/>
  </w:num>
  <w:num w:numId="9" w16cid:durableId="1372538074">
    <w:abstractNumId w:val="8"/>
  </w:num>
  <w:num w:numId="10" w16cid:durableId="228345833">
    <w:abstractNumId w:val="7"/>
  </w:num>
  <w:num w:numId="11" w16cid:durableId="1447578400">
    <w:abstractNumId w:val="15"/>
  </w:num>
  <w:num w:numId="12" w16cid:durableId="2037191961">
    <w:abstractNumId w:val="14"/>
  </w:num>
  <w:num w:numId="13" w16cid:durableId="1356272407">
    <w:abstractNumId w:val="11"/>
  </w:num>
  <w:num w:numId="14" w16cid:durableId="1180315940">
    <w:abstractNumId w:val="1"/>
  </w:num>
  <w:num w:numId="15" w16cid:durableId="1727340614">
    <w:abstractNumId w:val="0"/>
  </w:num>
  <w:num w:numId="16" w16cid:durableId="145440020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eronica ZHANG">
    <w15:presenceInfo w15:providerId="Windows Live" w15:userId="daad92efc7d5d3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en-US" w:vendorID="64" w:dllVersion="4096" w:nlCheck="1" w:checkStyle="1"/>
  <w:activeWritingStyle w:appName="MSWord" w:lang="zh-CN" w:vendorID="64" w:dllVersion="0" w:nlCheck="1" w:checkStyle="1"/>
  <w:activeWritingStyle w:appName="MSWord" w:lang="en-GB" w:vendorID="64" w:dllVersion="4096" w:nlCheck="1" w:checkStyle="0"/>
  <w:activeWritingStyle w:appName="MSWord" w:lang="en-US" w:vendorID="64" w:dllVersion="0" w:nlCheck="1" w:checkStyle="0"/>
  <w:activeWritingStyle w:appName="MSWord" w:lang="en-GB" w:vendorID="64" w:dllVersion="0" w:nlCheck="1" w:checkStyle="0"/>
  <w:proofState w:spelling="clean" w:grammar="clean"/>
  <w:revisionView w:markup="0"/>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Harvard&lt;/Style&gt;&lt;LeftDelim&gt;{&lt;/LeftDelim&gt;&lt;RightDelim&gt;}&lt;/RightDelim&gt;&lt;FontName&gt;Corbe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ewxv52070srvlesdv5x5srafe0w5fspwe2v&quot;&gt;My EndNote Library&lt;record-ids&gt;&lt;item&gt;5&lt;/item&gt;&lt;item&gt;74&lt;/item&gt;&lt;item&gt;75&lt;/item&gt;&lt;item&gt;86&lt;/item&gt;&lt;item&gt;89&lt;/item&gt;&lt;item&gt;106&lt;/item&gt;&lt;item&gt;126&lt;/item&gt;&lt;item&gt;128&lt;/item&gt;&lt;item&gt;130&lt;/item&gt;&lt;item&gt;131&lt;/item&gt;&lt;item&gt;132&lt;/item&gt;&lt;item&gt;136&lt;/item&gt;&lt;item&gt;160&lt;/item&gt;&lt;item&gt;162&lt;/item&gt;&lt;item&gt;163&lt;/item&gt;&lt;item&gt;164&lt;/item&gt;&lt;item&gt;165&lt;/item&gt;&lt;item&gt;166&lt;/item&gt;&lt;item&gt;167&lt;/item&gt;&lt;item&gt;168&lt;/item&gt;&lt;item&gt;169&lt;/item&gt;&lt;item&gt;170&lt;/item&gt;&lt;item&gt;172&lt;/item&gt;&lt;/record-ids&gt;&lt;/item&gt;&lt;/Libraries&gt;"/>
  </w:docVars>
  <w:rsids>
    <w:rsidRoot w:val="00FB5BE1"/>
    <w:rsid w:val="000059A2"/>
    <w:rsid w:val="00006585"/>
    <w:rsid w:val="00025C2A"/>
    <w:rsid w:val="00045B89"/>
    <w:rsid w:val="000536B3"/>
    <w:rsid w:val="00065152"/>
    <w:rsid w:val="00065A2B"/>
    <w:rsid w:val="00087D9F"/>
    <w:rsid w:val="00094D3B"/>
    <w:rsid w:val="000A0603"/>
    <w:rsid w:val="000A407B"/>
    <w:rsid w:val="000B49E3"/>
    <w:rsid w:val="000D011C"/>
    <w:rsid w:val="000E7ECD"/>
    <w:rsid w:val="000F03AB"/>
    <w:rsid w:val="000F12F3"/>
    <w:rsid w:val="00100A21"/>
    <w:rsid w:val="0010307D"/>
    <w:rsid w:val="00107BEF"/>
    <w:rsid w:val="00111783"/>
    <w:rsid w:val="001222F2"/>
    <w:rsid w:val="00123D0A"/>
    <w:rsid w:val="001444DC"/>
    <w:rsid w:val="0015342C"/>
    <w:rsid w:val="001602FB"/>
    <w:rsid w:val="00160C82"/>
    <w:rsid w:val="00174C95"/>
    <w:rsid w:val="00182532"/>
    <w:rsid w:val="00190462"/>
    <w:rsid w:val="0019068A"/>
    <w:rsid w:val="00192261"/>
    <w:rsid w:val="00192B3C"/>
    <w:rsid w:val="00194755"/>
    <w:rsid w:val="00196AB3"/>
    <w:rsid w:val="001B3487"/>
    <w:rsid w:val="001B5B85"/>
    <w:rsid w:val="001B61FA"/>
    <w:rsid w:val="001B7052"/>
    <w:rsid w:val="001C2AEB"/>
    <w:rsid w:val="001D56B7"/>
    <w:rsid w:val="001E1138"/>
    <w:rsid w:val="001F2253"/>
    <w:rsid w:val="00216DFD"/>
    <w:rsid w:val="002205AB"/>
    <w:rsid w:val="0022671E"/>
    <w:rsid w:val="002279B6"/>
    <w:rsid w:val="00232109"/>
    <w:rsid w:val="00232D7D"/>
    <w:rsid w:val="0023782C"/>
    <w:rsid w:val="00241E31"/>
    <w:rsid w:val="002442DF"/>
    <w:rsid w:val="00267278"/>
    <w:rsid w:val="0027128E"/>
    <w:rsid w:val="002807CD"/>
    <w:rsid w:val="00286C0A"/>
    <w:rsid w:val="00290FC4"/>
    <w:rsid w:val="002963E7"/>
    <w:rsid w:val="00297C0A"/>
    <w:rsid w:val="002A13F1"/>
    <w:rsid w:val="002C4CB6"/>
    <w:rsid w:val="002D53C1"/>
    <w:rsid w:val="002E12DF"/>
    <w:rsid w:val="002E48AE"/>
    <w:rsid w:val="002F799A"/>
    <w:rsid w:val="00311624"/>
    <w:rsid w:val="003274B7"/>
    <w:rsid w:val="003379DB"/>
    <w:rsid w:val="003627FE"/>
    <w:rsid w:val="003703BE"/>
    <w:rsid w:val="0037649E"/>
    <w:rsid w:val="00381719"/>
    <w:rsid w:val="00384634"/>
    <w:rsid w:val="00386C3D"/>
    <w:rsid w:val="0039026B"/>
    <w:rsid w:val="00393235"/>
    <w:rsid w:val="003A7CE2"/>
    <w:rsid w:val="003B04CA"/>
    <w:rsid w:val="003B2DDC"/>
    <w:rsid w:val="003B78A2"/>
    <w:rsid w:val="003C00B3"/>
    <w:rsid w:val="003C1637"/>
    <w:rsid w:val="003C16AD"/>
    <w:rsid w:val="003D165F"/>
    <w:rsid w:val="003E1E1D"/>
    <w:rsid w:val="003E682F"/>
    <w:rsid w:val="004048A7"/>
    <w:rsid w:val="00410F5A"/>
    <w:rsid w:val="004215C3"/>
    <w:rsid w:val="00421A1E"/>
    <w:rsid w:val="004250CC"/>
    <w:rsid w:val="00433425"/>
    <w:rsid w:val="00451FE1"/>
    <w:rsid w:val="00457559"/>
    <w:rsid w:val="00464703"/>
    <w:rsid w:val="0046478A"/>
    <w:rsid w:val="00481820"/>
    <w:rsid w:val="00482EA5"/>
    <w:rsid w:val="00496619"/>
    <w:rsid w:val="00496ED8"/>
    <w:rsid w:val="004A6388"/>
    <w:rsid w:val="004A669C"/>
    <w:rsid w:val="004B7827"/>
    <w:rsid w:val="004D2B17"/>
    <w:rsid w:val="004E44D6"/>
    <w:rsid w:val="004F1BEA"/>
    <w:rsid w:val="00505F3B"/>
    <w:rsid w:val="0051202F"/>
    <w:rsid w:val="005150CD"/>
    <w:rsid w:val="00521D2E"/>
    <w:rsid w:val="00536CEA"/>
    <w:rsid w:val="00540A0D"/>
    <w:rsid w:val="0054293E"/>
    <w:rsid w:val="005603CD"/>
    <w:rsid w:val="00572860"/>
    <w:rsid w:val="0057655B"/>
    <w:rsid w:val="00585A65"/>
    <w:rsid w:val="00585CC7"/>
    <w:rsid w:val="00587F51"/>
    <w:rsid w:val="00590857"/>
    <w:rsid w:val="005C2A2E"/>
    <w:rsid w:val="005C2A5B"/>
    <w:rsid w:val="005C4444"/>
    <w:rsid w:val="005C59CF"/>
    <w:rsid w:val="005C7A5D"/>
    <w:rsid w:val="005D61D3"/>
    <w:rsid w:val="005E008C"/>
    <w:rsid w:val="006033A8"/>
    <w:rsid w:val="00607D4D"/>
    <w:rsid w:val="0061148C"/>
    <w:rsid w:val="0061685D"/>
    <w:rsid w:val="00622ABC"/>
    <w:rsid w:val="00636D8B"/>
    <w:rsid w:val="00650270"/>
    <w:rsid w:val="00664CA2"/>
    <w:rsid w:val="006708EE"/>
    <w:rsid w:val="0068390A"/>
    <w:rsid w:val="00685377"/>
    <w:rsid w:val="006A0BFB"/>
    <w:rsid w:val="006B61EF"/>
    <w:rsid w:val="006C03FF"/>
    <w:rsid w:val="006C4F8C"/>
    <w:rsid w:val="006C61E4"/>
    <w:rsid w:val="006C6A1C"/>
    <w:rsid w:val="006C73DB"/>
    <w:rsid w:val="006D47E1"/>
    <w:rsid w:val="006E22E7"/>
    <w:rsid w:val="006F3092"/>
    <w:rsid w:val="006F7335"/>
    <w:rsid w:val="00700EAB"/>
    <w:rsid w:val="0070375F"/>
    <w:rsid w:val="007067DB"/>
    <w:rsid w:val="00706D2B"/>
    <w:rsid w:val="00714D51"/>
    <w:rsid w:val="00716788"/>
    <w:rsid w:val="00716F0F"/>
    <w:rsid w:val="00716F26"/>
    <w:rsid w:val="00722958"/>
    <w:rsid w:val="007277B7"/>
    <w:rsid w:val="0073312E"/>
    <w:rsid w:val="00733607"/>
    <w:rsid w:val="00733BB0"/>
    <w:rsid w:val="007371C1"/>
    <w:rsid w:val="007413E5"/>
    <w:rsid w:val="00745BB6"/>
    <w:rsid w:val="007463D2"/>
    <w:rsid w:val="00752E15"/>
    <w:rsid w:val="00780C9E"/>
    <w:rsid w:val="0078124D"/>
    <w:rsid w:val="007826C3"/>
    <w:rsid w:val="00782D69"/>
    <w:rsid w:val="00793393"/>
    <w:rsid w:val="007A379E"/>
    <w:rsid w:val="007B56E1"/>
    <w:rsid w:val="007B7BCE"/>
    <w:rsid w:val="007C4800"/>
    <w:rsid w:val="007C484F"/>
    <w:rsid w:val="007C7287"/>
    <w:rsid w:val="007D7EA0"/>
    <w:rsid w:val="007E7766"/>
    <w:rsid w:val="007F4E36"/>
    <w:rsid w:val="007F7B6B"/>
    <w:rsid w:val="00816BB5"/>
    <w:rsid w:val="008219BD"/>
    <w:rsid w:val="00827751"/>
    <w:rsid w:val="00842E54"/>
    <w:rsid w:val="00845719"/>
    <w:rsid w:val="00846229"/>
    <w:rsid w:val="0084728F"/>
    <w:rsid w:val="0085582D"/>
    <w:rsid w:val="00864C24"/>
    <w:rsid w:val="008664B1"/>
    <w:rsid w:val="008772CF"/>
    <w:rsid w:val="00890D45"/>
    <w:rsid w:val="008954CB"/>
    <w:rsid w:val="00897899"/>
    <w:rsid w:val="008A7F5E"/>
    <w:rsid w:val="008C0211"/>
    <w:rsid w:val="008D034C"/>
    <w:rsid w:val="008D7E90"/>
    <w:rsid w:val="009028F4"/>
    <w:rsid w:val="00920944"/>
    <w:rsid w:val="00925A2A"/>
    <w:rsid w:val="009338D5"/>
    <w:rsid w:val="0093496A"/>
    <w:rsid w:val="00936D7A"/>
    <w:rsid w:val="00941CB8"/>
    <w:rsid w:val="00944648"/>
    <w:rsid w:val="0096108D"/>
    <w:rsid w:val="00971EE1"/>
    <w:rsid w:val="009837F8"/>
    <w:rsid w:val="00986580"/>
    <w:rsid w:val="009939B2"/>
    <w:rsid w:val="00997C58"/>
    <w:rsid w:val="009A2A98"/>
    <w:rsid w:val="009C4C8A"/>
    <w:rsid w:val="009D0D86"/>
    <w:rsid w:val="009D2060"/>
    <w:rsid w:val="009D27C6"/>
    <w:rsid w:val="009D32BF"/>
    <w:rsid w:val="009D3DC7"/>
    <w:rsid w:val="009E5DC1"/>
    <w:rsid w:val="009E73E2"/>
    <w:rsid w:val="009F209B"/>
    <w:rsid w:val="009F7255"/>
    <w:rsid w:val="009F7266"/>
    <w:rsid w:val="00A07BAB"/>
    <w:rsid w:val="00A123EC"/>
    <w:rsid w:val="00A2139F"/>
    <w:rsid w:val="00A34954"/>
    <w:rsid w:val="00A44D0E"/>
    <w:rsid w:val="00A558EA"/>
    <w:rsid w:val="00A63972"/>
    <w:rsid w:val="00A674ED"/>
    <w:rsid w:val="00A678D0"/>
    <w:rsid w:val="00A67B29"/>
    <w:rsid w:val="00A72B85"/>
    <w:rsid w:val="00A817AF"/>
    <w:rsid w:val="00A955F6"/>
    <w:rsid w:val="00AA4666"/>
    <w:rsid w:val="00AB061D"/>
    <w:rsid w:val="00AC0A72"/>
    <w:rsid w:val="00AD5A52"/>
    <w:rsid w:val="00AE1E11"/>
    <w:rsid w:val="00AE1EDE"/>
    <w:rsid w:val="00B01D66"/>
    <w:rsid w:val="00B06B68"/>
    <w:rsid w:val="00B06C05"/>
    <w:rsid w:val="00B22A32"/>
    <w:rsid w:val="00B3657A"/>
    <w:rsid w:val="00B370C0"/>
    <w:rsid w:val="00B4152B"/>
    <w:rsid w:val="00B55117"/>
    <w:rsid w:val="00B640F7"/>
    <w:rsid w:val="00B6748E"/>
    <w:rsid w:val="00B67DEE"/>
    <w:rsid w:val="00B67E5B"/>
    <w:rsid w:val="00B77B77"/>
    <w:rsid w:val="00B818DB"/>
    <w:rsid w:val="00B87995"/>
    <w:rsid w:val="00B87C61"/>
    <w:rsid w:val="00B941F7"/>
    <w:rsid w:val="00BA6FDB"/>
    <w:rsid w:val="00BC02E1"/>
    <w:rsid w:val="00BC333A"/>
    <w:rsid w:val="00BC5C76"/>
    <w:rsid w:val="00BD0FDB"/>
    <w:rsid w:val="00BD60A0"/>
    <w:rsid w:val="00BE179A"/>
    <w:rsid w:val="00BF1947"/>
    <w:rsid w:val="00BF4968"/>
    <w:rsid w:val="00C125B7"/>
    <w:rsid w:val="00C12FC8"/>
    <w:rsid w:val="00C24B5E"/>
    <w:rsid w:val="00C30625"/>
    <w:rsid w:val="00C31EB8"/>
    <w:rsid w:val="00C37699"/>
    <w:rsid w:val="00C41852"/>
    <w:rsid w:val="00C440C7"/>
    <w:rsid w:val="00C66F23"/>
    <w:rsid w:val="00CA3D74"/>
    <w:rsid w:val="00CA3E85"/>
    <w:rsid w:val="00CB4DB1"/>
    <w:rsid w:val="00CC6B74"/>
    <w:rsid w:val="00CD54D2"/>
    <w:rsid w:val="00CE2384"/>
    <w:rsid w:val="00CE6BDA"/>
    <w:rsid w:val="00CF7653"/>
    <w:rsid w:val="00D20A9D"/>
    <w:rsid w:val="00D270D7"/>
    <w:rsid w:val="00D31C63"/>
    <w:rsid w:val="00D32876"/>
    <w:rsid w:val="00D37AB7"/>
    <w:rsid w:val="00D44042"/>
    <w:rsid w:val="00D518C9"/>
    <w:rsid w:val="00D60C3C"/>
    <w:rsid w:val="00D8505F"/>
    <w:rsid w:val="00D861A6"/>
    <w:rsid w:val="00D95DDA"/>
    <w:rsid w:val="00D96B4E"/>
    <w:rsid w:val="00DA640B"/>
    <w:rsid w:val="00DB2DA8"/>
    <w:rsid w:val="00DB61FD"/>
    <w:rsid w:val="00DC03A0"/>
    <w:rsid w:val="00DC2590"/>
    <w:rsid w:val="00DC692C"/>
    <w:rsid w:val="00DD794B"/>
    <w:rsid w:val="00DD799C"/>
    <w:rsid w:val="00DD7CB6"/>
    <w:rsid w:val="00DE1D73"/>
    <w:rsid w:val="00DE4098"/>
    <w:rsid w:val="00DE59D5"/>
    <w:rsid w:val="00DF14A0"/>
    <w:rsid w:val="00E10EE6"/>
    <w:rsid w:val="00E179E3"/>
    <w:rsid w:val="00E23F92"/>
    <w:rsid w:val="00E50144"/>
    <w:rsid w:val="00E514B7"/>
    <w:rsid w:val="00E54D8D"/>
    <w:rsid w:val="00E8175B"/>
    <w:rsid w:val="00E82BB0"/>
    <w:rsid w:val="00E938DC"/>
    <w:rsid w:val="00EA5A70"/>
    <w:rsid w:val="00EA6E20"/>
    <w:rsid w:val="00EB0C0D"/>
    <w:rsid w:val="00EB41EF"/>
    <w:rsid w:val="00EC4A8B"/>
    <w:rsid w:val="00EC5796"/>
    <w:rsid w:val="00ED116F"/>
    <w:rsid w:val="00ED11EC"/>
    <w:rsid w:val="00ED1D2E"/>
    <w:rsid w:val="00EE3FD4"/>
    <w:rsid w:val="00EE4054"/>
    <w:rsid w:val="00EF4F54"/>
    <w:rsid w:val="00F01A62"/>
    <w:rsid w:val="00F0406A"/>
    <w:rsid w:val="00F16E01"/>
    <w:rsid w:val="00F35DDE"/>
    <w:rsid w:val="00F4416B"/>
    <w:rsid w:val="00F46CBF"/>
    <w:rsid w:val="00F5333D"/>
    <w:rsid w:val="00F578C6"/>
    <w:rsid w:val="00F73609"/>
    <w:rsid w:val="00F74D06"/>
    <w:rsid w:val="00F805F0"/>
    <w:rsid w:val="00F83F91"/>
    <w:rsid w:val="00F8562F"/>
    <w:rsid w:val="00FA3CF0"/>
    <w:rsid w:val="00FB0B67"/>
    <w:rsid w:val="00FB5BE1"/>
    <w:rsid w:val="00FB684E"/>
    <w:rsid w:val="00FE6142"/>
    <w:rsid w:val="00FE781E"/>
    <w:rsid w:val="00FF3BAE"/>
    <w:rsid w:val="00FF64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E02E43"/>
  <w15:chartTrackingRefBased/>
  <w15:docId w15:val="{DB261B10-168A-47AA-AFA7-015B8950DC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orbel" w:eastAsia="楷体" w:hAnsi="Corbel"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685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D7E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D7E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D7E9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8D7E90"/>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8D7E90"/>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8D7E90"/>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8D7E90"/>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8D7E90"/>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5BE1"/>
    <w:pPr>
      <w:ind w:left="720"/>
      <w:contextualSpacing/>
    </w:pPr>
  </w:style>
  <w:style w:type="paragraph" w:styleId="Header">
    <w:name w:val="header"/>
    <w:basedOn w:val="Normal"/>
    <w:link w:val="HeaderChar"/>
    <w:uiPriority w:val="99"/>
    <w:unhideWhenUsed/>
    <w:rsid w:val="008D7E90"/>
    <w:pPr>
      <w:tabs>
        <w:tab w:val="center" w:pos="4320"/>
        <w:tab w:val="right" w:pos="8640"/>
      </w:tabs>
      <w:spacing w:after="0" w:line="240" w:lineRule="auto"/>
    </w:pPr>
  </w:style>
  <w:style w:type="character" w:customStyle="1" w:styleId="HeaderChar">
    <w:name w:val="Header Char"/>
    <w:basedOn w:val="DefaultParagraphFont"/>
    <w:link w:val="Header"/>
    <w:uiPriority w:val="99"/>
    <w:rsid w:val="008D7E90"/>
  </w:style>
  <w:style w:type="paragraph" w:styleId="Footer">
    <w:name w:val="footer"/>
    <w:basedOn w:val="Normal"/>
    <w:link w:val="FooterChar"/>
    <w:uiPriority w:val="99"/>
    <w:unhideWhenUsed/>
    <w:rsid w:val="008D7E90"/>
    <w:pPr>
      <w:tabs>
        <w:tab w:val="center" w:pos="4320"/>
        <w:tab w:val="right" w:pos="8640"/>
      </w:tabs>
      <w:spacing w:after="0" w:line="240" w:lineRule="auto"/>
    </w:pPr>
  </w:style>
  <w:style w:type="character" w:customStyle="1" w:styleId="FooterChar">
    <w:name w:val="Footer Char"/>
    <w:basedOn w:val="DefaultParagraphFont"/>
    <w:link w:val="Footer"/>
    <w:uiPriority w:val="99"/>
    <w:rsid w:val="008D7E90"/>
  </w:style>
  <w:style w:type="character" w:customStyle="1" w:styleId="Heading2Char">
    <w:name w:val="Heading 2 Char"/>
    <w:basedOn w:val="DefaultParagraphFont"/>
    <w:link w:val="Heading2"/>
    <w:uiPriority w:val="9"/>
    <w:rsid w:val="008D7E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D7E9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D7E9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8D7E9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8D7E9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8D7E9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8D7E9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8D7E90"/>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B365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657A"/>
    <w:rPr>
      <w:rFonts w:asciiTheme="majorHAnsi" w:eastAsiaTheme="majorEastAsia" w:hAnsiTheme="majorHAnsi" w:cstheme="majorBidi"/>
      <w:spacing w:val="-10"/>
      <w:kern w:val="28"/>
      <w:sz w:val="56"/>
      <w:szCs w:val="56"/>
    </w:rPr>
  </w:style>
  <w:style w:type="paragraph" w:styleId="FootnoteText">
    <w:name w:val="footnote text"/>
    <w:basedOn w:val="Normal"/>
    <w:link w:val="FootnoteTextChar"/>
    <w:uiPriority w:val="99"/>
    <w:semiHidden/>
    <w:unhideWhenUsed/>
    <w:rsid w:val="00DF14A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F14A0"/>
    <w:rPr>
      <w:sz w:val="20"/>
      <w:szCs w:val="20"/>
    </w:rPr>
  </w:style>
  <w:style w:type="character" w:styleId="FootnoteReference">
    <w:name w:val="footnote reference"/>
    <w:basedOn w:val="DefaultParagraphFont"/>
    <w:uiPriority w:val="99"/>
    <w:semiHidden/>
    <w:unhideWhenUsed/>
    <w:rsid w:val="00DF14A0"/>
    <w:rPr>
      <w:vertAlign w:val="superscript"/>
    </w:rPr>
  </w:style>
  <w:style w:type="paragraph" w:customStyle="1" w:styleId="EndNoteBibliographyTitle">
    <w:name w:val="EndNote Bibliography Title"/>
    <w:basedOn w:val="Normal"/>
    <w:link w:val="EndNoteBibliographyTitleChar"/>
    <w:rsid w:val="00D31C63"/>
    <w:pPr>
      <w:spacing w:after="0"/>
      <w:jc w:val="center"/>
    </w:pPr>
    <w:rPr>
      <w:noProof/>
    </w:rPr>
  </w:style>
  <w:style w:type="character" w:customStyle="1" w:styleId="EndNoteBibliographyTitleChar">
    <w:name w:val="EndNote Bibliography Title Char"/>
    <w:basedOn w:val="DefaultParagraphFont"/>
    <w:link w:val="EndNoteBibliographyTitle"/>
    <w:rsid w:val="00D31C63"/>
    <w:rPr>
      <w:noProof/>
    </w:rPr>
  </w:style>
  <w:style w:type="paragraph" w:customStyle="1" w:styleId="EndNoteBibliography">
    <w:name w:val="EndNote Bibliography"/>
    <w:basedOn w:val="Normal"/>
    <w:link w:val="EndNoteBibliographyChar"/>
    <w:rsid w:val="00D31C63"/>
    <w:pPr>
      <w:spacing w:line="240" w:lineRule="auto"/>
    </w:pPr>
    <w:rPr>
      <w:noProof/>
    </w:rPr>
  </w:style>
  <w:style w:type="character" w:customStyle="1" w:styleId="EndNoteBibliographyChar">
    <w:name w:val="EndNote Bibliography Char"/>
    <w:basedOn w:val="DefaultParagraphFont"/>
    <w:link w:val="EndNoteBibliography"/>
    <w:rsid w:val="00D31C63"/>
    <w:rPr>
      <w:noProof/>
    </w:rPr>
  </w:style>
  <w:style w:type="character" w:styleId="Hyperlink">
    <w:name w:val="Hyperlink"/>
    <w:basedOn w:val="DefaultParagraphFont"/>
    <w:uiPriority w:val="99"/>
    <w:unhideWhenUsed/>
    <w:rsid w:val="00B06B68"/>
    <w:rPr>
      <w:color w:val="0563C1" w:themeColor="hyperlink"/>
      <w:u w:val="single"/>
    </w:rPr>
  </w:style>
  <w:style w:type="character" w:styleId="UnresolvedMention">
    <w:name w:val="Unresolved Mention"/>
    <w:basedOn w:val="DefaultParagraphFont"/>
    <w:uiPriority w:val="99"/>
    <w:semiHidden/>
    <w:unhideWhenUsed/>
    <w:rsid w:val="00B06B68"/>
    <w:rPr>
      <w:color w:val="605E5C"/>
      <w:shd w:val="clear" w:color="auto" w:fill="E1DFDD"/>
    </w:rPr>
  </w:style>
  <w:style w:type="character" w:customStyle="1" w:styleId="Heading1Char">
    <w:name w:val="Heading 1 Char"/>
    <w:basedOn w:val="DefaultParagraphFont"/>
    <w:link w:val="Heading1"/>
    <w:uiPriority w:val="9"/>
    <w:rsid w:val="0061685D"/>
    <w:rPr>
      <w:rFonts w:asciiTheme="majorHAnsi" w:eastAsiaTheme="majorEastAsia" w:hAnsiTheme="majorHAnsi" w:cstheme="majorBidi"/>
      <w:color w:val="2F5496" w:themeColor="accent1" w:themeShade="BF"/>
      <w:sz w:val="32"/>
      <w:szCs w:val="32"/>
    </w:rPr>
  </w:style>
  <w:style w:type="character" w:styleId="IntenseEmphasis">
    <w:name w:val="Intense Emphasis"/>
    <w:basedOn w:val="DefaultParagraphFont"/>
    <w:uiPriority w:val="21"/>
    <w:qFormat/>
    <w:rsid w:val="0061685D"/>
    <w:rPr>
      <w:i/>
      <w:iCs/>
      <w:color w:val="4472C4" w:themeColor="accent1"/>
    </w:rPr>
  </w:style>
  <w:style w:type="paragraph" w:styleId="BalloonText">
    <w:name w:val="Balloon Text"/>
    <w:basedOn w:val="Normal"/>
    <w:link w:val="BalloonTextChar"/>
    <w:uiPriority w:val="99"/>
    <w:semiHidden/>
    <w:unhideWhenUsed/>
    <w:rsid w:val="0031162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11624"/>
    <w:rPr>
      <w:rFonts w:ascii="Segoe UI" w:hAnsi="Segoe UI" w:cs="Segoe UI"/>
      <w:sz w:val="18"/>
      <w:szCs w:val="18"/>
    </w:rPr>
  </w:style>
  <w:style w:type="character" w:styleId="Emphasis">
    <w:name w:val="Emphasis"/>
    <w:basedOn w:val="DefaultParagraphFont"/>
    <w:uiPriority w:val="20"/>
    <w:qFormat/>
    <w:rsid w:val="00311624"/>
    <w:rPr>
      <w:i/>
      <w:iCs/>
    </w:rPr>
  </w:style>
  <w:style w:type="paragraph" w:styleId="Bibliography">
    <w:name w:val="Bibliography"/>
    <w:basedOn w:val="Normal"/>
    <w:next w:val="Normal"/>
    <w:uiPriority w:val="37"/>
    <w:unhideWhenUsed/>
    <w:rsid w:val="00311624"/>
    <w:rPr>
      <w:rFonts w:eastAsiaTheme="minorEastAsia"/>
      <w:lang w:val="en-GB"/>
    </w:rPr>
  </w:style>
  <w:style w:type="character" w:styleId="CommentReference">
    <w:name w:val="annotation reference"/>
    <w:basedOn w:val="DefaultParagraphFont"/>
    <w:uiPriority w:val="99"/>
    <w:semiHidden/>
    <w:unhideWhenUsed/>
    <w:rsid w:val="00311624"/>
    <w:rPr>
      <w:sz w:val="16"/>
      <w:szCs w:val="16"/>
    </w:rPr>
  </w:style>
  <w:style w:type="paragraph" w:styleId="CommentText">
    <w:name w:val="annotation text"/>
    <w:basedOn w:val="Normal"/>
    <w:link w:val="CommentTextChar"/>
    <w:uiPriority w:val="99"/>
    <w:semiHidden/>
    <w:unhideWhenUsed/>
    <w:rsid w:val="00311624"/>
    <w:pPr>
      <w:spacing w:line="240" w:lineRule="auto"/>
    </w:pPr>
    <w:rPr>
      <w:rFonts w:eastAsiaTheme="minorEastAsia"/>
      <w:sz w:val="20"/>
      <w:szCs w:val="20"/>
      <w:lang w:val="en-GB"/>
    </w:rPr>
  </w:style>
  <w:style w:type="character" w:customStyle="1" w:styleId="CommentTextChar">
    <w:name w:val="Comment Text Char"/>
    <w:basedOn w:val="DefaultParagraphFont"/>
    <w:link w:val="CommentText"/>
    <w:uiPriority w:val="99"/>
    <w:semiHidden/>
    <w:rsid w:val="00311624"/>
    <w:rPr>
      <w:rFonts w:eastAsiaTheme="minorEastAsia"/>
      <w:sz w:val="20"/>
      <w:szCs w:val="20"/>
      <w:lang w:val="en-GB"/>
    </w:rPr>
  </w:style>
  <w:style w:type="paragraph" w:styleId="Revision">
    <w:name w:val="Revision"/>
    <w:hidden/>
    <w:uiPriority w:val="99"/>
    <w:semiHidden/>
    <w:rsid w:val="00920944"/>
    <w:pPr>
      <w:spacing w:after="0" w:line="240" w:lineRule="auto"/>
    </w:pPr>
  </w:style>
  <w:style w:type="paragraph" w:styleId="CommentSubject">
    <w:name w:val="annotation subject"/>
    <w:basedOn w:val="CommentText"/>
    <w:next w:val="CommentText"/>
    <w:link w:val="CommentSubjectChar"/>
    <w:uiPriority w:val="99"/>
    <w:semiHidden/>
    <w:unhideWhenUsed/>
    <w:rsid w:val="007B7BCE"/>
    <w:rPr>
      <w:rFonts w:eastAsia="楷体"/>
      <w:b/>
      <w:bCs/>
      <w:lang w:val="en-US"/>
    </w:rPr>
  </w:style>
  <w:style w:type="character" w:customStyle="1" w:styleId="CommentSubjectChar">
    <w:name w:val="Comment Subject Char"/>
    <w:basedOn w:val="CommentTextChar"/>
    <w:link w:val="CommentSubject"/>
    <w:uiPriority w:val="99"/>
    <w:semiHidden/>
    <w:rsid w:val="007B7BCE"/>
    <w:rPr>
      <w:rFonts w:eastAsiaTheme="minorEastAsia"/>
      <w:b/>
      <w:bCs/>
      <w:sz w:val="20"/>
      <w:szCs w:val="20"/>
      <w:lang w:val="en-GB"/>
    </w:rPr>
  </w:style>
  <w:style w:type="paragraph" w:styleId="BodyText">
    <w:name w:val="Body Text"/>
    <w:basedOn w:val="Normal"/>
    <w:link w:val="BodyTextChar"/>
    <w:rsid w:val="00A67B29"/>
    <w:pPr>
      <w:spacing w:after="120" w:line="240" w:lineRule="auto"/>
      <w:jc w:val="center"/>
    </w:pPr>
    <w:rPr>
      <w:rFonts w:ascii="Times New Roman" w:eastAsia="Times New Roman" w:hAnsi="Times New Roman" w:cs="Times New Roman"/>
      <w:sz w:val="20"/>
      <w:szCs w:val="20"/>
      <w:lang w:eastAsia="en-US"/>
    </w:rPr>
  </w:style>
  <w:style w:type="character" w:customStyle="1" w:styleId="BodyTextChar">
    <w:name w:val="Body Text Char"/>
    <w:basedOn w:val="DefaultParagraphFont"/>
    <w:link w:val="BodyText"/>
    <w:rsid w:val="00A67B29"/>
    <w:rPr>
      <w:rFonts w:ascii="Times New Roman" w:eastAsia="Times New Roman" w:hAnsi="Times New Roman" w:cs="Times New Roman"/>
      <w:sz w:val="20"/>
      <w:szCs w:val="20"/>
      <w:lang w:eastAsia="en-US"/>
    </w:rPr>
  </w:style>
  <w:style w:type="table" w:styleId="GridTable4-Accent1">
    <w:name w:val="Grid Table 4 Accent 1"/>
    <w:basedOn w:val="TableNormal"/>
    <w:uiPriority w:val="49"/>
    <w:rsid w:val="00290FC4"/>
    <w:pPr>
      <w:spacing w:after="0" w:line="240" w:lineRule="auto"/>
    </w:pPr>
    <w:rPr>
      <w:rFonts w:eastAsiaTheme="minorEastAsia"/>
      <w:lang w:val="en-GB"/>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8741412">
      <w:bodyDiv w:val="1"/>
      <w:marLeft w:val="0"/>
      <w:marRight w:val="0"/>
      <w:marTop w:val="0"/>
      <w:marBottom w:val="0"/>
      <w:divBdr>
        <w:top w:val="none" w:sz="0" w:space="0" w:color="auto"/>
        <w:left w:val="none" w:sz="0" w:space="0" w:color="auto"/>
        <w:bottom w:val="none" w:sz="0" w:space="0" w:color="auto"/>
        <w:right w:val="none" w:sz="0" w:space="0" w:color="auto"/>
      </w:divBdr>
      <w:divsChild>
        <w:div w:id="7496167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package" Target="embeddings/Microsoft_Excel_Worksheet2.xlsx"/><Relationship Id="rId26" Type="http://schemas.openxmlformats.org/officeDocument/2006/relationships/package" Target="embeddings/Microsoft_Excel_Worksheet5.xlsx"/><Relationship Id="rId39" Type="http://schemas.microsoft.com/office/2018/08/relationships/commentsExtensible" Target="commentsExtensible.xml"/><Relationship Id="rId21" Type="http://schemas.openxmlformats.org/officeDocument/2006/relationships/image" Target="media/image6.emf"/><Relationship Id="rId34" Type="http://schemas.openxmlformats.org/officeDocument/2006/relationships/image" Target="media/image10.emf"/><Relationship Id="rId42" Type="http://schemas.openxmlformats.org/officeDocument/2006/relationships/image" Target="media/image13.emf"/><Relationship Id="rId47" Type="http://schemas.openxmlformats.org/officeDocument/2006/relationships/package" Target="embeddings/Microsoft_Excel_Worksheet13.xlsx"/><Relationship Id="rId50" Type="http://schemas.openxmlformats.org/officeDocument/2006/relationships/hyperlink" Target="www.celent.com/insight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Excel_Worksheet1.xlsx"/><Relationship Id="rId29" Type="http://schemas.openxmlformats.org/officeDocument/2006/relationships/chart" Target="charts/chart3.xml"/><Relationship Id="rId11" Type="http://schemas.microsoft.com/office/2016/09/relationships/commentsIds" Target="commentsIds.xml"/><Relationship Id="rId24" Type="http://schemas.openxmlformats.org/officeDocument/2006/relationships/chart" Target="charts/chart2.xml"/><Relationship Id="rId32" Type="http://schemas.openxmlformats.org/officeDocument/2006/relationships/image" Target="media/image9.emf"/><Relationship Id="rId37" Type="http://schemas.openxmlformats.org/officeDocument/2006/relationships/image" Target="media/image11.emf"/><Relationship Id="rId40" Type="http://schemas.openxmlformats.org/officeDocument/2006/relationships/image" Target="media/image12.emf"/><Relationship Id="rId45" Type="http://schemas.openxmlformats.org/officeDocument/2006/relationships/package" Target="embeddings/Microsoft_Excel_Worksheet12.xlsx"/><Relationship Id="rId53" Type="http://schemas.openxmlformats.org/officeDocument/2006/relationships/theme" Target="theme/theme1.xml"/><Relationship Id="rId5" Type="http://schemas.openxmlformats.org/officeDocument/2006/relationships/webSettings" Target="webSettings.xml"/><Relationship Id="rId10" Type="http://schemas.microsoft.com/office/2011/relationships/commentsExtended" Target="commentsExtended.xml"/><Relationship Id="rId19" Type="http://schemas.openxmlformats.org/officeDocument/2006/relationships/image" Target="media/image5.emf"/><Relationship Id="rId31" Type="http://schemas.openxmlformats.org/officeDocument/2006/relationships/chart" Target="charts/chart5.xml"/><Relationship Id="rId44" Type="http://schemas.openxmlformats.org/officeDocument/2006/relationships/image" Target="media/image14.emf"/><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package" Target="embeddings/Microsoft_Excel_Worksheet.xlsx"/><Relationship Id="rId22" Type="http://schemas.openxmlformats.org/officeDocument/2006/relationships/package" Target="embeddings/Microsoft_Excel_Worksheet4.xlsx"/><Relationship Id="rId27" Type="http://schemas.openxmlformats.org/officeDocument/2006/relationships/image" Target="media/image8.emf"/><Relationship Id="rId30" Type="http://schemas.openxmlformats.org/officeDocument/2006/relationships/chart" Target="charts/chart4.xml"/><Relationship Id="rId35" Type="http://schemas.openxmlformats.org/officeDocument/2006/relationships/package" Target="embeddings/Microsoft_Excel_Worksheet8.xlsx"/><Relationship Id="rId43" Type="http://schemas.openxmlformats.org/officeDocument/2006/relationships/package" Target="embeddings/Microsoft_Excel_Worksheet11.xlsx"/><Relationship Id="rId48" Type="http://schemas.openxmlformats.org/officeDocument/2006/relationships/image" Target="media/image16.emf"/><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emf"/><Relationship Id="rId25" Type="http://schemas.openxmlformats.org/officeDocument/2006/relationships/image" Target="media/image7.emf"/><Relationship Id="rId33" Type="http://schemas.openxmlformats.org/officeDocument/2006/relationships/package" Target="embeddings/Microsoft_Excel_Worksheet7.xlsx"/><Relationship Id="rId38" Type="http://schemas.openxmlformats.org/officeDocument/2006/relationships/package" Target="embeddings/Microsoft_Excel_Worksheet9.xlsx"/><Relationship Id="rId46" Type="http://schemas.openxmlformats.org/officeDocument/2006/relationships/image" Target="media/image15.emf"/><Relationship Id="rId20" Type="http://schemas.openxmlformats.org/officeDocument/2006/relationships/package" Target="embeddings/Microsoft_Excel_Worksheet3.xlsx"/><Relationship Id="rId41" Type="http://schemas.openxmlformats.org/officeDocument/2006/relationships/package" Target="embeddings/Microsoft_Excel_Worksheet10.xls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chart" Target="charts/chart1.xml"/><Relationship Id="rId28" Type="http://schemas.openxmlformats.org/officeDocument/2006/relationships/package" Target="embeddings/Microsoft_Excel_Worksheet6.xlsx"/><Relationship Id="rId36" Type="http://schemas.openxmlformats.org/officeDocument/2006/relationships/chart" Target="charts/chart6.xml"/><Relationship Id="rId49" Type="http://schemas.openxmlformats.org/officeDocument/2006/relationships/package" Target="embeddings/Microsoft_Excel_Worksheet14.xlsx"/></Relationships>
</file>

<file path=word/_rels/footnotes.xml.rels><?xml version="1.0" encoding="UTF-8" standalone="yes"?>
<Relationships xmlns="http://schemas.openxmlformats.org/package/2006/relationships"><Relationship Id="rId8" Type="http://schemas.openxmlformats.org/officeDocument/2006/relationships/hyperlink" Target="http://www.cbirc.gov.cn/cn/view/pages/ItemDetail.html?docId=890465&amp;itemId=954&amp;generaltype=0" TargetMode="External"/><Relationship Id="rId13" Type="http://schemas.openxmlformats.org/officeDocument/2006/relationships/hyperlink" Target="http://www.gov.cn/zhengce/2018-03/21/content_5276191.htm" TargetMode="External"/><Relationship Id="rId18" Type="http://schemas.openxmlformats.org/officeDocument/2006/relationships/hyperlink" Target="http://www.csrc.gov.cn/pub/newsite/scb/ssgshyfljg/201910/t20191028_365098.html" TargetMode="External"/><Relationship Id="rId26" Type="http://schemas.openxmlformats.org/officeDocument/2006/relationships/hyperlink" Target="https://www.fsb.org/2019/11/2019-list-of-global-systemically-important-banks-g-sibs/" TargetMode="External"/><Relationship Id="rId3" Type="http://schemas.openxmlformats.org/officeDocument/2006/relationships/hyperlink" Target="http://www.pbc.gov.cn/rmyh/105226/105433/index.html" TargetMode="External"/><Relationship Id="rId21" Type="http://schemas.openxmlformats.org/officeDocument/2006/relationships/hyperlink" Target="http://www.gov.cn/zhengce/content/2019-10/15/content_5439956.htm" TargetMode="External"/><Relationship Id="rId7" Type="http://schemas.openxmlformats.org/officeDocument/2006/relationships/hyperlink" Target="http://www.huijin-inv.cn/huijineng/About_Us/index.shtml" TargetMode="External"/><Relationship Id="rId12" Type="http://schemas.openxmlformats.org/officeDocument/2006/relationships/hyperlink" Target="http://www.gov.cn/zhengce/2018-03/21/content_5276191.htm" TargetMode="External"/><Relationship Id="rId17" Type="http://schemas.openxmlformats.org/officeDocument/2006/relationships/hyperlink" Target="http://www.gov.cn/zhengce/2018-11/13/content_5339932.htm" TargetMode="External"/><Relationship Id="rId25" Type="http://schemas.openxmlformats.org/officeDocument/2006/relationships/hyperlink" Target="http://www.cbirc.gov.cn/cn/doc/9106/910601/7C19F626EAC74658A5163952034C06D0.html" TargetMode="External"/><Relationship Id="rId2" Type="http://schemas.openxmlformats.org/officeDocument/2006/relationships/hyperlink" Target="http://www.stats.gov.cn/english/PressRelease/202002/t20200228_1728917.html" TargetMode="External"/><Relationship Id="rId16" Type="http://schemas.openxmlformats.org/officeDocument/2006/relationships/hyperlink" Target="http://www.moj.gov.cn/Department/content/2004-01/12/592_201287.html" TargetMode="External"/><Relationship Id="rId20" Type="http://schemas.openxmlformats.org/officeDocument/2006/relationships/hyperlink" Target="http://www.moj.gov.cn/Department/content/2003-12/29/592_201231.html" TargetMode="External"/><Relationship Id="rId29" Type="http://schemas.openxmlformats.org/officeDocument/2006/relationships/hyperlink" Target="http://www.cbirc.gov.cn/cn/doc/9103/910303/91030302/D564397D9D8F467F9660BB58E06C6841.html" TargetMode="External"/><Relationship Id="rId1" Type="http://schemas.openxmlformats.org/officeDocument/2006/relationships/hyperlink" Target="http://www.stats.gov.cn/tjsj/ndsj/2019/indexch.htm" TargetMode="External"/><Relationship Id="rId6" Type="http://schemas.openxmlformats.org/officeDocument/2006/relationships/hyperlink" Target="http://www.gov.cn/zhengce/content/2015-04/20/content_9631.htm" TargetMode="External"/><Relationship Id="rId11" Type="http://schemas.openxmlformats.org/officeDocument/2006/relationships/hyperlink" Target="http://www.gov.cn/gongbao/content/2003/content_62100.htm" TargetMode="External"/><Relationship Id="rId24" Type="http://schemas.openxmlformats.org/officeDocument/2006/relationships/hyperlink" Target="http://www.cbirc.gov.cn/cn/doc/9103/910303/91030302/020943393088424EBD4670788398111B.html" TargetMode="External"/><Relationship Id="rId5" Type="http://schemas.openxmlformats.org/officeDocument/2006/relationships/hyperlink" Target="http://www.pbc.gov.cn/tiaofasi/144941/144953/2817226/index.html" TargetMode="External"/><Relationship Id="rId15" Type="http://schemas.openxmlformats.org/officeDocument/2006/relationships/hyperlink" Target="http://www.moj.gov.cn/Department/content/2004-01/12/592_201445.html" TargetMode="External"/><Relationship Id="rId23" Type="http://schemas.openxmlformats.org/officeDocument/2006/relationships/hyperlink" Target="http://www.gov.cn/zhengce/content/2008-03/28/content_1958.htm" TargetMode="External"/><Relationship Id="rId28" Type="http://schemas.openxmlformats.org/officeDocument/2006/relationships/hyperlink" Target="http://www.cbirc.gov.cn/cn/doc/9103/910303/91030302/656ED8C75FA44F0387EF393B842A8A11.html" TargetMode="External"/><Relationship Id="rId10" Type="http://schemas.openxmlformats.org/officeDocument/2006/relationships/hyperlink" Target="http://www.pbc.gov.cn/rmyh/105226/105433/index.html" TargetMode="External"/><Relationship Id="rId19" Type="http://schemas.openxmlformats.org/officeDocument/2006/relationships/hyperlink" Target="http://www.audit.gov.cn/n10/n14/index.html" TargetMode="External"/><Relationship Id="rId31" Type="http://schemas.openxmlformats.org/officeDocument/2006/relationships/hyperlink" Target="http://www.cbirc.gov.cn/cn/view/pages/ItemDetail.html?docId=876073&amp;itemId=928&amp;generaltype=0" TargetMode="External"/><Relationship Id="rId4" Type="http://schemas.openxmlformats.org/officeDocument/2006/relationships/hyperlink" Target="http://www.npc.gov.cn/npc/c9757/200904/8e461e2ba405480697185186122812d4.shtml" TargetMode="External"/><Relationship Id="rId9" Type="http://schemas.openxmlformats.org/officeDocument/2006/relationships/hyperlink" Target="http://www.pbc.gov.cn/bangongting/135485/135495/135499/2833472/index.html" TargetMode="External"/><Relationship Id="rId14" Type="http://schemas.openxmlformats.org/officeDocument/2006/relationships/hyperlink" Target="http://www.moj.gov.cn/Department/content/2003-12/29/592_201231.html" TargetMode="External"/><Relationship Id="rId22" Type="http://schemas.openxmlformats.org/officeDocument/2006/relationships/hyperlink" Target="http://www.gov.cn/zhengce/content/2014-12/20/content_9309.htm" TargetMode="External"/><Relationship Id="rId27" Type="http://schemas.openxmlformats.org/officeDocument/2006/relationships/hyperlink" Target="http://www.cbirc.gov.cn/cn/doc/9103/910303/91030302/20111009E63FE2BF1B07CFCAFFB978A4C2F0DC00.html" TargetMode="External"/><Relationship Id="rId30" Type="http://schemas.openxmlformats.org/officeDocument/2006/relationships/hyperlink" Target="http://www.cbirc.gov.cn/cn/doc/9103/910303/91030302/C441E44624394A76B25051CA7F4AFE5C.html"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G:\1-Study%20II\PhD\Queens%20PhD%20Program\2%20Academic%20Writing\Data\Tier%201%20yearly.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G:\1-Study%20II\PhD\Queens%20PhD%20Program\2%20Academic%20Writing\Data\Bank%20Efficiency%20Analysis\2020-07-13%20Differentiation%20Data\2020-08-09%20R%20Results-%20Yearly%20Means\Equity%20to%20Assets%20yearly.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G:\1-Study%20II\PhD\Queens%20PhD%20Program\2%20Academic%20Writing\Data\Bank%20Efficiency%20Analysis\2020-07-13%20Differentiation%20Data\2020-08-09%20R%20Results-%20Yearly%20Means\ROAA%20yearly.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G:\1-Study%20II\PhD\Queens%20PhD%20Program\2%20Academic%20Writing\Data\Bank%20Efficiency%20Analysis\2020-07-13%20Differentiation%20Data\2020-08-09%20R%20Results-%20Yearly%20Means\NPL%20yearly.csv"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G:\1-Study%20II\PhD\Queens%20PhD%20Program\2%20Academic%20Writing\Data\Bank%20Efficiency%20Analysis\2020-07-13%20Differentiation%20Data\2020-08-09%20R%20Results-%20Yearly%20Means\Loans%20to%20Assets%20yearly.csv"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G:\1-Study%20II\PhD\Queens%20PhD%20Program\2%20Academic%20Writing\Data\Bank%20Efficiency%20Analysis\2020-07-13%20Differentiation%20Data\2020-08-09%20R%20Results-%20Yearly%20Means\Cost%20to%20Income%20yearly.csv"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Tier 1 Capital Ratio</a:t>
            </a:r>
          </a:p>
        </c:rich>
      </c:tx>
      <c:layout>
        <c:manualLayout>
          <c:xMode val="edge"/>
          <c:yMode val="edge"/>
          <c:x val="0.36332743009199969"/>
          <c:y val="4.6715306987616764E-2"/>
        </c:manualLayout>
      </c:layout>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manualLayout>
          <c:layoutTarget val="inner"/>
          <c:xMode val="edge"/>
          <c:yMode val="edge"/>
          <c:x val="0.11255265596688967"/>
          <c:y val="0.15782407407407409"/>
          <c:w val="0.62462507290755309"/>
          <c:h val="0.71413716145185968"/>
        </c:manualLayout>
      </c:layout>
      <c:lineChart>
        <c:grouping val="standard"/>
        <c:varyColors val="0"/>
        <c:ser>
          <c:idx val="0"/>
          <c:order val="0"/>
          <c:tx>
            <c:strRef>
              <c:f>'Tier 1 yearly'!$A$8</c:f>
              <c:strCache>
                <c:ptCount val="1"/>
                <c:pt idx="0">
                  <c:v>State-owned</c:v>
                </c:pt>
              </c:strCache>
            </c:strRef>
          </c:tx>
          <c:spPr>
            <a:ln w="22225" cap="rnd">
              <a:solidFill>
                <a:schemeClr val="accent1"/>
              </a:solidFill>
              <a:round/>
            </a:ln>
            <a:effectLst/>
          </c:spPr>
          <c:marker>
            <c:symbol val="none"/>
          </c:marker>
          <c:cat>
            <c:strRef>
              <c:f>'Tier 1 yearly'!$B$1:$K$1</c:f>
              <c:strCache>
                <c:ptCount val="10"/>
                <c:pt idx="0">
                  <c:v>Y10</c:v>
                </c:pt>
                <c:pt idx="1">
                  <c:v>Y11</c:v>
                </c:pt>
                <c:pt idx="2">
                  <c:v>Y12</c:v>
                </c:pt>
                <c:pt idx="3">
                  <c:v>Y13</c:v>
                </c:pt>
                <c:pt idx="4">
                  <c:v>Y14</c:v>
                </c:pt>
                <c:pt idx="5">
                  <c:v>Y15</c:v>
                </c:pt>
                <c:pt idx="6">
                  <c:v>Y16</c:v>
                </c:pt>
                <c:pt idx="7">
                  <c:v>Y17</c:v>
                </c:pt>
                <c:pt idx="8">
                  <c:v>Y18</c:v>
                </c:pt>
                <c:pt idx="9">
                  <c:v>Y19</c:v>
                </c:pt>
              </c:strCache>
            </c:strRef>
          </c:cat>
          <c:val>
            <c:numRef>
              <c:f>'Tier 1 yearly'!$B$8:$K$8</c:f>
              <c:numCache>
                <c:formatCode>0.00%</c:formatCode>
                <c:ptCount val="10"/>
                <c:pt idx="0">
                  <c:v>9.7145820189999996E-2</c:v>
                </c:pt>
                <c:pt idx="1">
                  <c:v>0.1083215517</c:v>
                </c:pt>
                <c:pt idx="2">
                  <c:v>0.1038177014</c:v>
                </c:pt>
                <c:pt idx="3">
                  <c:v>9.3815934050000008E-2</c:v>
                </c:pt>
                <c:pt idx="4">
                  <c:v>9.7698446840000008E-2</c:v>
                </c:pt>
                <c:pt idx="5">
                  <c:v>0.1054769919</c:v>
                </c:pt>
                <c:pt idx="6">
                  <c:v>0.1084025956</c:v>
                </c:pt>
                <c:pt idx="7">
                  <c:v>0.11156355039999999</c:v>
                </c:pt>
                <c:pt idx="8">
                  <c:v>0.11510012879999999</c:v>
                </c:pt>
                <c:pt idx="9">
                  <c:v>0.12453138850000001</c:v>
                </c:pt>
              </c:numCache>
            </c:numRef>
          </c:val>
          <c:smooth val="0"/>
          <c:extLst>
            <c:ext xmlns:c16="http://schemas.microsoft.com/office/drawing/2014/chart" uri="{C3380CC4-5D6E-409C-BE32-E72D297353CC}">
              <c16:uniqueId val="{00000000-CDB9-4EDC-885E-6CDE1EA21650}"/>
            </c:ext>
          </c:extLst>
        </c:ser>
        <c:ser>
          <c:idx val="1"/>
          <c:order val="1"/>
          <c:tx>
            <c:strRef>
              <c:f>'Tier 1 yearly'!$A$9</c:f>
              <c:strCache>
                <c:ptCount val="1"/>
                <c:pt idx="0">
                  <c:v>Local government-holding</c:v>
                </c:pt>
              </c:strCache>
            </c:strRef>
          </c:tx>
          <c:spPr>
            <a:ln w="22225" cap="rnd">
              <a:solidFill>
                <a:schemeClr val="accent2"/>
              </a:solidFill>
              <a:round/>
            </a:ln>
            <a:effectLst/>
          </c:spPr>
          <c:marker>
            <c:symbol val="none"/>
          </c:marker>
          <c:cat>
            <c:strRef>
              <c:f>'Tier 1 yearly'!$B$1:$K$1</c:f>
              <c:strCache>
                <c:ptCount val="10"/>
                <c:pt idx="0">
                  <c:v>Y10</c:v>
                </c:pt>
                <c:pt idx="1">
                  <c:v>Y11</c:v>
                </c:pt>
                <c:pt idx="2">
                  <c:v>Y12</c:v>
                </c:pt>
                <c:pt idx="3">
                  <c:v>Y13</c:v>
                </c:pt>
                <c:pt idx="4">
                  <c:v>Y14</c:v>
                </c:pt>
                <c:pt idx="5">
                  <c:v>Y15</c:v>
                </c:pt>
                <c:pt idx="6">
                  <c:v>Y16</c:v>
                </c:pt>
                <c:pt idx="7">
                  <c:v>Y17</c:v>
                </c:pt>
                <c:pt idx="8">
                  <c:v>Y18</c:v>
                </c:pt>
                <c:pt idx="9">
                  <c:v>Y19</c:v>
                </c:pt>
              </c:strCache>
            </c:strRef>
          </c:cat>
          <c:val>
            <c:numRef>
              <c:f>'Tier 1 yearly'!$B$9:$K$9</c:f>
              <c:numCache>
                <c:formatCode>0.00%</c:formatCode>
                <c:ptCount val="10"/>
                <c:pt idx="0">
                  <c:v>0.12353855969999999</c:v>
                </c:pt>
                <c:pt idx="1">
                  <c:v>0.11676020349999999</c:v>
                </c:pt>
                <c:pt idx="2">
                  <c:v>0.11497121169999999</c:v>
                </c:pt>
                <c:pt idx="3">
                  <c:v>0.11148265</c:v>
                </c:pt>
                <c:pt idx="4">
                  <c:v>0.1121872251</c:v>
                </c:pt>
                <c:pt idx="5">
                  <c:v>0.1089877459</c:v>
                </c:pt>
                <c:pt idx="6">
                  <c:v>0.1021548541</c:v>
                </c:pt>
                <c:pt idx="7">
                  <c:v>0.1038722763</c:v>
                </c:pt>
                <c:pt idx="8">
                  <c:v>0.1089692067</c:v>
                </c:pt>
                <c:pt idx="9">
                  <c:v>0.1109381903</c:v>
                </c:pt>
              </c:numCache>
            </c:numRef>
          </c:val>
          <c:smooth val="0"/>
          <c:extLst>
            <c:ext xmlns:c16="http://schemas.microsoft.com/office/drawing/2014/chart" uri="{C3380CC4-5D6E-409C-BE32-E72D297353CC}">
              <c16:uniqueId val="{00000001-CDB9-4EDC-885E-6CDE1EA21650}"/>
            </c:ext>
          </c:extLst>
        </c:ser>
        <c:ser>
          <c:idx val="2"/>
          <c:order val="2"/>
          <c:tx>
            <c:strRef>
              <c:f>'Tier 1 yearly'!$A$10</c:f>
              <c:strCache>
                <c:ptCount val="1"/>
                <c:pt idx="0">
                  <c:v>Joint-stock</c:v>
                </c:pt>
              </c:strCache>
            </c:strRef>
          </c:tx>
          <c:spPr>
            <a:ln w="22225" cap="rnd">
              <a:solidFill>
                <a:schemeClr val="accent3"/>
              </a:solidFill>
              <a:round/>
            </a:ln>
            <a:effectLst/>
          </c:spPr>
          <c:marker>
            <c:symbol val="none"/>
          </c:marker>
          <c:cat>
            <c:strRef>
              <c:f>'Tier 1 yearly'!$B$1:$K$1</c:f>
              <c:strCache>
                <c:ptCount val="10"/>
                <c:pt idx="0">
                  <c:v>Y10</c:v>
                </c:pt>
                <c:pt idx="1">
                  <c:v>Y11</c:v>
                </c:pt>
                <c:pt idx="2">
                  <c:v>Y12</c:v>
                </c:pt>
                <c:pt idx="3">
                  <c:v>Y13</c:v>
                </c:pt>
                <c:pt idx="4">
                  <c:v>Y14</c:v>
                </c:pt>
                <c:pt idx="5">
                  <c:v>Y15</c:v>
                </c:pt>
                <c:pt idx="6">
                  <c:v>Y16</c:v>
                </c:pt>
                <c:pt idx="7">
                  <c:v>Y17</c:v>
                </c:pt>
                <c:pt idx="8">
                  <c:v>Y18</c:v>
                </c:pt>
                <c:pt idx="9">
                  <c:v>Y19</c:v>
                </c:pt>
              </c:strCache>
            </c:strRef>
          </c:cat>
          <c:val>
            <c:numRef>
              <c:f>'Tier 1 yearly'!$B$10:$K$10</c:f>
              <c:numCache>
                <c:formatCode>0.00%</c:formatCode>
                <c:ptCount val="10"/>
                <c:pt idx="0">
                  <c:v>0.1210551235</c:v>
                </c:pt>
                <c:pt idx="1">
                  <c:v>0.19857597059999998</c:v>
                </c:pt>
                <c:pt idx="2">
                  <c:v>0.1245818955</c:v>
                </c:pt>
                <c:pt idx="3">
                  <c:v>0.1211180025</c:v>
                </c:pt>
                <c:pt idx="4">
                  <c:v>0.1208307166</c:v>
                </c:pt>
                <c:pt idx="5">
                  <c:v>0.1210051023</c:v>
                </c:pt>
                <c:pt idx="6">
                  <c:v>0.1102552341</c:v>
                </c:pt>
                <c:pt idx="7">
                  <c:v>0.10795867100000001</c:v>
                </c:pt>
                <c:pt idx="8">
                  <c:v>0.10885895100000001</c:v>
                </c:pt>
                <c:pt idx="9">
                  <c:v>0.11179770109999999</c:v>
                </c:pt>
              </c:numCache>
            </c:numRef>
          </c:val>
          <c:smooth val="0"/>
          <c:extLst>
            <c:ext xmlns:c16="http://schemas.microsoft.com/office/drawing/2014/chart" uri="{C3380CC4-5D6E-409C-BE32-E72D297353CC}">
              <c16:uniqueId val="{00000002-CDB9-4EDC-885E-6CDE1EA21650}"/>
            </c:ext>
          </c:extLst>
        </c:ser>
        <c:ser>
          <c:idx val="3"/>
          <c:order val="3"/>
          <c:tx>
            <c:strRef>
              <c:f>'Tier 1 yearly'!$A$11</c:f>
              <c:strCache>
                <c:ptCount val="1"/>
                <c:pt idx="0">
                  <c:v>Foreign Joint-stock</c:v>
                </c:pt>
              </c:strCache>
            </c:strRef>
          </c:tx>
          <c:spPr>
            <a:ln w="22225" cap="rnd">
              <a:solidFill>
                <a:schemeClr val="accent4"/>
              </a:solidFill>
              <a:round/>
            </a:ln>
            <a:effectLst/>
          </c:spPr>
          <c:marker>
            <c:symbol val="none"/>
          </c:marker>
          <c:cat>
            <c:strRef>
              <c:f>'Tier 1 yearly'!$B$1:$K$1</c:f>
              <c:strCache>
                <c:ptCount val="10"/>
                <c:pt idx="0">
                  <c:v>Y10</c:v>
                </c:pt>
                <c:pt idx="1">
                  <c:v>Y11</c:v>
                </c:pt>
                <c:pt idx="2">
                  <c:v>Y12</c:v>
                </c:pt>
                <c:pt idx="3">
                  <c:v>Y13</c:v>
                </c:pt>
                <c:pt idx="4">
                  <c:v>Y14</c:v>
                </c:pt>
                <c:pt idx="5">
                  <c:v>Y15</c:v>
                </c:pt>
                <c:pt idx="6">
                  <c:v>Y16</c:v>
                </c:pt>
                <c:pt idx="7">
                  <c:v>Y17</c:v>
                </c:pt>
                <c:pt idx="8">
                  <c:v>Y18</c:v>
                </c:pt>
                <c:pt idx="9">
                  <c:v>Y19</c:v>
                </c:pt>
              </c:strCache>
            </c:strRef>
          </c:cat>
          <c:val>
            <c:numRef>
              <c:f>'Tier 1 yearly'!$B$11:$K$11</c:f>
              <c:numCache>
                <c:formatCode>0.00%</c:formatCode>
                <c:ptCount val="10"/>
                <c:pt idx="0">
                  <c:v>0.1101443456</c:v>
                </c:pt>
                <c:pt idx="1">
                  <c:v>0.1105871011</c:v>
                </c:pt>
                <c:pt idx="2">
                  <c:v>0.11069739240000001</c:v>
                </c:pt>
                <c:pt idx="3">
                  <c:v>9.57135707E-2</c:v>
                </c:pt>
                <c:pt idx="4">
                  <c:v>9.911728504999999E-2</c:v>
                </c:pt>
                <c:pt idx="5">
                  <c:v>9.935147234000001E-2</c:v>
                </c:pt>
                <c:pt idx="6">
                  <c:v>0.1000555668</c:v>
                </c:pt>
                <c:pt idx="7">
                  <c:v>0.1018890511</c:v>
                </c:pt>
                <c:pt idx="8">
                  <c:v>0.10463721570000001</c:v>
                </c:pt>
                <c:pt idx="9">
                  <c:v>0.1054277607</c:v>
                </c:pt>
              </c:numCache>
            </c:numRef>
          </c:val>
          <c:smooth val="0"/>
          <c:extLst>
            <c:ext xmlns:c16="http://schemas.microsoft.com/office/drawing/2014/chart" uri="{C3380CC4-5D6E-409C-BE32-E72D297353CC}">
              <c16:uniqueId val="{00000003-CDB9-4EDC-885E-6CDE1EA21650}"/>
            </c:ext>
          </c:extLst>
        </c:ser>
        <c:ser>
          <c:idx val="4"/>
          <c:order val="4"/>
          <c:tx>
            <c:strRef>
              <c:f>'Tier 1 yearly'!$A$12</c:f>
              <c:strCache>
                <c:ptCount val="1"/>
                <c:pt idx="0">
                  <c:v>Foreign-owned</c:v>
                </c:pt>
              </c:strCache>
            </c:strRef>
          </c:tx>
          <c:spPr>
            <a:ln w="22225" cap="rnd">
              <a:solidFill>
                <a:schemeClr val="accent5"/>
              </a:solidFill>
              <a:round/>
            </a:ln>
            <a:effectLst/>
          </c:spPr>
          <c:marker>
            <c:symbol val="none"/>
          </c:marker>
          <c:cat>
            <c:strRef>
              <c:f>'Tier 1 yearly'!$B$1:$K$1</c:f>
              <c:strCache>
                <c:ptCount val="10"/>
                <c:pt idx="0">
                  <c:v>Y10</c:v>
                </c:pt>
                <c:pt idx="1">
                  <c:v>Y11</c:v>
                </c:pt>
                <c:pt idx="2">
                  <c:v>Y12</c:v>
                </c:pt>
                <c:pt idx="3">
                  <c:v>Y13</c:v>
                </c:pt>
                <c:pt idx="4">
                  <c:v>Y14</c:v>
                </c:pt>
                <c:pt idx="5">
                  <c:v>Y15</c:v>
                </c:pt>
                <c:pt idx="6">
                  <c:v>Y16</c:v>
                </c:pt>
                <c:pt idx="7">
                  <c:v>Y17</c:v>
                </c:pt>
                <c:pt idx="8">
                  <c:v>Y18</c:v>
                </c:pt>
                <c:pt idx="9">
                  <c:v>Y19</c:v>
                </c:pt>
              </c:strCache>
            </c:strRef>
          </c:cat>
          <c:val>
            <c:numRef>
              <c:f>'Tier 1 yearly'!$B$12:$K$12</c:f>
              <c:numCache>
                <c:formatCode>0.00%</c:formatCode>
                <c:ptCount val="10"/>
                <c:pt idx="0">
                  <c:v>0.31908458270000001</c:v>
                </c:pt>
                <c:pt idx="1">
                  <c:v>0.38454639800000001</c:v>
                </c:pt>
                <c:pt idx="2">
                  <c:v>0.46226071869999996</c:v>
                </c:pt>
                <c:pt idx="3">
                  <c:v>0.3251264941</c:v>
                </c:pt>
                <c:pt idx="4">
                  <c:v>0.48115846320000005</c:v>
                </c:pt>
                <c:pt idx="5">
                  <c:v>0.48787391720000001</c:v>
                </c:pt>
                <c:pt idx="6">
                  <c:v>0.46813722860000001</c:v>
                </c:pt>
                <c:pt idx="7">
                  <c:v>0.46374971619999994</c:v>
                </c:pt>
                <c:pt idx="8">
                  <c:v>0.46935720549999999</c:v>
                </c:pt>
                <c:pt idx="9">
                  <c:v>0.47153087199999999</c:v>
                </c:pt>
              </c:numCache>
            </c:numRef>
          </c:val>
          <c:smooth val="0"/>
          <c:extLst>
            <c:ext xmlns:c16="http://schemas.microsoft.com/office/drawing/2014/chart" uri="{C3380CC4-5D6E-409C-BE32-E72D297353CC}">
              <c16:uniqueId val="{00000004-CDB9-4EDC-885E-6CDE1EA21650}"/>
            </c:ext>
          </c:extLst>
        </c:ser>
        <c:dLbls>
          <c:showLegendKey val="0"/>
          <c:showVal val="0"/>
          <c:showCatName val="0"/>
          <c:showSerName val="0"/>
          <c:showPercent val="0"/>
          <c:showBubbleSize val="0"/>
        </c:dLbls>
        <c:smooth val="0"/>
        <c:axId val="1981285200"/>
        <c:axId val="1789201392"/>
      </c:lineChart>
      <c:catAx>
        <c:axId val="1981285200"/>
        <c:scaling>
          <c:orientation val="minMax"/>
        </c:scaling>
        <c:delete val="0"/>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Years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1789201392"/>
        <c:crosses val="autoZero"/>
        <c:auto val="1"/>
        <c:lblAlgn val="ctr"/>
        <c:lblOffset val="100"/>
        <c:noMultiLvlLbl val="0"/>
      </c:catAx>
      <c:valAx>
        <c:axId val="1789201392"/>
        <c:scaling>
          <c:orientation val="minMax"/>
        </c:scaling>
        <c:delete val="0"/>
        <c:axPos val="l"/>
        <c:majorGridlines>
          <c:spPr>
            <a:ln w="9525" cap="flat" cmpd="sng" algn="ctr">
              <a:solidFill>
                <a:schemeClr val="dk1">
                  <a:lumMod val="15000"/>
                  <a:lumOff val="85000"/>
                  <a:alpha val="54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Ratios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1981285200"/>
        <c:crosses val="autoZero"/>
        <c:crossBetween val="between"/>
      </c:valAx>
      <c:spPr>
        <a:pattFill prst="ltDnDiag">
          <a:fgClr>
            <a:schemeClr val="dk1">
              <a:lumMod val="15000"/>
              <a:lumOff val="85000"/>
            </a:schemeClr>
          </a:fgClr>
          <a:bgClr>
            <a:schemeClr val="lt1"/>
          </a:bgClr>
        </a:pattFill>
        <a:ln>
          <a:noFill/>
        </a:ln>
        <a:effectLst/>
      </c:spPr>
    </c:plotArea>
    <c:legend>
      <c:legendPos val="r"/>
      <c:layout>
        <c:manualLayout>
          <c:xMode val="edge"/>
          <c:yMode val="edge"/>
          <c:x val="0.75784594634004088"/>
          <c:y val="0.37655687601384047"/>
          <c:w val="0.22826516477107028"/>
          <c:h val="0.470272283603806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Total Equity/Total</a:t>
            </a:r>
            <a:r>
              <a:rPr lang="en-US" baseline="0"/>
              <a:t> Assets</a:t>
            </a:r>
            <a:endParaRPr lang="en-US"/>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manualLayout>
          <c:layoutTarget val="inner"/>
          <c:xMode val="edge"/>
          <c:yMode val="edge"/>
          <c:x val="0.10834677387380957"/>
          <c:y val="0.13277393082338376"/>
          <c:w val="0.62780629762669404"/>
          <c:h val="0.71796409218670343"/>
        </c:manualLayout>
      </c:layout>
      <c:lineChart>
        <c:grouping val="standard"/>
        <c:varyColors val="0"/>
        <c:ser>
          <c:idx val="0"/>
          <c:order val="0"/>
          <c:tx>
            <c:strRef>
              <c:f>'Equity to Assets yearly'!$A$9</c:f>
              <c:strCache>
                <c:ptCount val="1"/>
                <c:pt idx="0">
                  <c:v>State-owned</c:v>
                </c:pt>
              </c:strCache>
            </c:strRef>
          </c:tx>
          <c:spPr>
            <a:ln w="22225" cap="rnd">
              <a:solidFill>
                <a:schemeClr val="accent1"/>
              </a:solidFill>
              <a:round/>
            </a:ln>
            <a:effectLst/>
          </c:spPr>
          <c:marker>
            <c:symbol val="none"/>
          </c:marker>
          <c:cat>
            <c:numRef>
              <c:f>'Equity to Assets yearly'!$B$8:$K$8</c:f>
              <c:numCache>
                <c:formatCode>General</c:formatCode>
                <c:ptCount val="10"/>
                <c:pt idx="0">
                  <c:v>2010</c:v>
                </c:pt>
                <c:pt idx="1">
                  <c:v>2011</c:v>
                </c:pt>
                <c:pt idx="2">
                  <c:v>2012</c:v>
                </c:pt>
                <c:pt idx="3">
                  <c:v>2013</c:v>
                </c:pt>
                <c:pt idx="4">
                  <c:v>2014</c:v>
                </c:pt>
                <c:pt idx="5">
                  <c:v>2015</c:v>
                </c:pt>
                <c:pt idx="6">
                  <c:v>2016</c:v>
                </c:pt>
                <c:pt idx="7">
                  <c:v>2017</c:v>
                </c:pt>
                <c:pt idx="8">
                  <c:v>2018</c:v>
                </c:pt>
                <c:pt idx="9">
                  <c:v>2019</c:v>
                </c:pt>
              </c:numCache>
            </c:numRef>
          </c:cat>
          <c:val>
            <c:numRef>
              <c:f>'Equity to Assets yearly'!$B$9:$K$9</c:f>
              <c:numCache>
                <c:formatCode>0.00%</c:formatCode>
                <c:ptCount val="10"/>
                <c:pt idx="0">
                  <c:v>5.8582170991209104E-2</c:v>
                </c:pt>
                <c:pt idx="1">
                  <c:v>6.12895018011268E-2</c:v>
                </c:pt>
                <c:pt idx="2">
                  <c:v>5.9567713680677301E-2</c:v>
                </c:pt>
                <c:pt idx="3">
                  <c:v>6.0300606805266901E-2</c:v>
                </c:pt>
                <c:pt idx="4">
                  <c:v>6.5308014082558596E-2</c:v>
                </c:pt>
                <c:pt idx="5">
                  <c:v>6.8350275356113904E-2</c:v>
                </c:pt>
                <c:pt idx="6">
                  <c:v>7.0148503772919091E-2</c:v>
                </c:pt>
                <c:pt idx="7">
                  <c:v>7.30892481114684E-2</c:v>
                </c:pt>
                <c:pt idx="8">
                  <c:v>7.645330319951231E-2</c:v>
                </c:pt>
                <c:pt idx="9">
                  <c:v>8.1298613088929314E-2</c:v>
                </c:pt>
              </c:numCache>
            </c:numRef>
          </c:val>
          <c:smooth val="0"/>
          <c:extLst>
            <c:ext xmlns:c16="http://schemas.microsoft.com/office/drawing/2014/chart" uri="{C3380CC4-5D6E-409C-BE32-E72D297353CC}">
              <c16:uniqueId val="{00000000-BED6-45F1-8F00-4D58ACE1B0F7}"/>
            </c:ext>
          </c:extLst>
        </c:ser>
        <c:ser>
          <c:idx val="1"/>
          <c:order val="1"/>
          <c:tx>
            <c:strRef>
              <c:f>'Equity to Assets yearly'!$A$10</c:f>
              <c:strCache>
                <c:ptCount val="1"/>
                <c:pt idx="0">
                  <c:v>Local government-holding</c:v>
                </c:pt>
              </c:strCache>
            </c:strRef>
          </c:tx>
          <c:spPr>
            <a:ln w="22225" cap="rnd">
              <a:solidFill>
                <a:schemeClr val="accent2"/>
              </a:solidFill>
              <a:round/>
            </a:ln>
            <a:effectLst/>
          </c:spPr>
          <c:marker>
            <c:symbol val="none"/>
          </c:marker>
          <c:cat>
            <c:numRef>
              <c:f>'Equity to Assets yearly'!$B$8:$K$8</c:f>
              <c:numCache>
                <c:formatCode>General</c:formatCode>
                <c:ptCount val="10"/>
                <c:pt idx="0">
                  <c:v>2010</c:v>
                </c:pt>
                <c:pt idx="1">
                  <c:v>2011</c:v>
                </c:pt>
                <c:pt idx="2">
                  <c:v>2012</c:v>
                </c:pt>
                <c:pt idx="3">
                  <c:v>2013</c:v>
                </c:pt>
                <c:pt idx="4">
                  <c:v>2014</c:v>
                </c:pt>
                <c:pt idx="5">
                  <c:v>2015</c:v>
                </c:pt>
                <c:pt idx="6">
                  <c:v>2016</c:v>
                </c:pt>
                <c:pt idx="7">
                  <c:v>2017</c:v>
                </c:pt>
                <c:pt idx="8">
                  <c:v>2018</c:v>
                </c:pt>
                <c:pt idx="9">
                  <c:v>2019</c:v>
                </c:pt>
              </c:numCache>
            </c:numRef>
          </c:cat>
          <c:val>
            <c:numRef>
              <c:f>'Equity to Assets yearly'!$B$10:$K$10</c:f>
              <c:numCache>
                <c:formatCode>0.00%</c:formatCode>
                <c:ptCount val="10"/>
                <c:pt idx="0">
                  <c:v>6.6478322838067094E-2</c:v>
                </c:pt>
                <c:pt idx="1">
                  <c:v>6.8678919339676694E-2</c:v>
                </c:pt>
                <c:pt idx="2">
                  <c:v>6.9108908402311001E-2</c:v>
                </c:pt>
                <c:pt idx="3">
                  <c:v>6.958741895143189E-2</c:v>
                </c:pt>
                <c:pt idx="4">
                  <c:v>7.3665878769926599E-2</c:v>
                </c:pt>
                <c:pt idx="5">
                  <c:v>7.2236527066329603E-2</c:v>
                </c:pt>
                <c:pt idx="6">
                  <c:v>6.6508387879962896E-2</c:v>
                </c:pt>
                <c:pt idx="7">
                  <c:v>6.9099907517141596E-2</c:v>
                </c:pt>
                <c:pt idx="8">
                  <c:v>7.5427147449752999E-2</c:v>
                </c:pt>
                <c:pt idx="9">
                  <c:v>7.7156824022527201E-2</c:v>
                </c:pt>
              </c:numCache>
            </c:numRef>
          </c:val>
          <c:smooth val="0"/>
          <c:extLst>
            <c:ext xmlns:c16="http://schemas.microsoft.com/office/drawing/2014/chart" uri="{C3380CC4-5D6E-409C-BE32-E72D297353CC}">
              <c16:uniqueId val="{00000001-BED6-45F1-8F00-4D58ACE1B0F7}"/>
            </c:ext>
          </c:extLst>
        </c:ser>
        <c:ser>
          <c:idx val="2"/>
          <c:order val="2"/>
          <c:tx>
            <c:strRef>
              <c:f>'Equity to Assets yearly'!$A$11</c:f>
              <c:strCache>
                <c:ptCount val="1"/>
                <c:pt idx="0">
                  <c:v>Joint-stock</c:v>
                </c:pt>
              </c:strCache>
            </c:strRef>
          </c:tx>
          <c:spPr>
            <a:ln w="22225" cap="rnd">
              <a:solidFill>
                <a:schemeClr val="accent3"/>
              </a:solidFill>
              <a:round/>
            </a:ln>
            <a:effectLst/>
          </c:spPr>
          <c:marker>
            <c:symbol val="none"/>
          </c:marker>
          <c:cat>
            <c:numRef>
              <c:f>'Equity to Assets yearly'!$B$8:$K$8</c:f>
              <c:numCache>
                <c:formatCode>General</c:formatCode>
                <c:ptCount val="10"/>
                <c:pt idx="0">
                  <c:v>2010</c:v>
                </c:pt>
                <c:pt idx="1">
                  <c:v>2011</c:v>
                </c:pt>
                <c:pt idx="2">
                  <c:v>2012</c:v>
                </c:pt>
                <c:pt idx="3">
                  <c:v>2013</c:v>
                </c:pt>
                <c:pt idx="4">
                  <c:v>2014</c:v>
                </c:pt>
                <c:pt idx="5">
                  <c:v>2015</c:v>
                </c:pt>
                <c:pt idx="6">
                  <c:v>2016</c:v>
                </c:pt>
                <c:pt idx="7">
                  <c:v>2017</c:v>
                </c:pt>
                <c:pt idx="8">
                  <c:v>2018</c:v>
                </c:pt>
                <c:pt idx="9">
                  <c:v>2019</c:v>
                </c:pt>
              </c:numCache>
            </c:numRef>
          </c:cat>
          <c:val>
            <c:numRef>
              <c:f>'Equity to Assets yearly'!$B$11:$K$11</c:f>
              <c:numCache>
                <c:formatCode>0.00%</c:formatCode>
                <c:ptCount val="10"/>
                <c:pt idx="0">
                  <c:v>7.0431489885729004E-2</c:v>
                </c:pt>
                <c:pt idx="1">
                  <c:v>8.6740464461567302E-2</c:v>
                </c:pt>
                <c:pt idx="2">
                  <c:v>8.7885601960571602E-2</c:v>
                </c:pt>
                <c:pt idx="3">
                  <c:v>8.47625824217558E-2</c:v>
                </c:pt>
                <c:pt idx="4">
                  <c:v>8.4955045753351291E-2</c:v>
                </c:pt>
                <c:pt idx="5">
                  <c:v>7.8940265290787903E-2</c:v>
                </c:pt>
                <c:pt idx="6">
                  <c:v>7.2317730274249592E-2</c:v>
                </c:pt>
                <c:pt idx="7">
                  <c:v>7.2554386509461596E-2</c:v>
                </c:pt>
                <c:pt idx="8">
                  <c:v>7.6141133916451803E-2</c:v>
                </c:pt>
                <c:pt idx="9">
                  <c:v>8.4946032409753194E-2</c:v>
                </c:pt>
              </c:numCache>
            </c:numRef>
          </c:val>
          <c:smooth val="0"/>
          <c:extLst>
            <c:ext xmlns:c16="http://schemas.microsoft.com/office/drawing/2014/chart" uri="{C3380CC4-5D6E-409C-BE32-E72D297353CC}">
              <c16:uniqueId val="{00000002-BED6-45F1-8F00-4D58ACE1B0F7}"/>
            </c:ext>
          </c:extLst>
        </c:ser>
        <c:ser>
          <c:idx val="3"/>
          <c:order val="3"/>
          <c:tx>
            <c:strRef>
              <c:f>'Equity to Assets yearly'!$A$12</c:f>
              <c:strCache>
                <c:ptCount val="1"/>
                <c:pt idx="0">
                  <c:v>Foreign Joint-stock</c:v>
                </c:pt>
              </c:strCache>
            </c:strRef>
          </c:tx>
          <c:spPr>
            <a:ln w="22225" cap="rnd">
              <a:solidFill>
                <a:schemeClr val="accent4"/>
              </a:solidFill>
              <a:round/>
            </a:ln>
            <a:effectLst/>
          </c:spPr>
          <c:marker>
            <c:symbol val="none"/>
          </c:marker>
          <c:cat>
            <c:numRef>
              <c:f>'Equity to Assets yearly'!$B$8:$K$8</c:f>
              <c:numCache>
                <c:formatCode>General</c:formatCode>
                <c:ptCount val="10"/>
                <c:pt idx="0">
                  <c:v>2010</c:v>
                </c:pt>
                <c:pt idx="1">
                  <c:v>2011</c:v>
                </c:pt>
                <c:pt idx="2">
                  <c:v>2012</c:v>
                </c:pt>
                <c:pt idx="3">
                  <c:v>2013</c:v>
                </c:pt>
                <c:pt idx="4">
                  <c:v>2014</c:v>
                </c:pt>
                <c:pt idx="5">
                  <c:v>2015</c:v>
                </c:pt>
                <c:pt idx="6">
                  <c:v>2016</c:v>
                </c:pt>
                <c:pt idx="7">
                  <c:v>2017</c:v>
                </c:pt>
                <c:pt idx="8">
                  <c:v>2018</c:v>
                </c:pt>
                <c:pt idx="9">
                  <c:v>2019</c:v>
                </c:pt>
              </c:numCache>
            </c:numRef>
          </c:cat>
          <c:val>
            <c:numRef>
              <c:f>'Equity to Assets yearly'!$B$12:$K$12</c:f>
              <c:numCache>
                <c:formatCode>0.00%</c:formatCode>
                <c:ptCount val="10"/>
                <c:pt idx="0">
                  <c:v>6.4319286756597302E-2</c:v>
                </c:pt>
                <c:pt idx="1">
                  <c:v>6.76699849059679E-2</c:v>
                </c:pt>
                <c:pt idx="2">
                  <c:v>6.2341365600102498E-2</c:v>
                </c:pt>
                <c:pt idx="3">
                  <c:v>5.9207572757185502E-2</c:v>
                </c:pt>
                <c:pt idx="4">
                  <c:v>6.5531591090849897E-2</c:v>
                </c:pt>
                <c:pt idx="5">
                  <c:v>6.7030877248142509E-2</c:v>
                </c:pt>
                <c:pt idx="6">
                  <c:v>6.4541374545290908E-2</c:v>
                </c:pt>
                <c:pt idx="7">
                  <c:v>6.8554581197231693E-2</c:v>
                </c:pt>
                <c:pt idx="8">
                  <c:v>7.34270089902479E-2</c:v>
                </c:pt>
                <c:pt idx="9">
                  <c:v>7.4834170196166006E-2</c:v>
                </c:pt>
              </c:numCache>
            </c:numRef>
          </c:val>
          <c:smooth val="0"/>
          <c:extLst>
            <c:ext xmlns:c16="http://schemas.microsoft.com/office/drawing/2014/chart" uri="{C3380CC4-5D6E-409C-BE32-E72D297353CC}">
              <c16:uniqueId val="{00000003-BED6-45F1-8F00-4D58ACE1B0F7}"/>
            </c:ext>
          </c:extLst>
        </c:ser>
        <c:ser>
          <c:idx val="4"/>
          <c:order val="4"/>
          <c:tx>
            <c:strRef>
              <c:f>'Equity to Assets yearly'!$A$13</c:f>
              <c:strCache>
                <c:ptCount val="1"/>
                <c:pt idx="0">
                  <c:v>Foreign-owned</c:v>
                </c:pt>
              </c:strCache>
            </c:strRef>
          </c:tx>
          <c:spPr>
            <a:ln w="22225" cap="rnd">
              <a:solidFill>
                <a:schemeClr val="accent5"/>
              </a:solidFill>
              <a:round/>
            </a:ln>
            <a:effectLst/>
          </c:spPr>
          <c:marker>
            <c:symbol val="none"/>
          </c:marker>
          <c:cat>
            <c:numRef>
              <c:f>'Equity to Assets yearly'!$B$8:$K$8</c:f>
              <c:numCache>
                <c:formatCode>General</c:formatCode>
                <c:ptCount val="10"/>
                <c:pt idx="0">
                  <c:v>2010</c:v>
                </c:pt>
                <c:pt idx="1">
                  <c:v>2011</c:v>
                </c:pt>
                <c:pt idx="2">
                  <c:v>2012</c:v>
                </c:pt>
                <c:pt idx="3">
                  <c:v>2013</c:v>
                </c:pt>
                <c:pt idx="4">
                  <c:v>2014</c:v>
                </c:pt>
                <c:pt idx="5">
                  <c:v>2015</c:v>
                </c:pt>
                <c:pt idx="6">
                  <c:v>2016</c:v>
                </c:pt>
                <c:pt idx="7">
                  <c:v>2017</c:v>
                </c:pt>
                <c:pt idx="8">
                  <c:v>2018</c:v>
                </c:pt>
                <c:pt idx="9">
                  <c:v>2019</c:v>
                </c:pt>
              </c:numCache>
            </c:numRef>
          </c:cat>
          <c:val>
            <c:numRef>
              <c:f>'Equity to Assets yearly'!$B$13:$K$13</c:f>
              <c:numCache>
                <c:formatCode>0.00%</c:formatCode>
                <c:ptCount val="10"/>
                <c:pt idx="0">
                  <c:v>0.16206641060059099</c:v>
                </c:pt>
                <c:pt idx="1">
                  <c:v>0.13374940791971801</c:v>
                </c:pt>
                <c:pt idx="2">
                  <c:v>0.180553473035027</c:v>
                </c:pt>
                <c:pt idx="3">
                  <c:v>0.17134448812890099</c:v>
                </c:pt>
                <c:pt idx="4">
                  <c:v>0.18963964430695399</c:v>
                </c:pt>
                <c:pt idx="5">
                  <c:v>0.21626908537300998</c:v>
                </c:pt>
                <c:pt idx="6">
                  <c:v>0.19662796232209001</c:v>
                </c:pt>
                <c:pt idx="7">
                  <c:v>0.20343249751103698</c:v>
                </c:pt>
                <c:pt idx="8">
                  <c:v>0.204560995798442</c:v>
                </c:pt>
                <c:pt idx="9">
                  <c:v>0.19826462707836701</c:v>
                </c:pt>
              </c:numCache>
            </c:numRef>
          </c:val>
          <c:smooth val="0"/>
          <c:extLst>
            <c:ext xmlns:c16="http://schemas.microsoft.com/office/drawing/2014/chart" uri="{C3380CC4-5D6E-409C-BE32-E72D297353CC}">
              <c16:uniqueId val="{00000004-BED6-45F1-8F00-4D58ACE1B0F7}"/>
            </c:ext>
          </c:extLst>
        </c:ser>
        <c:dLbls>
          <c:showLegendKey val="0"/>
          <c:showVal val="0"/>
          <c:showCatName val="0"/>
          <c:showSerName val="0"/>
          <c:showPercent val="0"/>
          <c:showBubbleSize val="0"/>
        </c:dLbls>
        <c:smooth val="0"/>
        <c:axId val="304380112"/>
        <c:axId val="1324396704"/>
      </c:lineChart>
      <c:catAx>
        <c:axId val="304380112"/>
        <c:scaling>
          <c:orientation val="minMax"/>
        </c:scaling>
        <c:delete val="0"/>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Years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1324396704"/>
        <c:crosses val="autoZero"/>
        <c:auto val="1"/>
        <c:lblAlgn val="ctr"/>
        <c:lblOffset val="100"/>
        <c:noMultiLvlLbl val="0"/>
      </c:catAx>
      <c:valAx>
        <c:axId val="1324396704"/>
        <c:scaling>
          <c:orientation val="minMax"/>
        </c:scaling>
        <c:delete val="0"/>
        <c:axPos val="l"/>
        <c:majorGridlines>
          <c:spPr>
            <a:ln w="9525" cap="flat" cmpd="sng" algn="ctr">
              <a:solidFill>
                <a:schemeClr val="dk1">
                  <a:lumMod val="15000"/>
                  <a:lumOff val="85000"/>
                  <a:alpha val="54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Ratio</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304380112"/>
        <c:crosses val="autoZero"/>
        <c:crossBetween val="between"/>
      </c:valAx>
      <c:spPr>
        <a:pattFill prst="ltDnDiag">
          <a:fgClr>
            <a:schemeClr val="dk1">
              <a:lumMod val="15000"/>
              <a:lumOff val="85000"/>
            </a:schemeClr>
          </a:fgClr>
          <a:bgClr>
            <a:schemeClr val="lt1"/>
          </a:bgClr>
        </a:pattFill>
        <a:ln>
          <a:noFill/>
        </a:ln>
        <a:effectLst/>
      </c:spPr>
    </c:plotArea>
    <c:legend>
      <c:legendPos val="r"/>
      <c:layout>
        <c:manualLayout>
          <c:xMode val="edge"/>
          <c:yMode val="edge"/>
          <c:x val="0.75784594634004088"/>
          <c:y val="0.38097683441743696"/>
          <c:w val="0.22826516477107028"/>
          <c:h val="0.4363835914372595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ROAA</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manualLayout>
          <c:layoutTarget val="inner"/>
          <c:xMode val="edge"/>
          <c:yMode val="edge"/>
          <c:x val="0.10919830405814658"/>
          <c:y val="0.18300925925925926"/>
          <c:w val="0.64259656773672524"/>
          <c:h val="0.60368802857976089"/>
        </c:manualLayout>
      </c:layout>
      <c:lineChart>
        <c:grouping val="standard"/>
        <c:varyColors val="0"/>
        <c:ser>
          <c:idx val="0"/>
          <c:order val="0"/>
          <c:tx>
            <c:strRef>
              <c:f>'ROAA yearly'!$A$9</c:f>
              <c:strCache>
                <c:ptCount val="1"/>
                <c:pt idx="0">
                  <c:v>State-owned</c:v>
                </c:pt>
              </c:strCache>
            </c:strRef>
          </c:tx>
          <c:spPr>
            <a:ln w="22225" cap="rnd">
              <a:solidFill>
                <a:schemeClr val="accent1"/>
              </a:solidFill>
              <a:round/>
            </a:ln>
            <a:effectLst/>
          </c:spPr>
          <c:marker>
            <c:symbol val="none"/>
          </c:marker>
          <c:cat>
            <c:numRef>
              <c:f>'ROAA yearly'!$B$8:$K$8</c:f>
              <c:numCache>
                <c:formatCode>General</c:formatCode>
                <c:ptCount val="10"/>
                <c:pt idx="0">
                  <c:v>2010</c:v>
                </c:pt>
                <c:pt idx="1">
                  <c:v>2011</c:v>
                </c:pt>
                <c:pt idx="2">
                  <c:v>2012</c:v>
                </c:pt>
                <c:pt idx="3">
                  <c:v>2013</c:v>
                </c:pt>
                <c:pt idx="4">
                  <c:v>2014</c:v>
                </c:pt>
                <c:pt idx="5">
                  <c:v>2015</c:v>
                </c:pt>
                <c:pt idx="6">
                  <c:v>2016</c:v>
                </c:pt>
                <c:pt idx="7">
                  <c:v>2017</c:v>
                </c:pt>
                <c:pt idx="8">
                  <c:v>2018</c:v>
                </c:pt>
                <c:pt idx="9">
                  <c:v>2019</c:v>
                </c:pt>
              </c:numCache>
            </c:numRef>
          </c:cat>
          <c:val>
            <c:numRef>
              <c:f>'ROAA yearly'!$B$9:$K$9</c:f>
              <c:numCache>
                <c:formatCode>0.00%</c:formatCode>
                <c:ptCount val="10"/>
                <c:pt idx="0">
                  <c:v>1.08180741528672E-2</c:v>
                </c:pt>
                <c:pt idx="1">
                  <c:v>1.1637051538433201E-2</c:v>
                </c:pt>
                <c:pt idx="2">
                  <c:v>1.1546544463414701E-2</c:v>
                </c:pt>
                <c:pt idx="3">
                  <c:v>1.13922598787291E-2</c:v>
                </c:pt>
                <c:pt idx="4">
                  <c:v>1.07313230933384E-2</c:v>
                </c:pt>
                <c:pt idx="5">
                  <c:v>9.7105288918567199E-3</c:v>
                </c:pt>
                <c:pt idx="6">
                  <c:v>8.9273287316337709E-3</c:v>
                </c:pt>
                <c:pt idx="7">
                  <c:v>8.8271822087148E-3</c:v>
                </c:pt>
                <c:pt idx="8">
                  <c:v>8.7649441310882602E-3</c:v>
                </c:pt>
                <c:pt idx="9">
                  <c:v>8.6848464890564702E-3</c:v>
                </c:pt>
              </c:numCache>
            </c:numRef>
          </c:val>
          <c:smooth val="0"/>
          <c:extLst>
            <c:ext xmlns:c16="http://schemas.microsoft.com/office/drawing/2014/chart" uri="{C3380CC4-5D6E-409C-BE32-E72D297353CC}">
              <c16:uniqueId val="{00000000-22C7-4DFD-BA16-D3D783025D70}"/>
            </c:ext>
          </c:extLst>
        </c:ser>
        <c:ser>
          <c:idx val="1"/>
          <c:order val="1"/>
          <c:tx>
            <c:strRef>
              <c:f>'ROAA yearly'!$A$10</c:f>
              <c:strCache>
                <c:ptCount val="1"/>
                <c:pt idx="0">
                  <c:v>Local government-holding</c:v>
                </c:pt>
              </c:strCache>
            </c:strRef>
          </c:tx>
          <c:spPr>
            <a:ln w="22225" cap="rnd">
              <a:solidFill>
                <a:schemeClr val="accent2"/>
              </a:solidFill>
              <a:round/>
            </a:ln>
            <a:effectLst/>
          </c:spPr>
          <c:marker>
            <c:symbol val="none"/>
          </c:marker>
          <c:cat>
            <c:numRef>
              <c:f>'ROAA yearly'!$B$8:$K$8</c:f>
              <c:numCache>
                <c:formatCode>General</c:formatCode>
                <c:ptCount val="10"/>
                <c:pt idx="0">
                  <c:v>2010</c:v>
                </c:pt>
                <c:pt idx="1">
                  <c:v>2011</c:v>
                </c:pt>
                <c:pt idx="2">
                  <c:v>2012</c:v>
                </c:pt>
                <c:pt idx="3">
                  <c:v>2013</c:v>
                </c:pt>
                <c:pt idx="4">
                  <c:v>2014</c:v>
                </c:pt>
                <c:pt idx="5">
                  <c:v>2015</c:v>
                </c:pt>
                <c:pt idx="6">
                  <c:v>2016</c:v>
                </c:pt>
                <c:pt idx="7">
                  <c:v>2017</c:v>
                </c:pt>
                <c:pt idx="8">
                  <c:v>2018</c:v>
                </c:pt>
                <c:pt idx="9">
                  <c:v>2019</c:v>
                </c:pt>
              </c:numCache>
            </c:numRef>
          </c:cat>
          <c:val>
            <c:numRef>
              <c:f>'ROAA yearly'!$B$10:$K$10</c:f>
              <c:numCache>
                <c:formatCode>0.00%</c:formatCode>
                <c:ptCount val="10"/>
                <c:pt idx="0">
                  <c:v>1.16369290956677E-2</c:v>
                </c:pt>
                <c:pt idx="1">
                  <c:v>1.2510998457690301E-2</c:v>
                </c:pt>
                <c:pt idx="2">
                  <c:v>1.30333779234987E-2</c:v>
                </c:pt>
                <c:pt idx="3">
                  <c:v>1.22480692334961E-2</c:v>
                </c:pt>
                <c:pt idx="4">
                  <c:v>1.1965156644653901E-2</c:v>
                </c:pt>
                <c:pt idx="5">
                  <c:v>9.7976022987123993E-3</c:v>
                </c:pt>
                <c:pt idx="6">
                  <c:v>8.4451503632861497E-3</c:v>
                </c:pt>
                <c:pt idx="7">
                  <c:v>7.6661598686451901E-3</c:v>
                </c:pt>
                <c:pt idx="8">
                  <c:v>6.8633550496561505E-3</c:v>
                </c:pt>
                <c:pt idx="9">
                  <c:v>7.0607088657410801E-3</c:v>
                </c:pt>
              </c:numCache>
            </c:numRef>
          </c:val>
          <c:smooth val="0"/>
          <c:extLst>
            <c:ext xmlns:c16="http://schemas.microsoft.com/office/drawing/2014/chart" uri="{C3380CC4-5D6E-409C-BE32-E72D297353CC}">
              <c16:uniqueId val="{00000001-22C7-4DFD-BA16-D3D783025D70}"/>
            </c:ext>
          </c:extLst>
        </c:ser>
        <c:ser>
          <c:idx val="2"/>
          <c:order val="2"/>
          <c:tx>
            <c:strRef>
              <c:f>'ROAA yearly'!$A$11</c:f>
              <c:strCache>
                <c:ptCount val="1"/>
                <c:pt idx="0">
                  <c:v>Joint-stock</c:v>
                </c:pt>
              </c:strCache>
            </c:strRef>
          </c:tx>
          <c:spPr>
            <a:ln w="22225" cap="rnd">
              <a:solidFill>
                <a:schemeClr val="accent3"/>
              </a:solidFill>
              <a:round/>
            </a:ln>
            <a:effectLst/>
          </c:spPr>
          <c:marker>
            <c:symbol val="none"/>
          </c:marker>
          <c:cat>
            <c:numRef>
              <c:f>'ROAA yearly'!$B$8:$K$8</c:f>
              <c:numCache>
                <c:formatCode>General</c:formatCode>
                <c:ptCount val="10"/>
                <c:pt idx="0">
                  <c:v>2010</c:v>
                </c:pt>
                <c:pt idx="1">
                  <c:v>2011</c:v>
                </c:pt>
                <c:pt idx="2">
                  <c:v>2012</c:v>
                </c:pt>
                <c:pt idx="3">
                  <c:v>2013</c:v>
                </c:pt>
                <c:pt idx="4">
                  <c:v>2014</c:v>
                </c:pt>
                <c:pt idx="5">
                  <c:v>2015</c:v>
                </c:pt>
                <c:pt idx="6">
                  <c:v>2016</c:v>
                </c:pt>
                <c:pt idx="7">
                  <c:v>2017</c:v>
                </c:pt>
                <c:pt idx="8">
                  <c:v>2018</c:v>
                </c:pt>
                <c:pt idx="9">
                  <c:v>2019</c:v>
                </c:pt>
              </c:numCache>
            </c:numRef>
          </c:cat>
          <c:val>
            <c:numRef>
              <c:f>'ROAA yearly'!$B$11:$K$11</c:f>
              <c:numCache>
                <c:formatCode>0.00%</c:formatCode>
                <c:ptCount val="10"/>
                <c:pt idx="0">
                  <c:v>1.17038605058425E-2</c:v>
                </c:pt>
                <c:pt idx="1">
                  <c:v>1.3835287925809202E-2</c:v>
                </c:pt>
                <c:pt idx="2">
                  <c:v>1.3422001192802201E-2</c:v>
                </c:pt>
                <c:pt idx="3">
                  <c:v>1.2650707353978099E-2</c:v>
                </c:pt>
                <c:pt idx="4">
                  <c:v>1.1991677107551899E-2</c:v>
                </c:pt>
                <c:pt idx="5">
                  <c:v>1.0001431936501099E-2</c:v>
                </c:pt>
                <c:pt idx="6">
                  <c:v>8.8890144906007898E-3</c:v>
                </c:pt>
                <c:pt idx="7">
                  <c:v>8.5001051996988694E-3</c:v>
                </c:pt>
                <c:pt idx="8">
                  <c:v>7.6409892527819004E-3</c:v>
                </c:pt>
                <c:pt idx="9">
                  <c:v>7.4139576678515697E-3</c:v>
                </c:pt>
              </c:numCache>
            </c:numRef>
          </c:val>
          <c:smooth val="0"/>
          <c:extLst>
            <c:ext xmlns:c16="http://schemas.microsoft.com/office/drawing/2014/chart" uri="{C3380CC4-5D6E-409C-BE32-E72D297353CC}">
              <c16:uniqueId val="{00000002-22C7-4DFD-BA16-D3D783025D70}"/>
            </c:ext>
          </c:extLst>
        </c:ser>
        <c:ser>
          <c:idx val="3"/>
          <c:order val="3"/>
          <c:tx>
            <c:strRef>
              <c:f>'ROAA yearly'!$A$12</c:f>
              <c:strCache>
                <c:ptCount val="1"/>
                <c:pt idx="0">
                  <c:v>Foreign Joint-stock</c:v>
                </c:pt>
              </c:strCache>
            </c:strRef>
          </c:tx>
          <c:spPr>
            <a:ln w="22225" cap="rnd">
              <a:solidFill>
                <a:schemeClr val="accent4"/>
              </a:solidFill>
              <a:round/>
            </a:ln>
            <a:effectLst/>
          </c:spPr>
          <c:marker>
            <c:symbol val="none"/>
          </c:marker>
          <c:cat>
            <c:numRef>
              <c:f>'ROAA yearly'!$B$8:$K$8</c:f>
              <c:numCache>
                <c:formatCode>General</c:formatCode>
                <c:ptCount val="10"/>
                <c:pt idx="0">
                  <c:v>2010</c:v>
                </c:pt>
                <c:pt idx="1">
                  <c:v>2011</c:v>
                </c:pt>
                <c:pt idx="2">
                  <c:v>2012</c:v>
                </c:pt>
                <c:pt idx="3">
                  <c:v>2013</c:v>
                </c:pt>
                <c:pt idx="4">
                  <c:v>2014</c:v>
                </c:pt>
                <c:pt idx="5">
                  <c:v>2015</c:v>
                </c:pt>
                <c:pt idx="6">
                  <c:v>2016</c:v>
                </c:pt>
                <c:pt idx="7">
                  <c:v>2017</c:v>
                </c:pt>
                <c:pt idx="8">
                  <c:v>2018</c:v>
                </c:pt>
                <c:pt idx="9">
                  <c:v>2019</c:v>
                </c:pt>
              </c:numCache>
            </c:numRef>
          </c:cat>
          <c:val>
            <c:numRef>
              <c:f>'ROAA yearly'!$B$12:$K$12</c:f>
              <c:numCache>
                <c:formatCode>0.00%</c:formatCode>
                <c:ptCount val="10"/>
                <c:pt idx="0">
                  <c:v>1.03207619586892E-2</c:v>
                </c:pt>
                <c:pt idx="1">
                  <c:v>1.09044510773632E-2</c:v>
                </c:pt>
                <c:pt idx="2">
                  <c:v>1.0464181866132001E-2</c:v>
                </c:pt>
                <c:pt idx="3">
                  <c:v>1.0582978062729301E-2</c:v>
                </c:pt>
                <c:pt idx="4">
                  <c:v>1.0311403368565999E-2</c:v>
                </c:pt>
                <c:pt idx="5">
                  <c:v>9.1471844616263492E-3</c:v>
                </c:pt>
                <c:pt idx="6">
                  <c:v>7.7232692838569601E-3</c:v>
                </c:pt>
                <c:pt idx="7">
                  <c:v>7.4447773292843902E-3</c:v>
                </c:pt>
                <c:pt idx="8">
                  <c:v>7.0115727563925005E-3</c:v>
                </c:pt>
                <c:pt idx="9">
                  <c:v>7.3230436104111899E-3</c:v>
                </c:pt>
              </c:numCache>
            </c:numRef>
          </c:val>
          <c:smooth val="0"/>
          <c:extLst>
            <c:ext xmlns:c16="http://schemas.microsoft.com/office/drawing/2014/chart" uri="{C3380CC4-5D6E-409C-BE32-E72D297353CC}">
              <c16:uniqueId val="{00000003-22C7-4DFD-BA16-D3D783025D70}"/>
            </c:ext>
          </c:extLst>
        </c:ser>
        <c:ser>
          <c:idx val="4"/>
          <c:order val="4"/>
          <c:tx>
            <c:strRef>
              <c:f>'ROAA yearly'!$A$13</c:f>
              <c:strCache>
                <c:ptCount val="1"/>
                <c:pt idx="0">
                  <c:v>Foreign-owned</c:v>
                </c:pt>
              </c:strCache>
            </c:strRef>
          </c:tx>
          <c:spPr>
            <a:ln w="22225" cap="rnd">
              <a:solidFill>
                <a:schemeClr val="accent5"/>
              </a:solidFill>
              <a:round/>
            </a:ln>
            <a:effectLst/>
          </c:spPr>
          <c:marker>
            <c:symbol val="none"/>
          </c:marker>
          <c:cat>
            <c:numRef>
              <c:f>'ROAA yearly'!$B$8:$K$8</c:f>
              <c:numCache>
                <c:formatCode>General</c:formatCode>
                <c:ptCount val="10"/>
                <c:pt idx="0">
                  <c:v>2010</c:v>
                </c:pt>
                <c:pt idx="1">
                  <c:v>2011</c:v>
                </c:pt>
                <c:pt idx="2">
                  <c:v>2012</c:v>
                </c:pt>
                <c:pt idx="3">
                  <c:v>2013</c:v>
                </c:pt>
                <c:pt idx="4">
                  <c:v>2014</c:v>
                </c:pt>
                <c:pt idx="5">
                  <c:v>2015</c:v>
                </c:pt>
                <c:pt idx="6">
                  <c:v>2016</c:v>
                </c:pt>
                <c:pt idx="7">
                  <c:v>2017</c:v>
                </c:pt>
                <c:pt idx="8">
                  <c:v>2018</c:v>
                </c:pt>
                <c:pt idx="9">
                  <c:v>2019</c:v>
                </c:pt>
              </c:numCache>
            </c:numRef>
          </c:cat>
          <c:val>
            <c:numRef>
              <c:f>'ROAA yearly'!$B$13:$K$13</c:f>
              <c:numCache>
                <c:formatCode>0.00%</c:formatCode>
                <c:ptCount val="10"/>
                <c:pt idx="0">
                  <c:v>5.9039760446460299E-3</c:v>
                </c:pt>
                <c:pt idx="1">
                  <c:v>8.1588124831451295E-3</c:v>
                </c:pt>
                <c:pt idx="2">
                  <c:v>6.4026585626797408E-3</c:v>
                </c:pt>
                <c:pt idx="3">
                  <c:v>3.2580657174671101E-3</c:v>
                </c:pt>
                <c:pt idx="4">
                  <c:v>5.4236915104584607E-3</c:v>
                </c:pt>
                <c:pt idx="5">
                  <c:v>4.5018546445401396E-3</c:v>
                </c:pt>
                <c:pt idx="6">
                  <c:v>3.2222173810876695E-3</c:v>
                </c:pt>
                <c:pt idx="7">
                  <c:v>2.71175104247454E-3</c:v>
                </c:pt>
                <c:pt idx="8">
                  <c:v>6.2341446716497797E-3</c:v>
                </c:pt>
                <c:pt idx="9">
                  <c:v>3.9127864283410897E-3</c:v>
                </c:pt>
              </c:numCache>
            </c:numRef>
          </c:val>
          <c:smooth val="0"/>
          <c:extLst>
            <c:ext xmlns:c16="http://schemas.microsoft.com/office/drawing/2014/chart" uri="{C3380CC4-5D6E-409C-BE32-E72D297353CC}">
              <c16:uniqueId val="{00000004-22C7-4DFD-BA16-D3D783025D70}"/>
            </c:ext>
          </c:extLst>
        </c:ser>
        <c:dLbls>
          <c:showLegendKey val="0"/>
          <c:showVal val="0"/>
          <c:showCatName val="0"/>
          <c:showSerName val="0"/>
          <c:showPercent val="0"/>
          <c:showBubbleSize val="0"/>
        </c:dLbls>
        <c:smooth val="0"/>
        <c:axId val="646098271"/>
        <c:axId val="520945759"/>
      </c:lineChart>
      <c:catAx>
        <c:axId val="646098271"/>
        <c:scaling>
          <c:orientation val="minMax"/>
        </c:scaling>
        <c:delete val="0"/>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Year</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520945759"/>
        <c:crosses val="autoZero"/>
        <c:auto val="1"/>
        <c:lblAlgn val="ctr"/>
        <c:lblOffset val="100"/>
        <c:noMultiLvlLbl val="0"/>
      </c:catAx>
      <c:valAx>
        <c:axId val="520945759"/>
        <c:scaling>
          <c:orientation val="minMax"/>
        </c:scaling>
        <c:delete val="0"/>
        <c:axPos val="l"/>
        <c:majorGridlines>
          <c:spPr>
            <a:ln w="9525" cap="flat" cmpd="sng" algn="ctr">
              <a:solidFill>
                <a:schemeClr val="dk1">
                  <a:lumMod val="15000"/>
                  <a:lumOff val="85000"/>
                  <a:alpha val="54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Ratio</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646098271"/>
        <c:crosses val="autoZero"/>
        <c:crossBetween val="between"/>
      </c:valAx>
      <c:spPr>
        <a:pattFill prst="ltDnDiag">
          <a:fgClr>
            <a:schemeClr val="dk1">
              <a:lumMod val="15000"/>
              <a:lumOff val="85000"/>
            </a:schemeClr>
          </a:fgClr>
          <a:bgClr>
            <a:schemeClr val="lt1"/>
          </a:bgClr>
        </a:pattFill>
        <a:ln>
          <a:noFill/>
        </a:ln>
        <a:effectLst/>
      </c:spPr>
    </c:plotArea>
    <c:legend>
      <c:legendPos val="b"/>
      <c:layout>
        <c:manualLayout>
          <c:xMode val="edge"/>
          <c:yMode val="edge"/>
          <c:x val="0.75974350898445386"/>
          <c:y val="0.17622345667845654"/>
          <c:w val="0.23333333333333334"/>
          <c:h val="0.618648368313291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NPL</a:t>
            </a:r>
            <a:r>
              <a:rPr lang="en-US" baseline="0"/>
              <a:t>/Total Gross Loans</a:t>
            </a:r>
            <a:endParaRPr lang="en-US"/>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manualLayout>
          <c:layoutTarget val="inner"/>
          <c:xMode val="edge"/>
          <c:yMode val="edge"/>
          <c:x val="0.11214384660250802"/>
          <c:y val="0.15344005418361178"/>
          <c:w val="0.67534430592009331"/>
          <c:h val="0.72594517210204168"/>
        </c:manualLayout>
      </c:layout>
      <c:lineChart>
        <c:grouping val="standard"/>
        <c:varyColors val="0"/>
        <c:ser>
          <c:idx val="0"/>
          <c:order val="0"/>
          <c:tx>
            <c:strRef>
              <c:f>'NPL yearly'!$A$9</c:f>
              <c:strCache>
                <c:ptCount val="1"/>
                <c:pt idx="0">
                  <c:v>State-owned</c:v>
                </c:pt>
              </c:strCache>
            </c:strRef>
          </c:tx>
          <c:spPr>
            <a:ln w="22225" cap="rnd">
              <a:solidFill>
                <a:schemeClr val="accent1"/>
              </a:solidFill>
              <a:round/>
            </a:ln>
            <a:effectLst/>
          </c:spPr>
          <c:marker>
            <c:symbol val="none"/>
          </c:marker>
          <c:cat>
            <c:numRef>
              <c:f>'NPL yearly'!$C$8:$L$8</c:f>
              <c:numCache>
                <c:formatCode>General</c:formatCode>
                <c:ptCount val="10"/>
                <c:pt idx="0">
                  <c:v>2011</c:v>
                </c:pt>
                <c:pt idx="1">
                  <c:v>2012</c:v>
                </c:pt>
                <c:pt idx="2">
                  <c:v>2013</c:v>
                </c:pt>
                <c:pt idx="3">
                  <c:v>2014</c:v>
                </c:pt>
                <c:pt idx="4">
                  <c:v>2015</c:v>
                </c:pt>
                <c:pt idx="5">
                  <c:v>2016</c:v>
                </c:pt>
                <c:pt idx="6">
                  <c:v>2017</c:v>
                </c:pt>
                <c:pt idx="7">
                  <c:v>2018</c:v>
                </c:pt>
                <c:pt idx="8">
                  <c:v>2019</c:v>
                </c:pt>
              </c:numCache>
            </c:numRef>
          </c:cat>
          <c:val>
            <c:numRef>
              <c:f>'NPL yearly'!$C$9:$L$9</c:f>
              <c:numCache>
                <c:formatCode>0.00%</c:formatCode>
                <c:ptCount val="10"/>
                <c:pt idx="0">
                  <c:v>6.5333333333333302E-3</c:v>
                </c:pt>
                <c:pt idx="1">
                  <c:v>8.5230769230769197E-3</c:v>
                </c:pt>
                <c:pt idx="2">
                  <c:v>9.4384615384615293E-3</c:v>
                </c:pt>
                <c:pt idx="3">
                  <c:v>1.4515384615384598E-2</c:v>
                </c:pt>
                <c:pt idx="4">
                  <c:v>1.6057142857142801E-2</c:v>
                </c:pt>
                <c:pt idx="5">
                  <c:v>1.6471428571428498E-2</c:v>
                </c:pt>
                <c:pt idx="6">
                  <c:v>1.58076923076923E-2</c:v>
                </c:pt>
                <c:pt idx="7">
                  <c:v>1.50714285714285E-2</c:v>
                </c:pt>
                <c:pt idx="8">
                  <c:v>1.5700000000000002E-2</c:v>
                </c:pt>
              </c:numCache>
            </c:numRef>
          </c:val>
          <c:smooth val="0"/>
          <c:extLst>
            <c:ext xmlns:c16="http://schemas.microsoft.com/office/drawing/2014/chart" uri="{C3380CC4-5D6E-409C-BE32-E72D297353CC}">
              <c16:uniqueId val="{00000000-A0D5-4AB8-95E6-39BD520C278B}"/>
            </c:ext>
          </c:extLst>
        </c:ser>
        <c:ser>
          <c:idx val="1"/>
          <c:order val="1"/>
          <c:tx>
            <c:strRef>
              <c:f>'NPL yearly'!$A$10</c:f>
              <c:strCache>
                <c:ptCount val="1"/>
                <c:pt idx="0">
                  <c:v>Local government-holding</c:v>
                </c:pt>
              </c:strCache>
            </c:strRef>
          </c:tx>
          <c:spPr>
            <a:ln w="22225" cap="rnd">
              <a:solidFill>
                <a:schemeClr val="accent2"/>
              </a:solidFill>
              <a:round/>
            </a:ln>
            <a:effectLst/>
          </c:spPr>
          <c:marker>
            <c:symbol val="none"/>
          </c:marker>
          <c:cat>
            <c:numRef>
              <c:f>'NPL yearly'!$C$8:$L$8</c:f>
              <c:numCache>
                <c:formatCode>General</c:formatCode>
                <c:ptCount val="10"/>
                <c:pt idx="0">
                  <c:v>2011</c:v>
                </c:pt>
                <c:pt idx="1">
                  <c:v>2012</c:v>
                </c:pt>
                <c:pt idx="2">
                  <c:v>2013</c:v>
                </c:pt>
                <c:pt idx="3">
                  <c:v>2014</c:v>
                </c:pt>
                <c:pt idx="4">
                  <c:v>2015</c:v>
                </c:pt>
                <c:pt idx="5">
                  <c:v>2016</c:v>
                </c:pt>
                <c:pt idx="6">
                  <c:v>2017</c:v>
                </c:pt>
                <c:pt idx="7">
                  <c:v>2018</c:v>
                </c:pt>
                <c:pt idx="8">
                  <c:v>2019</c:v>
                </c:pt>
              </c:numCache>
            </c:numRef>
          </c:cat>
          <c:val>
            <c:numRef>
              <c:f>'NPL yearly'!$C$10:$L$10</c:f>
              <c:numCache>
                <c:formatCode>0.00%</c:formatCode>
                <c:ptCount val="10"/>
                <c:pt idx="0">
                  <c:v>1.1721212121212099E-2</c:v>
                </c:pt>
                <c:pt idx="1">
                  <c:v>1.0052631578947299E-2</c:v>
                </c:pt>
                <c:pt idx="2">
                  <c:v>9.2925000000000004E-3</c:v>
                </c:pt>
                <c:pt idx="3">
                  <c:v>1.21190476190476E-2</c:v>
                </c:pt>
                <c:pt idx="4">
                  <c:v>1.52576923076923E-2</c:v>
                </c:pt>
                <c:pt idx="5">
                  <c:v>1.5941509433962199E-2</c:v>
                </c:pt>
                <c:pt idx="6">
                  <c:v>1.6407407407407398E-2</c:v>
                </c:pt>
                <c:pt idx="7">
                  <c:v>2.1279629629629603E-2</c:v>
                </c:pt>
                <c:pt idx="8">
                  <c:v>1.7569387755102001E-2</c:v>
                </c:pt>
              </c:numCache>
            </c:numRef>
          </c:val>
          <c:smooth val="0"/>
          <c:extLst>
            <c:ext xmlns:c16="http://schemas.microsoft.com/office/drawing/2014/chart" uri="{C3380CC4-5D6E-409C-BE32-E72D297353CC}">
              <c16:uniqueId val="{00000001-A0D5-4AB8-95E6-39BD520C278B}"/>
            </c:ext>
          </c:extLst>
        </c:ser>
        <c:ser>
          <c:idx val="2"/>
          <c:order val="2"/>
          <c:tx>
            <c:strRef>
              <c:f>'NPL yearly'!$A$11</c:f>
              <c:strCache>
                <c:ptCount val="1"/>
                <c:pt idx="0">
                  <c:v>Joint-stock</c:v>
                </c:pt>
              </c:strCache>
            </c:strRef>
          </c:tx>
          <c:spPr>
            <a:ln w="22225" cap="rnd">
              <a:solidFill>
                <a:schemeClr val="accent3"/>
              </a:solidFill>
              <a:round/>
            </a:ln>
            <a:effectLst/>
          </c:spPr>
          <c:marker>
            <c:symbol val="none"/>
          </c:marker>
          <c:cat>
            <c:numRef>
              <c:f>'NPL yearly'!$C$8:$L$8</c:f>
              <c:numCache>
                <c:formatCode>General</c:formatCode>
                <c:ptCount val="10"/>
                <c:pt idx="0">
                  <c:v>2011</c:v>
                </c:pt>
                <c:pt idx="1">
                  <c:v>2012</c:v>
                </c:pt>
                <c:pt idx="2">
                  <c:v>2013</c:v>
                </c:pt>
                <c:pt idx="3">
                  <c:v>2014</c:v>
                </c:pt>
                <c:pt idx="4">
                  <c:v>2015</c:v>
                </c:pt>
                <c:pt idx="5">
                  <c:v>2016</c:v>
                </c:pt>
                <c:pt idx="6">
                  <c:v>2017</c:v>
                </c:pt>
                <c:pt idx="7">
                  <c:v>2018</c:v>
                </c:pt>
                <c:pt idx="8">
                  <c:v>2019</c:v>
                </c:pt>
              </c:numCache>
            </c:numRef>
          </c:cat>
          <c:val>
            <c:numRef>
              <c:f>'NPL yearly'!$C$11:$L$11</c:f>
              <c:numCache>
                <c:formatCode>0.00%</c:formatCode>
                <c:ptCount val="10"/>
                <c:pt idx="0">
                  <c:v>1.0135416666666598E-2</c:v>
                </c:pt>
                <c:pt idx="1">
                  <c:v>1.3100000000000001E-2</c:v>
                </c:pt>
                <c:pt idx="2">
                  <c:v>1.5474626865671599E-2</c:v>
                </c:pt>
                <c:pt idx="3">
                  <c:v>1.46542857142857E-2</c:v>
                </c:pt>
                <c:pt idx="4">
                  <c:v>1.7116091954022902E-2</c:v>
                </c:pt>
                <c:pt idx="5">
                  <c:v>1.7783908045977001E-2</c:v>
                </c:pt>
                <c:pt idx="6">
                  <c:v>1.83127906976744E-2</c:v>
                </c:pt>
                <c:pt idx="7">
                  <c:v>2.44011235955056E-2</c:v>
                </c:pt>
                <c:pt idx="8">
                  <c:v>1.98122748652096E-2</c:v>
                </c:pt>
              </c:numCache>
            </c:numRef>
          </c:val>
          <c:smooth val="0"/>
          <c:extLst>
            <c:ext xmlns:c16="http://schemas.microsoft.com/office/drawing/2014/chart" uri="{C3380CC4-5D6E-409C-BE32-E72D297353CC}">
              <c16:uniqueId val="{00000002-A0D5-4AB8-95E6-39BD520C278B}"/>
            </c:ext>
          </c:extLst>
        </c:ser>
        <c:ser>
          <c:idx val="3"/>
          <c:order val="3"/>
          <c:tx>
            <c:strRef>
              <c:f>'NPL yearly'!$A$12</c:f>
              <c:strCache>
                <c:ptCount val="1"/>
                <c:pt idx="0">
                  <c:v>Foreign Joint-stock</c:v>
                </c:pt>
              </c:strCache>
            </c:strRef>
          </c:tx>
          <c:spPr>
            <a:ln w="22225" cap="rnd">
              <a:solidFill>
                <a:schemeClr val="accent4"/>
              </a:solidFill>
              <a:round/>
            </a:ln>
            <a:effectLst/>
          </c:spPr>
          <c:marker>
            <c:symbol val="none"/>
          </c:marker>
          <c:cat>
            <c:numRef>
              <c:f>'NPL yearly'!$C$8:$L$8</c:f>
              <c:numCache>
                <c:formatCode>General</c:formatCode>
                <c:ptCount val="10"/>
                <c:pt idx="0">
                  <c:v>2011</c:v>
                </c:pt>
                <c:pt idx="1">
                  <c:v>2012</c:v>
                </c:pt>
                <c:pt idx="2">
                  <c:v>2013</c:v>
                </c:pt>
                <c:pt idx="3">
                  <c:v>2014</c:v>
                </c:pt>
                <c:pt idx="4">
                  <c:v>2015</c:v>
                </c:pt>
                <c:pt idx="5">
                  <c:v>2016</c:v>
                </c:pt>
                <c:pt idx="6">
                  <c:v>2017</c:v>
                </c:pt>
                <c:pt idx="7">
                  <c:v>2018</c:v>
                </c:pt>
                <c:pt idx="8">
                  <c:v>2019</c:v>
                </c:pt>
              </c:numCache>
            </c:numRef>
          </c:cat>
          <c:val>
            <c:numRef>
              <c:f>'NPL yearly'!$C$12:$L$12</c:f>
              <c:numCache>
                <c:formatCode>0.00%</c:formatCode>
                <c:ptCount val="10"/>
                <c:pt idx="0">
                  <c:v>8.8090909090909001E-3</c:v>
                </c:pt>
                <c:pt idx="1">
                  <c:v>9.4833333333333297E-3</c:v>
                </c:pt>
                <c:pt idx="2">
                  <c:v>1.0208333333333298E-2</c:v>
                </c:pt>
                <c:pt idx="3">
                  <c:v>1.2575000000000001E-2</c:v>
                </c:pt>
                <c:pt idx="4">
                  <c:v>1.5049999999999999E-2</c:v>
                </c:pt>
                <c:pt idx="5">
                  <c:v>1.55833333333333E-2</c:v>
                </c:pt>
                <c:pt idx="6">
                  <c:v>1.5475000000000001E-2</c:v>
                </c:pt>
                <c:pt idx="7">
                  <c:v>1.7708333333333298E-2</c:v>
                </c:pt>
                <c:pt idx="8">
                  <c:v>1.79083333333333E-2</c:v>
                </c:pt>
              </c:numCache>
            </c:numRef>
          </c:val>
          <c:smooth val="0"/>
          <c:extLst>
            <c:ext xmlns:c16="http://schemas.microsoft.com/office/drawing/2014/chart" uri="{C3380CC4-5D6E-409C-BE32-E72D297353CC}">
              <c16:uniqueId val="{00000003-A0D5-4AB8-95E6-39BD520C278B}"/>
            </c:ext>
          </c:extLst>
        </c:ser>
        <c:ser>
          <c:idx val="4"/>
          <c:order val="4"/>
          <c:tx>
            <c:strRef>
              <c:f>'NPL yearly'!$A$13</c:f>
              <c:strCache>
                <c:ptCount val="1"/>
                <c:pt idx="0">
                  <c:v>Foreign-owned</c:v>
                </c:pt>
              </c:strCache>
            </c:strRef>
          </c:tx>
          <c:spPr>
            <a:ln w="22225" cap="rnd">
              <a:solidFill>
                <a:schemeClr val="accent5"/>
              </a:solidFill>
              <a:round/>
            </a:ln>
            <a:effectLst/>
          </c:spPr>
          <c:marker>
            <c:symbol val="none"/>
          </c:marker>
          <c:cat>
            <c:numRef>
              <c:f>'NPL yearly'!$C$8:$L$8</c:f>
              <c:numCache>
                <c:formatCode>General</c:formatCode>
                <c:ptCount val="10"/>
                <c:pt idx="0">
                  <c:v>2011</c:v>
                </c:pt>
                <c:pt idx="1">
                  <c:v>2012</c:v>
                </c:pt>
                <c:pt idx="2">
                  <c:v>2013</c:v>
                </c:pt>
                <c:pt idx="3">
                  <c:v>2014</c:v>
                </c:pt>
                <c:pt idx="4">
                  <c:v>2015</c:v>
                </c:pt>
                <c:pt idx="5">
                  <c:v>2016</c:v>
                </c:pt>
                <c:pt idx="6">
                  <c:v>2017</c:v>
                </c:pt>
                <c:pt idx="7">
                  <c:v>2018</c:v>
                </c:pt>
                <c:pt idx="8">
                  <c:v>2019</c:v>
                </c:pt>
              </c:numCache>
            </c:numRef>
          </c:cat>
          <c:val>
            <c:numRef>
              <c:f>'NPL yearly'!$C$13:$L$13</c:f>
              <c:numCache>
                <c:formatCode>0.00%</c:formatCode>
                <c:ptCount val="10"/>
                <c:pt idx="0">
                  <c:v>2.9249999999999996E-3</c:v>
                </c:pt>
                <c:pt idx="1">
                  <c:v>3.8285714285714199E-3</c:v>
                </c:pt>
                <c:pt idx="2">
                  <c:v>1.1425000000000001E-2</c:v>
                </c:pt>
                <c:pt idx="3">
                  <c:v>1.3009090909090899E-2</c:v>
                </c:pt>
                <c:pt idx="4">
                  <c:v>1.18888888888888E-2</c:v>
                </c:pt>
                <c:pt idx="5">
                  <c:v>1.0861111111111099E-2</c:v>
                </c:pt>
                <c:pt idx="6">
                  <c:v>1.0476190476190399E-2</c:v>
                </c:pt>
                <c:pt idx="7">
                  <c:v>9.73181818181818E-3</c:v>
                </c:pt>
                <c:pt idx="8">
                  <c:v>7.9299999999999995E-3</c:v>
                </c:pt>
              </c:numCache>
            </c:numRef>
          </c:val>
          <c:smooth val="0"/>
          <c:extLst>
            <c:ext xmlns:c16="http://schemas.microsoft.com/office/drawing/2014/chart" uri="{C3380CC4-5D6E-409C-BE32-E72D297353CC}">
              <c16:uniqueId val="{00000004-A0D5-4AB8-95E6-39BD520C278B}"/>
            </c:ext>
          </c:extLst>
        </c:ser>
        <c:dLbls>
          <c:showLegendKey val="0"/>
          <c:showVal val="0"/>
          <c:showCatName val="0"/>
          <c:showSerName val="0"/>
          <c:showPercent val="0"/>
          <c:showBubbleSize val="0"/>
        </c:dLbls>
        <c:smooth val="0"/>
        <c:axId val="304399520"/>
        <c:axId val="741895280"/>
      </c:lineChart>
      <c:catAx>
        <c:axId val="304399520"/>
        <c:scaling>
          <c:orientation val="minMax"/>
        </c:scaling>
        <c:delete val="0"/>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Year</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741895280"/>
        <c:crosses val="autoZero"/>
        <c:auto val="1"/>
        <c:lblAlgn val="ctr"/>
        <c:lblOffset val="100"/>
        <c:noMultiLvlLbl val="0"/>
      </c:catAx>
      <c:valAx>
        <c:axId val="741895280"/>
        <c:scaling>
          <c:orientation val="minMax"/>
        </c:scaling>
        <c:delete val="0"/>
        <c:axPos val="l"/>
        <c:majorGridlines>
          <c:spPr>
            <a:ln w="9525" cap="flat" cmpd="sng" algn="ctr">
              <a:solidFill>
                <a:schemeClr val="dk1">
                  <a:lumMod val="15000"/>
                  <a:lumOff val="85000"/>
                  <a:alpha val="54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Ratio</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304399520"/>
        <c:crosses val="autoZero"/>
        <c:crossBetween val="between"/>
      </c:valAx>
      <c:spPr>
        <a:pattFill prst="ltDnDiag">
          <a:fgClr>
            <a:schemeClr val="dk1">
              <a:lumMod val="15000"/>
              <a:lumOff val="85000"/>
            </a:schemeClr>
          </a:fgClr>
          <a:bgClr>
            <a:schemeClr val="lt1"/>
          </a:bgClr>
        </a:pattFill>
        <a:ln>
          <a:noFill/>
        </a:ln>
        <a:effectLst/>
      </c:spPr>
    </c:plotArea>
    <c:legend>
      <c:legendPos val="b"/>
      <c:layout>
        <c:manualLayout>
          <c:xMode val="edge"/>
          <c:yMode val="edge"/>
          <c:x val="0.80322178477690287"/>
          <c:y val="0.20087302610948346"/>
          <c:w val="0.1967782152230971"/>
          <c:h val="0.726614322534167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Total Net Loans/Total Assets</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manualLayout>
          <c:layoutTarget val="inner"/>
          <c:xMode val="edge"/>
          <c:yMode val="edge"/>
          <c:x val="0.12287183537794452"/>
          <c:y val="0.18300925925925926"/>
          <c:w val="0.65560256378610993"/>
          <c:h val="0.60368802857976089"/>
        </c:manualLayout>
      </c:layout>
      <c:lineChart>
        <c:grouping val="standard"/>
        <c:varyColors val="0"/>
        <c:ser>
          <c:idx val="0"/>
          <c:order val="0"/>
          <c:tx>
            <c:strRef>
              <c:f>'Loans to Assets yearly'!$A$9</c:f>
              <c:strCache>
                <c:ptCount val="1"/>
                <c:pt idx="0">
                  <c:v>State-owned</c:v>
                </c:pt>
              </c:strCache>
            </c:strRef>
          </c:tx>
          <c:spPr>
            <a:ln w="22225" cap="rnd">
              <a:solidFill>
                <a:schemeClr val="accent1"/>
              </a:solidFill>
              <a:round/>
            </a:ln>
            <a:effectLst/>
          </c:spPr>
          <c:marker>
            <c:symbol val="none"/>
          </c:marker>
          <c:cat>
            <c:numRef>
              <c:f>'Loans to Assets yearly'!$B$8:$K$8</c:f>
              <c:numCache>
                <c:formatCode>General</c:formatCode>
                <c:ptCount val="10"/>
                <c:pt idx="0">
                  <c:v>2010</c:v>
                </c:pt>
                <c:pt idx="1">
                  <c:v>2011</c:v>
                </c:pt>
                <c:pt idx="2">
                  <c:v>2012</c:v>
                </c:pt>
                <c:pt idx="3">
                  <c:v>2013</c:v>
                </c:pt>
                <c:pt idx="4">
                  <c:v>2014</c:v>
                </c:pt>
                <c:pt idx="5">
                  <c:v>2015</c:v>
                </c:pt>
                <c:pt idx="6">
                  <c:v>2016</c:v>
                </c:pt>
                <c:pt idx="7">
                  <c:v>2017</c:v>
                </c:pt>
                <c:pt idx="8">
                  <c:v>2018</c:v>
                </c:pt>
                <c:pt idx="9">
                  <c:v>2019</c:v>
                </c:pt>
              </c:numCache>
            </c:numRef>
          </c:cat>
          <c:val>
            <c:numRef>
              <c:f>'Loans to Assets yearly'!$B$9:$K$9</c:f>
              <c:numCache>
                <c:formatCode>0.00%</c:formatCode>
                <c:ptCount val="10"/>
                <c:pt idx="0">
                  <c:v>0.47050501982930798</c:v>
                </c:pt>
                <c:pt idx="1">
                  <c:v>0.43843228288639702</c:v>
                </c:pt>
                <c:pt idx="2">
                  <c:v>0.43195320548834198</c:v>
                </c:pt>
                <c:pt idx="3">
                  <c:v>0.43973020740748198</c:v>
                </c:pt>
                <c:pt idx="4">
                  <c:v>0.45584981417709003</c:v>
                </c:pt>
                <c:pt idx="5">
                  <c:v>0.46050590387506196</c:v>
                </c:pt>
                <c:pt idx="6">
                  <c:v>0.46581951081369199</c:v>
                </c:pt>
                <c:pt idx="7">
                  <c:v>0.48229091661005197</c:v>
                </c:pt>
                <c:pt idx="8">
                  <c:v>0.51073422219176501</c:v>
                </c:pt>
                <c:pt idx="9">
                  <c:v>0.52731845837306701</c:v>
                </c:pt>
              </c:numCache>
            </c:numRef>
          </c:val>
          <c:smooth val="0"/>
          <c:extLst>
            <c:ext xmlns:c16="http://schemas.microsoft.com/office/drawing/2014/chart" uri="{C3380CC4-5D6E-409C-BE32-E72D297353CC}">
              <c16:uniqueId val="{00000000-87F5-4F70-B36F-613C25C056F2}"/>
            </c:ext>
          </c:extLst>
        </c:ser>
        <c:ser>
          <c:idx val="1"/>
          <c:order val="1"/>
          <c:tx>
            <c:strRef>
              <c:f>'Loans to Assets yearly'!$A$10</c:f>
              <c:strCache>
                <c:ptCount val="1"/>
                <c:pt idx="0">
                  <c:v>Local government-holding</c:v>
                </c:pt>
              </c:strCache>
            </c:strRef>
          </c:tx>
          <c:spPr>
            <a:ln w="22225" cap="rnd">
              <a:solidFill>
                <a:schemeClr val="accent2"/>
              </a:solidFill>
              <a:round/>
            </a:ln>
            <a:effectLst/>
          </c:spPr>
          <c:marker>
            <c:symbol val="none"/>
          </c:marker>
          <c:cat>
            <c:numRef>
              <c:f>'Loans to Assets yearly'!$B$8:$K$8</c:f>
              <c:numCache>
                <c:formatCode>General</c:formatCode>
                <c:ptCount val="10"/>
                <c:pt idx="0">
                  <c:v>2010</c:v>
                </c:pt>
                <c:pt idx="1">
                  <c:v>2011</c:v>
                </c:pt>
                <c:pt idx="2">
                  <c:v>2012</c:v>
                </c:pt>
                <c:pt idx="3">
                  <c:v>2013</c:v>
                </c:pt>
                <c:pt idx="4">
                  <c:v>2014</c:v>
                </c:pt>
                <c:pt idx="5">
                  <c:v>2015</c:v>
                </c:pt>
                <c:pt idx="6">
                  <c:v>2016</c:v>
                </c:pt>
                <c:pt idx="7">
                  <c:v>2017</c:v>
                </c:pt>
                <c:pt idx="8">
                  <c:v>2018</c:v>
                </c:pt>
                <c:pt idx="9">
                  <c:v>2019</c:v>
                </c:pt>
              </c:numCache>
            </c:numRef>
          </c:cat>
          <c:val>
            <c:numRef>
              <c:f>'Loans to Assets yearly'!$B$10:$K$10</c:f>
              <c:numCache>
                <c:formatCode>0.00%</c:formatCode>
                <c:ptCount val="10"/>
                <c:pt idx="0">
                  <c:v>0.44224180053683299</c:v>
                </c:pt>
                <c:pt idx="1">
                  <c:v>0.42530159564685699</c:v>
                </c:pt>
                <c:pt idx="2">
                  <c:v>0.418872878246764</c:v>
                </c:pt>
                <c:pt idx="3">
                  <c:v>0.42126122558599099</c:v>
                </c:pt>
                <c:pt idx="4">
                  <c:v>0.42317891837159499</c:v>
                </c:pt>
                <c:pt idx="5">
                  <c:v>0.39794864463603502</c:v>
                </c:pt>
                <c:pt idx="6">
                  <c:v>0.37939160085158102</c:v>
                </c:pt>
                <c:pt idx="7">
                  <c:v>0.394901261156265</c:v>
                </c:pt>
                <c:pt idx="8">
                  <c:v>0.438417096753766</c:v>
                </c:pt>
                <c:pt idx="9">
                  <c:v>0.46969205384093898</c:v>
                </c:pt>
              </c:numCache>
            </c:numRef>
          </c:val>
          <c:smooth val="0"/>
          <c:extLst>
            <c:ext xmlns:c16="http://schemas.microsoft.com/office/drawing/2014/chart" uri="{C3380CC4-5D6E-409C-BE32-E72D297353CC}">
              <c16:uniqueId val="{00000001-87F5-4F70-B36F-613C25C056F2}"/>
            </c:ext>
          </c:extLst>
        </c:ser>
        <c:ser>
          <c:idx val="2"/>
          <c:order val="2"/>
          <c:tx>
            <c:strRef>
              <c:f>'Loans to Assets yearly'!$A$11</c:f>
              <c:strCache>
                <c:ptCount val="1"/>
                <c:pt idx="0">
                  <c:v>Joint-stock</c:v>
                </c:pt>
              </c:strCache>
            </c:strRef>
          </c:tx>
          <c:spPr>
            <a:ln w="22225" cap="rnd">
              <a:solidFill>
                <a:schemeClr val="accent3"/>
              </a:solidFill>
              <a:round/>
            </a:ln>
            <a:effectLst/>
          </c:spPr>
          <c:marker>
            <c:symbol val="none"/>
          </c:marker>
          <c:cat>
            <c:numRef>
              <c:f>'Loans to Assets yearly'!$B$8:$K$8</c:f>
              <c:numCache>
                <c:formatCode>General</c:formatCode>
                <c:ptCount val="10"/>
                <c:pt idx="0">
                  <c:v>2010</c:v>
                </c:pt>
                <c:pt idx="1">
                  <c:v>2011</c:v>
                </c:pt>
                <c:pt idx="2">
                  <c:v>2012</c:v>
                </c:pt>
                <c:pt idx="3">
                  <c:v>2013</c:v>
                </c:pt>
                <c:pt idx="4">
                  <c:v>2014</c:v>
                </c:pt>
                <c:pt idx="5">
                  <c:v>2015</c:v>
                </c:pt>
                <c:pt idx="6">
                  <c:v>2016</c:v>
                </c:pt>
                <c:pt idx="7">
                  <c:v>2017</c:v>
                </c:pt>
                <c:pt idx="8">
                  <c:v>2018</c:v>
                </c:pt>
                <c:pt idx="9">
                  <c:v>2019</c:v>
                </c:pt>
              </c:numCache>
            </c:numRef>
          </c:cat>
          <c:val>
            <c:numRef>
              <c:f>'Loans to Assets yearly'!$B$11:$K$11</c:f>
              <c:numCache>
                <c:formatCode>0.00%</c:formatCode>
                <c:ptCount val="10"/>
                <c:pt idx="0">
                  <c:v>0.50312611869994195</c:v>
                </c:pt>
                <c:pt idx="1">
                  <c:v>0.48486855996865796</c:v>
                </c:pt>
                <c:pt idx="2">
                  <c:v>0.467543290759314</c:v>
                </c:pt>
                <c:pt idx="3">
                  <c:v>0.46172861815318794</c:v>
                </c:pt>
                <c:pt idx="4">
                  <c:v>0.46846305556753798</c:v>
                </c:pt>
                <c:pt idx="5">
                  <c:v>0.44575474373538598</c:v>
                </c:pt>
                <c:pt idx="6">
                  <c:v>0.42184581897412599</c:v>
                </c:pt>
                <c:pt idx="7">
                  <c:v>0.43765362020467502</c:v>
                </c:pt>
                <c:pt idx="8">
                  <c:v>0.484133962591411</c:v>
                </c:pt>
                <c:pt idx="9">
                  <c:v>0.51526150899283896</c:v>
                </c:pt>
              </c:numCache>
            </c:numRef>
          </c:val>
          <c:smooth val="0"/>
          <c:extLst>
            <c:ext xmlns:c16="http://schemas.microsoft.com/office/drawing/2014/chart" uri="{C3380CC4-5D6E-409C-BE32-E72D297353CC}">
              <c16:uniqueId val="{00000002-87F5-4F70-B36F-613C25C056F2}"/>
            </c:ext>
          </c:extLst>
        </c:ser>
        <c:ser>
          <c:idx val="3"/>
          <c:order val="3"/>
          <c:tx>
            <c:strRef>
              <c:f>'Loans to Assets yearly'!$A$12</c:f>
              <c:strCache>
                <c:ptCount val="1"/>
                <c:pt idx="0">
                  <c:v>Foreign Joint-stock</c:v>
                </c:pt>
              </c:strCache>
            </c:strRef>
          </c:tx>
          <c:spPr>
            <a:ln w="22225" cap="rnd">
              <a:solidFill>
                <a:schemeClr val="accent4"/>
              </a:solidFill>
              <a:round/>
            </a:ln>
            <a:effectLst/>
          </c:spPr>
          <c:marker>
            <c:symbol val="none"/>
          </c:marker>
          <c:cat>
            <c:numRef>
              <c:f>'Loans to Assets yearly'!$B$8:$K$8</c:f>
              <c:numCache>
                <c:formatCode>General</c:formatCode>
                <c:ptCount val="10"/>
                <c:pt idx="0">
                  <c:v>2010</c:v>
                </c:pt>
                <c:pt idx="1">
                  <c:v>2011</c:v>
                </c:pt>
                <c:pt idx="2">
                  <c:v>2012</c:v>
                </c:pt>
                <c:pt idx="3">
                  <c:v>2013</c:v>
                </c:pt>
                <c:pt idx="4">
                  <c:v>2014</c:v>
                </c:pt>
                <c:pt idx="5">
                  <c:v>2015</c:v>
                </c:pt>
                <c:pt idx="6">
                  <c:v>2016</c:v>
                </c:pt>
                <c:pt idx="7">
                  <c:v>2017</c:v>
                </c:pt>
                <c:pt idx="8">
                  <c:v>2018</c:v>
                </c:pt>
                <c:pt idx="9">
                  <c:v>2019</c:v>
                </c:pt>
              </c:numCache>
            </c:numRef>
          </c:cat>
          <c:val>
            <c:numRef>
              <c:f>'Loans to Assets yearly'!$B$12:$K$12</c:f>
              <c:numCache>
                <c:formatCode>0.00%</c:formatCode>
                <c:ptCount val="10"/>
                <c:pt idx="0">
                  <c:v>0.45971353519736396</c:v>
                </c:pt>
                <c:pt idx="1">
                  <c:v>0.45755630778789802</c:v>
                </c:pt>
                <c:pt idx="2">
                  <c:v>0.431643502678832</c:v>
                </c:pt>
                <c:pt idx="3">
                  <c:v>0.42399654903645001</c:v>
                </c:pt>
                <c:pt idx="4">
                  <c:v>0.41350982486211102</c:v>
                </c:pt>
                <c:pt idx="5">
                  <c:v>0.39483556949863002</c:v>
                </c:pt>
                <c:pt idx="6">
                  <c:v>0.36427823303537799</c:v>
                </c:pt>
                <c:pt idx="7">
                  <c:v>0.38001417494735695</c:v>
                </c:pt>
                <c:pt idx="8">
                  <c:v>0.435850794885071</c:v>
                </c:pt>
                <c:pt idx="9">
                  <c:v>0.47299712775474601</c:v>
                </c:pt>
              </c:numCache>
            </c:numRef>
          </c:val>
          <c:smooth val="0"/>
          <c:extLst>
            <c:ext xmlns:c16="http://schemas.microsoft.com/office/drawing/2014/chart" uri="{C3380CC4-5D6E-409C-BE32-E72D297353CC}">
              <c16:uniqueId val="{00000003-87F5-4F70-B36F-613C25C056F2}"/>
            </c:ext>
          </c:extLst>
        </c:ser>
        <c:ser>
          <c:idx val="4"/>
          <c:order val="4"/>
          <c:tx>
            <c:strRef>
              <c:f>'Loans to Assets yearly'!$A$13</c:f>
              <c:strCache>
                <c:ptCount val="1"/>
                <c:pt idx="0">
                  <c:v>Foreign-owned</c:v>
                </c:pt>
              </c:strCache>
            </c:strRef>
          </c:tx>
          <c:spPr>
            <a:ln w="22225" cap="rnd">
              <a:solidFill>
                <a:schemeClr val="accent5"/>
              </a:solidFill>
              <a:round/>
            </a:ln>
            <a:effectLst/>
          </c:spPr>
          <c:marker>
            <c:symbol val="none"/>
          </c:marker>
          <c:cat>
            <c:numRef>
              <c:f>'Loans to Assets yearly'!$B$8:$K$8</c:f>
              <c:numCache>
                <c:formatCode>General</c:formatCode>
                <c:ptCount val="10"/>
                <c:pt idx="0">
                  <c:v>2010</c:v>
                </c:pt>
                <c:pt idx="1">
                  <c:v>2011</c:v>
                </c:pt>
                <c:pt idx="2">
                  <c:v>2012</c:v>
                </c:pt>
                <c:pt idx="3">
                  <c:v>2013</c:v>
                </c:pt>
                <c:pt idx="4">
                  <c:v>2014</c:v>
                </c:pt>
                <c:pt idx="5">
                  <c:v>2015</c:v>
                </c:pt>
                <c:pt idx="6">
                  <c:v>2016</c:v>
                </c:pt>
                <c:pt idx="7">
                  <c:v>2017</c:v>
                </c:pt>
                <c:pt idx="8">
                  <c:v>2018</c:v>
                </c:pt>
                <c:pt idx="9">
                  <c:v>2019</c:v>
                </c:pt>
              </c:numCache>
            </c:numRef>
          </c:cat>
          <c:val>
            <c:numRef>
              <c:f>'Loans to Assets yearly'!$B$13:$K$13</c:f>
              <c:numCache>
                <c:formatCode>0.00%</c:formatCode>
                <c:ptCount val="10"/>
                <c:pt idx="0">
                  <c:v>0.51931716421975704</c:v>
                </c:pt>
                <c:pt idx="1">
                  <c:v>0.39844352442167197</c:v>
                </c:pt>
                <c:pt idx="2">
                  <c:v>0.38142605170522798</c:v>
                </c:pt>
                <c:pt idx="3">
                  <c:v>0.38632381886335798</c:v>
                </c:pt>
                <c:pt idx="4">
                  <c:v>0.36371779460041098</c:v>
                </c:pt>
                <c:pt idx="5">
                  <c:v>0.36118754935515901</c:v>
                </c:pt>
                <c:pt idx="6">
                  <c:v>0.32945581628950299</c:v>
                </c:pt>
                <c:pt idx="7">
                  <c:v>0.33203339542919896</c:v>
                </c:pt>
                <c:pt idx="8">
                  <c:v>0.34786149913513598</c:v>
                </c:pt>
                <c:pt idx="9">
                  <c:v>0.36381488681015595</c:v>
                </c:pt>
              </c:numCache>
            </c:numRef>
          </c:val>
          <c:smooth val="0"/>
          <c:extLst>
            <c:ext xmlns:c16="http://schemas.microsoft.com/office/drawing/2014/chart" uri="{C3380CC4-5D6E-409C-BE32-E72D297353CC}">
              <c16:uniqueId val="{00000004-87F5-4F70-B36F-613C25C056F2}"/>
            </c:ext>
          </c:extLst>
        </c:ser>
        <c:dLbls>
          <c:showLegendKey val="0"/>
          <c:showVal val="0"/>
          <c:showCatName val="0"/>
          <c:showSerName val="0"/>
          <c:showPercent val="0"/>
          <c:showBubbleSize val="0"/>
        </c:dLbls>
        <c:smooth val="0"/>
        <c:axId val="2052568927"/>
        <c:axId val="2053295519"/>
      </c:lineChart>
      <c:catAx>
        <c:axId val="2052568927"/>
        <c:scaling>
          <c:orientation val="minMax"/>
        </c:scaling>
        <c:delete val="0"/>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Year</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2053295519"/>
        <c:crosses val="autoZero"/>
        <c:auto val="1"/>
        <c:lblAlgn val="ctr"/>
        <c:lblOffset val="100"/>
        <c:noMultiLvlLbl val="0"/>
      </c:catAx>
      <c:valAx>
        <c:axId val="2053295519"/>
        <c:scaling>
          <c:orientation val="minMax"/>
        </c:scaling>
        <c:delete val="0"/>
        <c:axPos val="l"/>
        <c:majorGridlines>
          <c:spPr>
            <a:ln w="9525" cap="flat" cmpd="sng" algn="ctr">
              <a:solidFill>
                <a:schemeClr val="dk1">
                  <a:lumMod val="15000"/>
                  <a:lumOff val="85000"/>
                  <a:alpha val="54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Ratio</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2052568927"/>
        <c:crosses val="autoZero"/>
        <c:crossBetween val="between"/>
      </c:valAx>
      <c:spPr>
        <a:pattFill prst="ltDnDiag">
          <a:fgClr>
            <a:schemeClr val="dk1">
              <a:lumMod val="15000"/>
              <a:lumOff val="85000"/>
            </a:schemeClr>
          </a:fgClr>
          <a:bgClr>
            <a:schemeClr val="lt1"/>
          </a:bgClr>
        </a:pattFill>
        <a:ln>
          <a:noFill/>
        </a:ln>
        <a:effectLst/>
      </c:spPr>
    </c:plotArea>
    <c:legend>
      <c:legendPos val="b"/>
      <c:layout>
        <c:manualLayout>
          <c:xMode val="edge"/>
          <c:yMode val="edge"/>
          <c:x val="0.7668233242004624"/>
          <c:y val="0.18576334208223969"/>
          <c:w val="0.22915360501567392"/>
          <c:h val="0.7031255468066491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Cost/Income</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manualLayout>
          <c:layoutTarget val="inner"/>
          <c:xMode val="edge"/>
          <c:yMode val="edge"/>
          <c:x val="0.1453356439750792"/>
          <c:y val="0.15757208958567079"/>
          <c:w val="0.62226652244540337"/>
          <c:h val="0.62912532426585133"/>
        </c:manualLayout>
      </c:layout>
      <c:lineChart>
        <c:grouping val="standard"/>
        <c:varyColors val="0"/>
        <c:ser>
          <c:idx val="0"/>
          <c:order val="0"/>
          <c:tx>
            <c:strRef>
              <c:f>'Cost to Income yearly'!$A$9</c:f>
              <c:strCache>
                <c:ptCount val="1"/>
                <c:pt idx="0">
                  <c:v>State-owned</c:v>
                </c:pt>
              </c:strCache>
            </c:strRef>
          </c:tx>
          <c:spPr>
            <a:ln w="22225" cap="rnd">
              <a:solidFill>
                <a:schemeClr val="accent1"/>
              </a:solidFill>
              <a:round/>
            </a:ln>
            <a:effectLst/>
          </c:spPr>
          <c:marker>
            <c:symbol val="none"/>
          </c:marker>
          <c:cat>
            <c:numRef>
              <c:f>'Cost to Income yearly'!$B$8:$K$8</c:f>
              <c:numCache>
                <c:formatCode>General</c:formatCode>
                <c:ptCount val="10"/>
                <c:pt idx="0">
                  <c:v>2010</c:v>
                </c:pt>
                <c:pt idx="1">
                  <c:v>2011</c:v>
                </c:pt>
                <c:pt idx="2">
                  <c:v>2012</c:v>
                </c:pt>
                <c:pt idx="3">
                  <c:v>2013</c:v>
                </c:pt>
                <c:pt idx="4">
                  <c:v>2014</c:v>
                </c:pt>
                <c:pt idx="5">
                  <c:v>2015</c:v>
                </c:pt>
                <c:pt idx="6">
                  <c:v>2016</c:v>
                </c:pt>
                <c:pt idx="7">
                  <c:v>2017</c:v>
                </c:pt>
                <c:pt idx="8">
                  <c:v>2018</c:v>
                </c:pt>
                <c:pt idx="9">
                  <c:v>2019</c:v>
                </c:pt>
              </c:numCache>
            </c:numRef>
          </c:cat>
          <c:val>
            <c:numRef>
              <c:f>'Cost to Income yearly'!$B$9:$K$9</c:f>
              <c:numCache>
                <c:formatCode>0.00%</c:formatCode>
                <c:ptCount val="10"/>
                <c:pt idx="0">
                  <c:v>0.42828696926753101</c:v>
                </c:pt>
                <c:pt idx="1">
                  <c:v>0.41164048153861205</c:v>
                </c:pt>
                <c:pt idx="2">
                  <c:v>0.41510465094917298</c:v>
                </c:pt>
                <c:pt idx="3">
                  <c:v>0.40405257431224501</c:v>
                </c:pt>
                <c:pt idx="4">
                  <c:v>0.38386797640783199</c:v>
                </c:pt>
                <c:pt idx="5">
                  <c:v>0.38869345030513602</c:v>
                </c:pt>
                <c:pt idx="6">
                  <c:v>0.36655535729563299</c:v>
                </c:pt>
                <c:pt idx="7">
                  <c:v>0.340420044393211</c:v>
                </c:pt>
                <c:pt idx="8">
                  <c:v>0.32439438036824003</c:v>
                </c:pt>
                <c:pt idx="9">
                  <c:v>0.33032210535231499</c:v>
                </c:pt>
              </c:numCache>
            </c:numRef>
          </c:val>
          <c:smooth val="0"/>
          <c:extLst>
            <c:ext xmlns:c16="http://schemas.microsoft.com/office/drawing/2014/chart" uri="{C3380CC4-5D6E-409C-BE32-E72D297353CC}">
              <c16:uniqueId val="{00000000-746A-4071-87C0-CBD19F2F3249}"/>
            </c:ext>
          </c:extLst>
        </c:ser>
        <c:ser>
          <c:idx val="1"/>
          <c:order val="1"/>
          <c:tx>
            <c:strRef>
              <c:f>'Cost to Income yearly'!$A$10</c:f>
              <c:strCache>
                <c:ptCount val="1"/>
                <c:pt idx="0">
                  <c:v>Local government-holding</c:v>
                </c:pt>
              </c:strCache>
            </c:strRef>
          </c:tx>
          <c:spPr>
            <a:ln w="22225" cap="rnd">
              <a:solidFill>
                <a:schemeClr val="accent2"/>
              </a:solidFill>
              <a:round/>
            </a:ln>
            <a:effectLst/>
          </c:spPr>
          <c:marker>
            <c:symbol val="none"/>
          </c:marker>
          <c:cat>
            <c:numRef>
              <c:f>'Cost to Income yearly'!$B$8:$K$8</c:f>
              <c:numCache>
                <c:formatCode>General</c:formatCode>
                <c:ptCount val="10"/>
                <c:pt idx="0">
                  <c:v>2010</c:v>
                </c:pt>
                <c:pt idx="1">
                  <c:v>2011</c:v>
                </c:pt>
                <c:pt idx="2">
                  <c:v>2012</c:v>
                </c:pt>
                <c:pt idx="3">
                  <c:v>2013</c:v>
                </c:pt>
                <c:pt idx="4">
                  <c:v>2014</c:v>
                </c:pt>
                <c:pt idx="5">
                  <c:v>2015</c:v>
                </c:pt>
                <c:pt idx="6">
                  <c:v>2016</c:v>
                </c:pt>
                <c:pt idx="7">
                  <c:v>2017</c:v>
                </c:pt>
                <c:pt idx="8">
                  <c:v>2018</c:v>
                </c:pt>
                <c:pt idx="9">
                  <c:v>2019</c:v>
                </c:pt>
              </c:numCache>
            </c:numRef>
          </c:cat>
          <c:val>
            <c:numRef>
              <c:f>'Cost to Income yearly'!$B$10:$K$10</c:f>
              <c:numCache>
                <c:formatCode>0.00%</c:formatCode>
                <c:ptCount val="10"/>
                <c:pt idx="0">
                  <c:v>0.43609713765844399</c:v>
                </c:pt>
                <c:pt idx="1">
                  <c:v>0.40833421766986899</c:v>
                </c:pt>
                <c:pt idx="2">
                  <c:v>0.403084820823844</c:v>
                </c:pt>
                <c:pt idx="3">
                  <c:v>0.41117830898324798</c:v>
                </c:pt>
                <c:pt idx="4">
                  <c:v>0.40014881438439603</c:v>
                </c:pt>
                <c:pt idx="5">
                  <c:v>0.40848523117687102</c:v>
                </c:pt>
                <c:pt idx="6">
                  <c:v>0.38165521682016901</c:v>
                </c:pt>
                <c:pt idx="7">
                  <c:v>0.36755982516411601</c:v>
                </c:pt>
                <c:pt idx="8">
                  <c:v>0.34883297394392104</c:v>
                </c:pt>
                <c:pt idx="9">
                  <c:v>0.34257820203610301</c:v>
                </c:pt>
              </c:numCache>
            </c:numRef>
          </c:val>
          <c:smooth val="0"/>
          <c:extLst>
            <c:ext xmlns:c16="http://schemas.microsoft.com/office/drawing/2014/chart" uri="{C3380CC4-5D6E-409C-BE32-E72D297353CC}">
              <c16:uniqueId val="{00000001-746A-4071-87C0-CBD19F2F3249}"/>
            </c:ext>
          </c:extLst>
        </c:ser>
        <c:ser>
          <c:idx val="2"/>
          <c:order val="2"/>
          <c:tx>
            <c:strRef>
              <c:f>'Cost to Income yearly'!$A$11</c:f>
              <c:strCache>
                <c:ptCount val="1"/>
                <c:pt idx="0">
                  <c:v>Joint-stock</c:v>
                </c:pt>
              </c:strCache>
            </c:strRef>
          </c:tx>
          <c:spPr>
            <a:ln w="22225" cap="rnd">
              <a:solidFill>
                <a:schemeClr val="accent3"/>
              </a:solidFill>
              <a:round/>
            </a:ln>
            <a:effectLst/>
          </c:spPr>
          <c:marker>
            <c:symbol val="none"/>
          </c:marker>
          <c:cat>
            <c:numRef>
              <c:f>'Cost to Income yearly'!$B$8:$K$8</c:f>
              <c:numCache>
                <c:formatCode>General</c:formatCode>
                <c:ptCount val="10"/>
                <c:pt idx="0">
                  <c:v>2010</c:v>
                </c:pt>
                <c:pt idx="1">
                  <c:v>2011</c:v>
                </c:pt>
                <c:pt idx="2">
                  <c:v>2012</c:v>
                </c:pt>
                <c:pt idx="3">
                  <c:v>2013</c:v>
                </c:pt>
                <c:pt idx="4">
                  <c:v>2014</c:v>
                </c:pt>
                <c:pt idx="5">
                  <c:v>2015</c:v>
                </c:pt>
                <c:pt idx="6">
                  <c:v>2016</c:v>
                </c:pt>
                <c:pt idx="7">
                  <c:v>2017</c:v>
                </c:pt>
                <c:pt idx="8">
                  <c:v>2018</c:v>
                </c:pt>
                <c:pt idx="9">
                  <c:v>2019</c:v>
                </c:pt>
              </c:numCache>
            </c:numRef>
          </c:cat>
          <c:val>
            <c:numRef>
              <c:f>'Cost to Income yearly'!$B$11:$K$11</c:f>
              <c:numCache>
                <c:formatCode>0.00%</c:formatCode>
                <c:ptCount val="10"/>
                <c:pt idx="0">
                  <c:v>0.40769790757676899</c:v>
                </c:pt>
                <c:pt idx="1">
                  <c:v>0.39685660902261899</c:v>
                </c:pt>
                <c:pt idx="2">
                  <c:v>0.429251472840804</c:v>
                </c:pt>
                <c:pt idx="3">
                  <c:v>0.43122280370604699</c:v>
                </c:pt>
                <c:pt idx="4">
                  <c:v>0.41377458196815703</c:v>
                </c:pt>
                <c:pt idx="5">
                  <c:v>0.41617569361095003</c:v>
                </c:pt>
                <c:pt idx="6">
                  <c:v>0.38135029412791804</c:v>
                </c:pt>
                <c:pt idx="7">
                  <c:v>0.371927841710183</c:v>
                </c:pt>
                <c:pt idx="8">
                  <c:v>0.36874260410953397</c:v>
                </c:pt>
                <c:pt idx="9">
                  <c:v>0.38376523095148202</c:v>
                </c:pt>
              </c:numCache>
            </c:numRef>
          </c:val>
          <c:smooth val="0"/>
          <c:extLst>
            <c:ext xmlns:c16="http://schemas.microsoft.com/office/drawing/2014/chart" uri="{C3380CC4-5D6E-409C-BE32-E72D297353CC}">
              <c16:uniqueId val="{00000002-746A-4071-87C0-CBD19F2F3249}"/>
            </c:ext>
          </c:extLst>
        </c:ser>
        <c:ser>
          <c:idx val="3"/>
          <c:order val="3"/>
          <c:tx>
            <c:strRef>
              <c:f>'Cost to Income yearly'!$A$12</c:f>
              <c:strCache>
                <c:ptCount val="1"/>
                <c:pt idx="0">
                  <c:v>Foreign Joint-stock</c:v>
                </c:pt>
              </c:strCache>
            </c:strRef>
          </c:tx>
          <c:spPr>
            <a:ln w="22225" cap="rnd">
              <a:solidFill>
                <a:schemeClr val="accent4"/>
              </a:solidFill>
              <a:round/>
            </a:ln>
            <a:effectLst/>
          </c:spPr>
          <c:marker>
            <c:symbol val="none"/>
          </c:marker>
          <c:cat>
            <c:numRef>
              <c:f>'Cost to Income yearly'!$B$8:$K$8</c:f>
              <c:numCache>
                <c:formatCode>General</c:formatCode>
                <c:ptCount val="10"/>
                <c:pt idx="0">
                  <c:v>2010</c:v>
                </c:pt>
                <c:pt idx="1">
                  <c:v>2011</c:v>
                </c:pt>
                <c:pt idx="2">
                  <c:v>2012</c:v>
                </c:pt>
                <c:pt idx="3">
                  <c:v>2013</c:v>
                </c:pt>
                <c:pt idx="4">
                  <c:v>2014</c:v>
                </c:pt>
                <c:pt idx="5">
                  <c:v>2015</c:v>
                </c:pt>
                <c:pt idx="6">
                  <c:v>2016</c:v>
                </c:pt>
                <c:pt idx="7">
                  <c:v>2017</c:v>
                </c:pt>
                <c:pt idx="8">
                  <c:v>2018</c:v>
                </c:pt>
                <c:pt idx="9">
                  <c:v>2019</c:v>
                </c:pt>
              </c:numCache>
            </c:numRef>
          </c:cat>
          <c:val>
            <c:numRef>
              <c:f>'Cost to Income yearly'!$B$12:$K$12</c:f>
              <c:numCache>
                <c:formatCode>0.00%</c:formatCode>
                <c:ptCount val="10"/>
                <c:pt idx="0">
                  <c:v>0.437566695139608</c:v>
                </c:pt>
                <c:pt idx="1">
                  <c:v>0.41186899239629399</c:v>
                </c:pt>
                <c:pt idx="2">
                  <c:v>0.41507962402837301</c:v>
                </c:pt>
                <c:pt idx="3">
                  <c:v>0.41744191785415602</c:v>
                </c:pt>
                <c:pt idx="4">
                  <c:v>0.39297050642387099</c:v>
                </c:pt>
                <c:pt idx="5">
                  <c:v>0.39037786139131098</c:v>
                </c:pt>
                <c:pt idx="6">
                  <c:v>0.35949302791752802</c:v>
                </c:pt>
                <c:pt idx="7">
                  <c:v>0.34399896773766403</c:v>
                </c:pt>
                <c:pt idx="8">
                  <c:v>0.33323641607520699</c:v>
                </c:pt>
                <c:pt idx="9">
                  <c:v>0.31744033961582702</c:v>
                </c:pt>
              </c:numCache>
            </c:numRef>
          </c:val>
          <c:smooth val="0"/>
          <c:extLst>
            <c:ext xmlns:c16="http://schemas.microsoft.com/office/drawing/2014/chart" uri="{C3380CC4-5D6E-409C-BE32-E72D297353CC}">
              <c16:uniqueId val="{00000003-746A-4071-87C0-CBD19F2F3249}"/>
            </c:ext>
          </c:extLst>
        </c:ser>
        <c:ser>
          <c:idx val="4"/>
          <c:order val="4"/>
          <c:tx>
            <c:strRef>
              <c:f>'Cost to Income yearly'!$A$13</c:f>
              <c:strCache>
                <c:ptCount val="1"/>
                <c:pt idx="0">
                  <c:v>Foreign-owned</c:v>
                </c:pt>
              </c:strCache>
            </c:strRef>
          </c:tx>
          <c:spPr>
            <a:ln w="22225" cap="rnd">
              <a:solidFill>
                <a:schemeClr val="accent5"/>
              </a:solidFill>
              <a:round/>
            </a:ln>
            <a:effectLst/>
          </c:spPr>
          <c:marker>
            <c:symbol val="none"/>
          </c:marker>
          <c:cat>
            <c:numRef>
              <c:f>'Cost to Income yearly'!$B$8:$K$8</c:f>
              <c:numCache>
                <c:formatCode>General</c:formatCode>
                <c:ptCount val="10"/>
                <c:pt idx="0">
                  <c:v>2010</c:v>
                </c:pt>
                <c:pt idx="1">
                  <c:v>2011</c:v>
                </c:pt>
                <c:pt idx="2">
                  <c:v>2012</c:v>
                </c:pt>
                <c:pt idx="3">
                  <c:v>2013</c:v>
                </c:pt>
                <c:pt idx="4">
                  <c:v>2014</c:v>
                </c:pt>
                <c:pt idx="5">
                  <c:v>2015</c:v>
                </c:pt>
                <c:pt idx="6">
                  <c:v>2016</c:v>
                </c:pt>
                <c:pt idx="7">
                  <c:v>2017</c:v>
                </c:pt>
                <c:pt idx="8">
                  <c:v>2018</c:v>
                </c:pt>
                <c:pt idx="9">
                  <c:v>2019</c:v>
                </c:pt>
              </c:numCache>
            </c:numRef>
          </c:cat>
          <c:val>
            <c:numRef>
              <c:f>'Cost to Income yearly'!$B$13:$K$13</c:f>
              <c:numCache>
                <c:formatCode>0.00%</c:formatCode>
                <c:ptCount val="10"/>
                <c:pt idx="0">
                  <c:v>0.72321878486099489</c:v>
                </c:pt>
                <c:pt idx="1">
                  <c:v>0.62183970491502205</c:v>
                </c:pt>
                <c:pt idx="2">
                  <c:v>0.69643204891973998</c:v>
                </c:pt>
                <c:pt idx="3">
                  <c:v>0.76584240317206498</c:v>
                </c:pt>
                <c:pt idx="4">
                  <c:v>0.60869084405881702</c:v>
                </c:pt>
                <c:pt idx="5">
                  <c:v>0.70920258329058994</c:v>
                </c:pt>
                <c:pt idx="6">
                  <c:v>0.795718731214066</c:v>
                </c:pt>
                <c:pt idx="7">
                  <c:v>0.77895468720656591</c:v>
                </c:pt>
                <c:pt idx="8">
                  <c:v>0.62043881007721402</c:v>
                </c:pt>
                <c:pt idx="9">
                  <c:v>0.69439873988269896</c:v>
                </c:pt>
              </c:numCache>
            </c:numRef>
          </c:val>
          <c:smooth val="0"/>
          <c:extLst>
            <c:ext xmlns:c16="http://schemas.microsoft.com/office/drawing/2014/chart" uri="{C3380CC4-5D6E-409C-BE32-E72D297353CC}">
              <c16:uniqueId val="{00000004-746A-4071-87C0-CBD19F2F3249}"/>
            </c:ext>
          </c:extLst>
        </c:ser>
        <c:dLbls>
          <c:showLegendKey val="0"/>
          <c:showVal val="0"/>
          <c:showCatName val="0"/>
          <c:showSerName val="0"/>
          <c:showPercent val="0"/>
          <c:showBubbleSize val="0"/>
        </c:dLbls>
        <c:smooth val="0"/>
        <c:axId val="1231999327"/>
        <c:axId val="649837647"/>
      </c:lineChart>
      <c:catAx>
        <c:axId val="1231999327"/>
        <c:scaling>
          <c:orientation val="minMax"/>
        </c:scaling>
        <c:delete val="0"/>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Year</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649837647"/>
        <c:crosses val="autoZero"/>
        <c:auto val="1"/>
        <c:lblAlgn val="ctr"/>
        <c:lblOffset val="100"/>
        <c:noMultiLvlLbl val="0"/>
      </c:catAx>
      <c:valAx>
        <c:axId val="649837647"/>
        <c:scaling>
          <c:orientation val="minMax"/>
        </c:scaling>
        <c:delete val="0"/>
        <c:axPos val="l"/>
        <c:majorGridlines>
          <c:spPr>
            <a:ln w="9525" cap="flat" cmpd="sng" algn="ctr">
              <a:solidFill>
                <a:schemeClr val="dk1">
                  <a:lumMod val="15000"/>
                  <a:lumOff val="85000"/>
                  <a:alpha val="54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Ratio</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1231999327"/>
        <c:crosses val="autoZero"/>
        <c:crossBetween val="between"/>
      </c:valAx>
      <c:spPr>
        <a:pattFill prst="ltDnDiag">
          <a:fgClr>
            <a:schemeClr val="dk1">
              <a:lumMod val="15000"/>
              <a:lumOff val="85000"/>
            </a:schemeClr>
          </a:fgClr>
          <a:bgClr>
            <a:schemeClr val="lt1"/>
          </a:bgClr>
        </a:pattFill>
        <a:ln>
          <a:noFill/>
        </a:ln>
        <a:effectLst/>
      </c:spPr>
    </c:plotArea>
    <c:legend>
      <c:legendPos val="b"/>
      <c:layout>
        <c:manualLayout>
          <c:xMode val="edge"/>
          <c:yMode val="edge"/>
          <c:x val="0.76491872046274867"/>
          <c:y val="0.21354111986001745"/>
          <c:w val="0.22644009971427131"/>
          <c:h val="0.68923665791776023"/>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2">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alpha val="54000"/>
          </a:schemeClr>
        </a:solidFill>
        <a:round/>
      </a:ln>
    </cs:spPr>
  </cs:gridlineMajor>
  <cs:gridlineMinor>
    <cs:lnRef idx="0"/>
    <cs:fillRef idx="0"/>
    <cs:effectRef idx="0"/>
    <cs:fontRef idx="minor">
      <a:schemeClr val="dk1"/>
    </cs:fontRef>
    <cs:spPr>
      <a:ln w="9525" cap="flat" cmpd="sng" algn="ctr">
        <a:solidFill>
          <a:schemeClr val="dk1">
            <a:lumMod val="15000"/>
            <a:lumOff val="85000"/>
            <a:alpha val="51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2.xml><?xml version="1.0" encoding="utf-8"?>
<cs:chartStyle xmlns:cs="http://schemas.microsoft.com/office/drawing/2012/chartStyle" xmlns:a="http://schemas.openxmlformats.org/drawingml/2006/main" id="232">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alpha val="54000"/>
          </a:schemeClr>
        </a:solidFill>
        <a:round/>
      </a:ln>
    </cs:spPr>
  </cs:gridlineMajor>
  <cs:gridlineMinor>
    <cs:lnRef idx="0"/>
    <cs:fillRef idx="0"/>
    <cs:effectRef idx="0"/>
    <cs:fontRef idx="minor">
      <a:schemeClr val="dk1"/>
    </cs:fontRef>
    <cs:spPr>
      <a:ln w="9525" cap="flat" cmpd="sng" algn="ctr">
        <a:solidFill>
          <a:schemeClr val="dk1">
            <a:lumMod val="15000"/>
            <a:lumOff val="85000"/>
            <a:alpha val="51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3.xml><?xml version="1.0" encoding="utf-8"?>
<cs:chartStyle xmlns:cs="http://schemas.microsoft.com/office/drawing/2012/chartStyle" xmlns:a="http://schemas.openxmlformats.org/drawingml/2006/main" id="232">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alpha val="54000"/>
          </a:schemeClr>
        </a:solidFill>
        <a:round/>
      </a:ln>
    </cs:spPr>
  </cs:gridlineMajor>
  <cs:gridlineMinor>
    <cs:lnRef idx="0"/>
    <cs:fillRef idx="0"/>
    <cs:effectRef idx="0"/>
    <cs:fontRef idx="minor">
      <a:schemeClr val="dk1"/>
    </cs:fontRef>
    <cs:spPr>
      <a:ln w="9525" cap="flat" cmpd="sng" algn="ctr">
        <a:solidFill>
          <a:schemeClr val="dk1">
            <a:lumMod val="15000"/>
            <a:lumOff val="85000"/>
            <a:alpha val="51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4.xml><?xml version="1.0" encoding="utf-8"?>
<cs:chartStyle xmlns:cs="http://schemas.microsoft.com/office/drawing/2012/chartStyle" xmlns:a="http://schemas.openxmlformats.org/drawingml/2006/main" id="232">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alpha val="54000"/>
          </a:schemeClr>
        </a:solidFill>
        <a:round/>
      </a:ln>
    </cs:spPr>
  </cs:gridlineMajor>
  <cs:gridlineMinor>
    <cs:lnRef idx="0"/>
    <cs:fillRef idx="0"/>
    <cs:effectRef idx="0"/>
    <cs:fontRef idx="minor">
      <a:schemeClr val="dk1"/>
    </cs:fontRef>
    <cs:spPr>
      <a:ln w="9525" cap="flat" cmpd="sng" algn="ctr">
        <a:solidFill>
          <a:schemeClr val="dk1">
            <a:lumMod val="15000"/>
            <a:lumOff val="85000"/>
            <a:alpha val="51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5.xml><?xml version="1.0" encoding="utf-8"?>
<cs:chartStyle xmlns:cs="http://schemas.microsoft.com/office/drawing/2012/chartStyle" xmlns:a="http://schemas.openxmlformats.org/drawingml/2006/main" id="232">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alpha val="54000"/>
          </a:schemeClr>
        </a:solidFill>
        <a:round/>
      </a:ln>
    </cs:spPr>
  </cs:gridlineMajor>
  <cs:gridlineMinor>
    <cs:lnRef idx="0"/>
    <cs:fillRef idx="0"/>
    <cs:effectRef idx="0"/>
    <cs:fontRef idx="minor">
      <a:schemeClr val="dk1"/>
    </cs:fontRef>
    <cs:spPr>
      <a:ln w="9525" cap="flat" cmpd="sng" algn="ctr">
        <a:solidFill>
          <a:schemeClr val="dk1">
            <a:lumMod val="15000"/>
            <a:lumOff val="85000"/>
            <a:alpha val="51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6.xml><?xml version="1.0" encoding="utf-8"?>
<cs:chartStyle xmlns:cs="http://schemas.microsoft.com/office/drawing/2012/chartStyle" xmlns:a="http://schemas.openxmlformats.org/drawingml/2006/main" id="232">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alpha val="54000"/>
          </a:schemeClr>
        </a:solidFill>
        <a:round/>
      </a:ln>
    </cs:spPr>
  </cs:gridlineMajor>
  <cs:gridlineMinor>
    <cs:lnRef idx="0"/>
    <cs:fillRef idx="0"/>
    <cs:effectRef idx="0"/>
    <cs:fontRef idx="minor">
      <a:schemeClr val="dk1"/>
    </cs:fontRef>
    <cs:spPr>
      <a:ln w="9525" cap="flat" cmpd="sng" algn="ctr">
        <a:solidFill>
          <a:schemeClr val="dk1">
            <a:lumMod val="15000"/>
            <a:lumOff val="85000"/>
            <a:alpha val="51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FSB192</b:Tag>
    <b:SourceType>Report</b:SourceType>
    <b:Guid>{C6E6AC07-8EE7-4D29-B024-6D5459588606}</b:Guid>
    <b:Author>
      <b:Author>
        <b:NameList>
          <b:Person>
            <b:Last>FSB</b:Last>
          </b:Person>
        </b:NameList>
      </b:Author>
    </b:Author>
    <b:Title>Global Monitoring Report on Non-Bank Financial Intermediation 2018</b:Title>
    <b:Year>2019</b:Year>
    <b:Publisher>Financial Stability Board</b:Publisher>
    <b:City>
		</b:City>
    <b:RefOrder>1</b:RefOrder>
  </b:Source>
  <b:Source>
    <b:Tag>Bas13</b:Tag>
    <b:SourceType>Report</b:SourceType>
    <b:Guid>{DA647D7D-09B7-4558-9FE8-185003A211C0}</b:Guid>
    <b:Author>
      <b:Author>
        <b:NameList>
          <b:Person>
            <b:Last>BCBS</b:Last>
          </b:Person>
        </b:NameList>
      </b:Author>
    </b:Author>
    <b:Title>Regulatory Consistency Assessment Programme (RCAP) Assessment of Basel III Regulations - China</b:Title>
    <b:Year>2013</b:Year>
    <b:Publisher>Basel Committee on Banking Supervision</b:Publisher>
    <b:RefOrder>2</b:RefOrder>
  </b:Source>
  <b:Source>
    <b:Tag>FSB19</b:Tag>
    <b:SourceType>Report</b:SourceType>
    <b:Guid>{53D74B6D-06C4-49F2-8442-2A798E9DDB62}</b:Guid>
    <b:Author>
      <b:Author>
        <b:NameList>
          <b:Person>
            <b:Last>FSB</b:Last>
          </b:Person>
        </b:NameList>
      </b:Author>
    </b:Author>
    <b:Title>2019 list of global systemically important banks (G-SIBs)</b:Title>
    <b:Year>2019</b:Year>
    <b:Publisher>Financial Stability Board</b:Publisher>
    <b:City>
		</b:City>
    <b:RefOrder>3</b:RefOrder>
  </b:Source>
  <b:Source>
    <b:Tag>FSB191</b:Tag>
    <b:SourceType>Report</b:SourceType>
    <b:Guid>{357CD896-0275-44C8-8AD5-A00B71AAC2CE}</b:Guid>
    <b:Author>
      <b:Author>
        <b:NameList>
          <b:Person>
            <b:Last>FSB</b:Last>
          </b:Person>
        </b:NameList>
      </b:Author>
    </b:Author>
    <b:Title>Implementation and Effects of the G20 Financial Regulatory Reforms 5th Annual Report</b:Title>
    <b:Year>2019</b:Year>
    <b:Publisher>Financial Stability Board</b:Publisher>
    <b:City>
		</b:City>
    <b:RefOrder>4</b:RefOrder>
  </b:Source>
</b:Sources>
</file>

<file path=customXml/itemProps1.xml><?xml version="1.0" encoding="utf-8"?>
<ds:datastoreItem xmlns:ds="http://schemas.openxmlformats.org/officeDocument/2006/customXml" ds:itemID="{780E580A-8930-4236-9B9A-AC3BD22FF8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2650</TotalTime>
  <Pages>51</Pages>
  <Words>21869</Words>
  <Characters>124659</Characters>
  <Application>Microsoft Office Word</Application>
  <DocSecurity>0</DocSecurity>
  <Lines>1038</Lines>
  <Paragraphs>292</Paragraphs>
  <ScaleCrop>false</ScaleCrop>
  <HeadingPairs>
    <vt:vector size="4" baseType="variant">
      <vt:variant>
        <vt:lpstr>Title</vt:lpstr>
      </vt:variant>
      <vt:variant>
        <vt:i4>1</vt:i4>
      </vt:variant>
      <vt:variant>
        <vt:lpstr>Headings</vt:lpstr>
      </vt:variant>
      <vt:variant>
        <vt:i4>21</vt:i4>
      </vt:variant>
    </vt:vector>
  </HeadingPairs>
  <TitlesOfParts>
    <vt:vector size="22" baseType="lpstr">
      <vt:lpstr/>
      <vt:lpstr>The Landscape Review of China’s Banking Industry</vt:lpstr>
      <vt:lpstr>    Part I: Chinese Banking Sector Reforms</vt:lpstr>
      <vt:lpstr>    The era from 1978 to early 1990s</vt:lpstr>
      <vt:lpstr>    Early-1990s to End- 2001</vt:lpstr>
      <vt:lpstr>    WTO accession (2001) - 2010</vt:lpstr>
      <vt:lpstr>    2010 onward</vt:lpstr>
      <vt:lpstr>    Part II: the Chinese banking regulatory framework </vt:lpstr>
      <vt:lpstr>    Historical overview of the Chinese banking regulators</vt:lpstr>
      <vt:lpstr>    The current main regulators in banking regulation and supervision</vt:lpstr>
      <vt:lpstr>    Figure 2: The structure of the banking regulatory and supervisory framework in C</vt:lpstr>
      <vt:lpstr>        ///////////////////// a) The China Banking and Insurance Regulatory Commission (</vt:lpstr>
      <vt:lpstr>        The central bank – the People’s Bank of China (PBOC)</vt:lpstr>
      <vt:lpstr>    Other relevant regulators</vt:lpstr>
      <vt:lpstr>    Regulated financial institutions and regulated businesses</vt:lpstr>
      <vt:lpstr>        Regular banking business</vt:lpstr>
      <vt:lpstr>        Shadow banking</vt:lpstr>
      <vt:lpstr>    Adoption of Basel III framework and rules issued to regulate the shadow-banking </vt:lpstr>
      <vt:lpstr>    Part III: Ratio analysis</vt:lpstr>
      <vt:lpstr>        Data </vt:lpstr>
      <vt:lpstr>        Total assets</vt:lpstr>
      <vt:lpstr>        Financial Ratios of CAMELS rating system</vt:lpstr>
    </vt:vector>
  </TitlesOfParts>
  <Company/>
  <LinksUpToDate>false</LinksUpToDate>
  <CharactersWithSpaces>146236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ZHANG</dc:creator>
  <cp:keywords/>
  <dc:description/>
  <cp:lastModifiedBy>Veronica Zhang</cp:lastModifiedBy>
  <cp:revision>46</cp:revision>
  <dcterms:created xsi:type="dcterms:W3CDTF">2020-08-10T08:50:00Z</dcterms:created>
  <dcterms:modified xsi:type="dcterms:W3CDTF">2024-01-24T01:41:00Z</dcterms:modified>
</cp:coreProperties>
</file>