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Auth Service роли client, trainer и admin хранятся в справочнике auth_role. Учётная запись содержит ссылку на роль. После аутентификации роль включается в JWT и в активную Redis-сессию, а API Gateway получает её через SessionUserDto. Публичная регистрация допускает только client и trainer; роль admin назначается административной операцией.</w:t>
      </w:r>
    </w:p>
    <w:p>
      <w:pPr>
        <w:jc w:val="both"/>
      </w:pPr>
      <w:r>
        <w:rPr>
          <w:b/>
        </w:rPr>
        <w:t xml:space="preserve">Листинг 16 – набор ролей в базе данных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INSERT INTO auth_role (name) VALUES ('client'), ('trainer'), ('admin');</w:t>
      </w:r>
    </w:p>
    <w:p>
      <w:pPr>
        <w:jc w:val="both"/>
      </w:pPr>
      <w:r>
        <w:rPr>
          <w:b/>
        </w:rPr>
        <w:t xml:space="preserve">Листинг 17 – роль проверенной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SessionUserDto(Long userId, String email, String role) {</w:t>
        <w:br/>
        <w:t xml:space="preserve">}</w:t>
      </w:r>
    </w:p>
    <w:p>
      <w:pPr>
        <w:jc w:val="both"/>
      </w:pPr>
      <w:r>
        <w:rPr/>
        <w:t xml:space="preserve">Роль берётся только из проверенной активной сессии. Поэтому клиент не может изменить её, передав произвольное значение в GraphQL-запросе.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 xml:space="preserve">Листинг 20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 xml:space="preserve">Листинг 21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 xml:space="preserve">Листинг 22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 xml:space="preserve">Листинг 23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 xml:space="preserve">Листинг 24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 w14:paraId="2AB27D97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проверять JWT-токен при обращении к защищённым операциям;</w:t>
      </w:r>
    </w:p>
    <w:p w14:paraId="1C88CEF1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запрещать доступ к операциям без действующей сессии;</w:t>
      </w:r>
    </w:p>
    <w:p w14:paraId="21F6008E" w14:textId="4777B929" w:rsidR="00B83934" w:rsidRPr="00AA70E0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передавать информацию о пользователе и его роли в сервисный слой.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