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 w:eastAsia="Arial"/>
          <w:b/>
          <w:i w:val="0"/>
          <w:color w:val="1C1917"/>
          <w:sz w:val="32"/>
        </w:rPr>
        <w:t>Вероника Овчинникова</w:t>
      </w:r>
    </w:p>
    <w:p>
      <w:pPr>
        <w:spacing w:after="20"/>
      </w:pPr>
      <w:r>
        <w:rPr>
          <w:rFonts w:ascii="Arial" w:hAnsi="Arial" w:eastAsia="Arial"/>
          <w:b/>
          <w:i w:val="0"/>
          <w:color w:val="2F6B4F"/>
          <w:sz w:val="21"/>
        </w:rPr>
        <w:t>Senior Product Marketing Manager  ·  Real Estate / Classifieds &amp; Growth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57534E"/>
          <w:sz w:val="18"/>
        </w:rPr>
        <w:t>veronikasergeevna17@yandex.ru  ·  t.me/veronikakeys  ·  linkedin.com/in/vovchinnikova</w:t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Profile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20"/>
        </w:rPr>
        <w:t>Senior PMM / Growth с 8+ годами в digital, в т.ч. недвижимость и travel-adjacent: Colife (аренда, Стамбул/Дубай), Aparthomes (агентство, Phuket), Remont.io / De Club (repair &amp; interiors). Стратегия направления: позиционирование, VP, сегменты, GTM, кампании с подрядчиками/медиа, CRO постклика, KPI воронки знание→конверсия. Two-sided коммуникации (спрос/предложение). Координация команд до ~10. Данные: A/B, unit-экономика, сквозная аналитика. Ищу ownership PMM в proptech/classifieds.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  <w:t>Результаты: CR 2,3%→4,6%; ДРР −5 п.п.; чек +50%; Colife Dubai лиды +200%; site CR Istanbul ×2,5; UAE GTM unit-экономика тестового запуска сошлась.</w:t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Experience</w:t>
      </w:r>
    </w:p>
    <w:p>
      <w:pPr>
        <w:spacing w:before="0" w:after="0"/>
      </w:pPr>
      <w:r>
        <w:rPr>
          <w:rFonts w:ascii="Arial" w:hAnsi="Arial" w:eastAsia="Arial"/>
          <w:b/>
          <w:i w:val="0"/>
          <w:sz w:val="20"/>
        </w:rPr>
        <w:t>Marketing / Growth Lead  ·  Aparthomes (real estate agency)  ·  Phuket  ·  2025 — н.в.</w:t>
      </w:r>
    </w:p>
    <w:p>
      <w:pPr>
        <w:spacing w:before="0" w:after="20"/>
      </w:pPr>
      <w:r>
        <w:rPr>
          <w:rFonts w:ascii="Arial" w:hAnsi="Arial" w:eastAsia="Arial"/>
          <w:b w:val="0"/>
          <w:i w:val="0"/>
          <w:color w:val="57534E"/>
          <w:sz w:val="18"/>
        </w:rPr>
        <w:t>Стратегия multi-channel для агентства: demand gen + nurture; two-sided контекст (клиенты и объекты).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Каналы: Telegram, email, SMM, SEO + paid; KPI воронки до лида; постклик и прогрев.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Команда in-house (email, SMM, TG/content, SEO) + подрядчики (креатив, TG-закупы, таргет, контекст, дизайн) — до ~10.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Органика: работа с SEO-специалистом + контент; метрики TG/budget — NDA.</w:t>
      </w:r>
    </w:p>
    <w:p>
      <w:pPr>
        <w:spacing w:before="0" w:after="0"/>
      </w:pPr>
      <w:r>
        <w:rPr>
          <w:rFonts w:ascii="Arial" w:hAnsi="Arial" w:eastAsia="Arial"/>
          <w:b/>
          <w:i w:val="0"/>
          <w:sz w:val="20"/>
        </w:rPr>
        <w:t>Product Marketing Manager  ·  It's AI  ·  US/UK remote  ·  2024–2025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GTM 0→1, positioning, custdev, first paying users, hypothesis loop.</w:t>
      </w:r>
    </w:p>
    <w:p>
      <w:pPr>
        <w:spacing w:before="0" w:after="0"/>
      </w:pPr>
      <w:r>
        <w:rPr>
          <w:rFonts w:ascii="Arial" w:hAnsi="Arial" w:eastAsia="Arial"/>
          <w:b/>
          <w:i w:val="0"/>
          <w:sz w:val="20"/>
        </w:rPr>
        <w:t>Lead of Marketing  ·  Brainhub (edtech)  ·  Moscow  ·  2023–2024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Стратегия acquisition; 2 канала лидгена; research + user interviews.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Переупаковка продукта: C0 ×2; CR в покупку +5 п.п.; влияние на product (retention hypotheses).</w:t>
      </w:r>
    </w:p>
    <w:p>
      <w:pPr>
        <w:spacing w:before="0" w:after="0"/>
      </w:pPr>
      <w:r>
        <w:rPr>
          <w:rFonts w:ascii="Arial" w:hAnsi="Arial" w:eastAsia="Arial"/>
          <w:b/>
          <w:i w:val="0"/>
          <w:sz w:val="20"/>
        </w:rPr>
        <w:t>Product Marketing Manager  ·  Colife (housing rental / two-sided)  ·  Istanbul &amp; Dubai  ·  2023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Istanbul: marketing team; leadgen (paid, seedings, IG); website CR ×2.5; снижение % простоя объектов.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Dubai: leads +200% (tests, CRO, scale, new channels); revenue growth in off-season with commercial.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Разные коммуникации/каналы под стороны сделки — опыт two-sided market.</w:t>
      </w:r>
    </w:p>
    <w:p>
      <w:pPr>
        <w:spacing w:before="0" w:after="0"/>
      </w:pPr>
      <w:r>
        <w:rPr>
          <w:rFonts w:ascii="Arial" w:hAnsi="Arial" w:eastAsia="Arial"/>
          <w:b/>
          <w:i w:val="0"/>
          <w:sz w:val="20"/>
        </w:rPr>
        <w:t>Project / Product Marketing Manager  ·  Remont.io  ·  Moscow &amp; Dubai  ·  2020–2022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UAE GTM (turnkeyd.com): research, team, campaigns with contractors; 6 leads → 2 surveys → 1 sale; unit OK.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Постклик/CRO: CR 2.3%→4.6% (A/B 3 мес.); ДРР −5 п.п.; премиум-линейка avg check 750k (×2).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Кампании: ТЗ креативу/медиа-подрядчикам, контроль efficiency; mentorship juniors.</w:t>
      </w:r>
    </w:p>
    <w:p>
      <w:pPr>
        <w:spacing w:before="0" w:after="0"/>
      </w:pPr>
      <w:r>
        <w:rPr>
          <w:rFonts w:ascii="Arial" w:hAnsi="Arial" w:eastAsia="Arial"/>
          <w:b/>
          <w:i w:val="0"/>
          <w:sz w:val="20"/>
        </w:rPr>
        <w:t>Product Marketing Manager  ·  De Club (interiors)  ·  Moscow  ·  2019–2022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Чек проектирования +50%; sales enablement; content system; Instagram → first sale in 9 months; leads +10%.</w:t>
      </w:r>
    </w:p>
    <w:p>
      <w:pPr>
        <w:pStyle w:val="ListBullet"/>
        <w:spacing w:before="0" w:after="20"/>
      </w:pPr>
      <w:r>
        <w:rPr>
          <w:rFonts w:ascii="Arial" w:hAnsi="Arial" w:eastAsia="Arial"/>
          <w:b w:val="0"/>
          <w:i w:val="0"/>
          <w:sz w:val="19"/>
        </w:rPr>
        <w:t>AARRR funnel KPI; voice of customer in packaging and portfolio (≥100 m²).</w:t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Skills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8"/>
        </w:rPr>
        <w:t>GTM · Positioning &amp; VP · Segmentation · Campaigns (media/contractors) · CRO / post-click · SEO collaboration · Content · AARRR / funnel KPI · JTBD/CJM/ICP · Unit economics · Two-sided markets · Cross-func product · A/B · GA/Metrica/Sheets · SQL base · Figma · AI (Claude, GPT, Cursor)</w:t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Education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8"/>
        </w:rPr>
        <w:t>ЮФУ, Бизнес-информатика, 2019  ·  GoPractice Activation 2025  ·  Product University 2020  ·  Google Ads/Analytics 2019</w:t>
      </w:r>
    </w:p>
    <w:p>
      <w:r>
        <w:br w:type="page"/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Cover letter — Циан Senior PMM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20"/>
        </w:rPr>
        <w:t>Недвижимость — рынок, где маркетинг без понимания боли клиента и unit-экономики сделки быстро становится «красивым шумом». Мне близко, как Циан меняет опыт поиска, продажи, ипотеки и аренды — и роль Senior PMM, где стратегия вертикали стыкуется с продуктом и медиа.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20"/>
        </w:rPr>
        <w:t>Я вела PMM и growth в proptech и related: Colife (аренда, Стамбул/Дубай — команда, two-sided, конверсии), Aparthomes Phuket (multi-channel, SEO в команде, подрядчики), Remont.io и De Club (GTM, CRO ×2, ДРР −5 п.п., чек +50%, кампании с подрядчиками). Ставлю KPI по воронке, проверяю гипотезы данными, приношу голос рынка в product.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20"/>
        </w:rPr>
        <w:t>Готова обсудить позиционирование и кампании для вертикали и измерение знание → контакт → целевое действие. Remote/hybrid. Вероника · veronikasergeevna17@yandex.ru · t.me/veronikakeys</w:t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60 sec pitch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20"/>
        </w:rPr>
        <w:t>Я PMM/growth в digital, сильнее всего — где две стороны сделки и длинный путь доверия: недвижимость, аренда, repair. Colife — Стамбул и Дубай; Remont/De Club — GTM, CRO ×2, pricing +50%; Phuket — multi-channel и команда. Ищу Senior PMM: стратегия направления, кампании, воронка, голос клиента в продукт. Циан — классифайд, который меняет клиентский опыт: мой domain и способ работы.</w:t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6 STAR — выучи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  <w:t>1. Positioning: Brainhub C0×2, CR+5pp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  <w:t>2. Two-sided: Colife Istanbul/Dubai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  <w:t>3. Campaigns+contractors: Aparthomes/Remont paid+creative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  <w:t>4. Post-click CRO: Flagman 2.3→4.6%, ДРР−5pp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  <w:t>5. SEO/content: Aparthomes SEO + De Club content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  <w:t>6. Voice of market → product: Brainhub retention → product changes</w:t>
      </w:r>
    </w:p>
    <w:p>
      <w:pPr>
        <w:spacing w:before="160" w:after="60"/>
        <w:pBdr>
          <w:bottom w:val="single" w:sz="6" w:space="2" w:color="2F6B4F"/>
        </w:pBdr>
      </w:pPr>
      <w:r>
        <w:rPr>
          <w:rFonts w:ascii="Arial" w:hAnsi="Arial" w:eastAsia="Arial"/>
          <w:b/>
          <w:i w:val="0"/>
          <w:color w:val="2F6B4F"/>
          <w:sz w:val="22"/>
        </w:rPr>
        <w:t>Ценности Циан → истории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  <w:t>Достигай целей → CRO/UAE unit  ·  Играй в команде → Phuket/Colife + feedback culture  ·  Выходи за грань → multi-market  ·  Думай о клиентах → custdev + two-sided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