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Theavenueneon — неоновые вывески, Польша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Агентство BLAMMO · 14+ месяцев · B2B · Польша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Польша  |  ⏱ 14+ месяцев  |  💡 B2B — неоновые вывески  |  🇵🇱 Польский язык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Бюджет общий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$23 718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14+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Продажи/мес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40–82К zł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Стабильный диапазон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Конверсия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17–21%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В заявку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Регистр. TOF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6 592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 $3.06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Цена подпис.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от $0.43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Трафик на узнаваемость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Рост выручки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1.5–2x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После прихода на проект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ЧТО ИЗМЕНИЛОСЬ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Главный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До: выручка нестабильная, без чёткого роста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прихода: выручка выросла в 1.5–2 раза и стабильно держалась на новом уровне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Появилась возможность для масштабирования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Ограничение роста стало не реклама — а операционка (продажники, доставка)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КАК ЭТО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Системная работа с ретаргетом — ключевое решение проекта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форматы: разговорники с демонстрацией продукта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готовых вывесок в интерьере бизнесов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B2B аудитория — бизнесы покупающие неоновые вывески для брендинга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на польском языке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проекта: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https://www.instagram.com/theavenueneon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theavenuene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