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POTHOLE REPORT</w:t>
      </w:r>
    </w:p>
    <w:p>
      <w:pPr>
        <w:pBdr>
          <w:left w:val="single" w:sz="36" w:space="8" w:color="FFC20E"/>
        </w:pBdr>
        <w:spacing w:before="220" w:after="90"/>
        <w:rPr>
          <w:sz w:val="24"/>
          <w:szCs w:val="24"/>
          <w:b/>
          <w:color w:val="130C0E"/>
        </w:rPr>
      </w:pPr>
      <w:r>
        <w:rPr>
          <w:sz w:val="24"/>
          <w:szCs w:val="24"/>
          <w:b/>
          <w:color w:val="130C0E"/>
        </w:rPr>
        <w:t xml:space="preserve">Project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Locator</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{locatorName}</w:t>
            </w:r>
          </w:p>
        </w:tc>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Date</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{date}</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DBYD No</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{dbydNo}</w:t>
            </w:r>
          </w:p>
        </w:tc>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Ref No</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{refNo}</w:t>
            </w:r>
          </w:p>
        </w:tc>
      </w:tr>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Site Address</w:t>
            </w:r>
          </w:p>
        </w:tc>
        <w:tc>
          <w:tcPr>
            <w:tcW w:w="7986" w:type="dxa"/>
            <w:gridSpan w:val="3"/>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{siteAddress}</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Scope of Works</w:t>
            </w:r>
          </w:p>
        </w:tc>
        <w:tc>
          <w:tcPr>
            <w:tcW w:w="7986" w:type="dxa"/>
            <w:gridSpan w:val="3"/>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{scopeOfWorks}</w:t>
            </w:r>
          </w:p>
        </w:tc>
      </w:tr>
    </w:tbl>
    <w:p>
      <w:pPr>
        <w:pBdr>
          <w:left w:val="single" w:sz="36" w:space="8" w:color="FFC20E"/>
        </w:pBdr>
        <w:spacing w:before="220" w:after="90"/>
        <w:rPr>
          <w:sz w:val="24"/>
          <w:szCs w:val="24"/>
          <w:b/>
          <w:color w:val="130C0E"/>
        </w:rPr>
      </w:pPr>
      <w:r>
        <w:rPr>
          <w:sz w:val="24"/>
          <w:szCs w:val="24"/>
          <w:b/>
          <w:color w:val="130C0E"/>
        </w:rPr>
        <w:t xml:space="preserve">Client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Client</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{clientName}</w:t>
            </w:r>
          </w:p>
        </w:tc>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Contact</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{clientContact}</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Mobile</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{clientMobile}</w:t>
            </w:r>
          </w:p>
        </w:tc>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DBYD Email</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{dbydEmail}</w:t>
            </w:r>
          </w:p>
        </w:tc>
      </w:tr>
    </w:tbl>
    <w:p>
      <w:pPr>
        <w:pBdr>
          <w:left w:val="single" w:sz="36" w:space="8" w:color="FFC20E"/>
        </w:pBdr>
        <w:spacing w:before="220" w:after="90"/>
        <w:rPr>
          <w:sz w:val="24"/>
          <w:szCs w:val="24"/>
          <w:b/>
          <w:color w:val="130C0E"/>
        </w:rPr>
      </w:pPr>
      <w:r>
        <w:rPr>
          <w:sz w:val="24"/>
          <w:szCs w:val="24"/>
          <w:b/>
          <w:color w:val="130C0E"/>
        </w:rPr>
        <w:t xml:space="preserve">Utilities located</w:t>
      </w:r>
    </w:p>
    <w:p>
      <w:pPr>
        <w:spacing w:after="0"/>
        <w:rPr>
          <w:sz w:val="21"/>
          <w:szCs w:val="21"/>
          <w:color w:val="130C0E"/>
        </w:rPr>
      </w:pPr>
      <w:r>
        <w:t>{#utilities}</w:t>
      </w:r>
      <w:r>
        <w:rPr>
          <w:sz w:val="21"/>
          <w:szCs w:val="21"/>
          <w:b/>
          <w:color w:val="130C0E"/>
        </w:rPr>
        <w:t xml:space="preserve">{label}</w:t>
      </w:r>
      <w:r>
        <w:rPr>
          <w:sz w:val="21"/>
          <w:szCs w:val="21"/>
          <w:color w:val="130C0E"/>
        </w:rPr>
        <w:t xml:space="preserve">    </w:t>
      </w:r>
      <w:r>
        <w:t>{/utilities}</w:t>
      </w:r>
      <w:r>
        <w:rPr>
          <w:sz w:val="21"/>
          <w:szCs w:val="21"/>
          <w:color w:val="888888"/>
        </w:rPr>
        <w:t>{^utilities}None recorded.{/utilities}</w:t>
      </w:r>
    </w:p>
    <w:p>
      <w:pPr>
        <w:pBdr>
          <w:left w:val="single" w:sz="36" w:space="8" w:color="FFC20E"/>
        </w:pBdr>
        <w:spacing w:before="220" w:after="90"/>
        <w:rPr>
          <w:sz w:val="24"/>
          <w:szCs w:val="24"/>
          <w:b/>
          <w:color w:val="130C0E"/>
        </w:rPr>
      </w:pPr>
      <w:r>
        <w:rPr>
          <w:sz w:val="24"/>
          <w:szCs w:val="24"/>
          <w:b/>
          <w:color w:val="130C0E"/>
        </w:rPr>
        <w:t xml:space="preserve">Located to quality level (AS 5488.1:2022)</w:t>
      </w:r>
    </w:p>
    <w:p>
      <w:pPr>
        <w:spacing w:after="0" w:line="252" w:lineRule="auto"/>
        <w:rPr>
          <w:sz w:val="20"/>
          <w:szCs w:val="20"/>
          <w:color w:val="130C0E"/>
        </w:rPr>
      </w:pPr>
      <w:r>
        <w:rPr>
          <w:sz w:val="20"/>
          <w:szCs w:val="20"/>
          <w:color w:val="130C0E"/>
        </w:rPr>
        <w:t xml:space="preserve">{qlLevels}</w:t>
      </w:r>
    </w:p>
    <w:p>
      <w:pPr>
        <w:pBdr>
          <w:left w:val="single" w:sz="36" w:space="8" w:color="FFC20E"/>
        </w:pBdr>
        <w:spacing w:before="220" w:after="90"/>
        <w:rPr>
          <w:sz w:val="24"/>
          <w:szCs w:val="24"/>
          <w:b/>
          <w:color w:val="130C0E"/>
        </w:rPr>
      </w:pPr>
      <w:r>
        <w:rPr>
          <w:sz w:val="24"/>
          <w:szCs w:val="24"/>
          <w:b/>
          <w:color w:val="130C0E"/>
        </w:rPr>
        <w:t xml:space="preserve">Comments</w:t>
      </w:r>
    </w:p>
    <w:p>
      <w:pPr>
        <w:spacing w:after="0" w:line="252" w:lineRule="auto"/>
        <w:rPr>
          <w:sz w:val="20"/>
          <w:szCs w:val="20"/>
          <w:color w:val="130C0E"/>
        </w:rPr>
      </w:pPr>
      <w:r>
        <w:rPr>
          <w:sz w:val="20"/>
          <w:szCs w:val="20"/>
          <w:color w:val="130C0E"/>
        </w:rPr>
        <w:t xml:space="preserve">{comments}</w:t>
      </w:r>
    </w:p>
    <w:p>
      <w:pPr>
        <w:spacing w:before="160"/>
      </w:pPr>
      <w:r>
        <w:t>{#hasSignoff}</w:t>
      </w:r>
    </w:p>
    <w:p>
      <w:pPr>
        <w:spacing w:after="0" w:line="252" w:lineRule="auto"/>
        <w:rPr>
          <w:sz w:val="18"/>
          <w:szCs w:val="18"/>
          <w:b/>
          <w:color w:val="666666"/>
        </w:rPr>
      </w:pPr>
      <w:r>
        <w:rPr>
          <w:sz w:val="18"/>
          <w:szCs w:val="18"/>
          <w:b/>
          <w:color w:val="666666"/>
        </w:rPr>
        <w:t xml:space="preserve">Located and reported by</w:t>
      </w:r>
    </w:p>
    <w:p>
      <w:pPr>
        <w:spacing w:after="0"/>
      </w:pPr>
      <w:r>
        <w:t xml:space="preserve">{%signature}</w:t>
      </w:r>
    </w:p>
    <w:p>
      <w:pPr>
        <w:spacing w:after="0" w:line="252" w:lineRule="auto"/>
        <w:rPr>
          <w:sz w:val="22"/>
          <w:szCs w:val="22"/>
          <w:b/>
          <w:color w:val="130C0E"/>
        </w:rPr>
      </w:pPr>
      <w:r>
        <w:rPr>
          <w:sz w:val="22"/>
          <w:szCs w:val="22"/>
          <w:b/>
          <w:color w:val="130C0E"/>
        </w:rPr>
        <w:t xml:space="preserve">{signName}</w:t>
      </w:r>
    </w:p>
    <w:p>
      <w:pPr>
        <w:spacing w:after="0" w:line="252" w:lineRule="auto"/>
        <w:rPr>
          <w:sz w:val="18"/>
          <w:szCs w:val="18"/>
          <w:color w:val="444444"/>
        </w:rPr>
      </w:pPr>
      <w:r>
        <w:rPr>
          <w:sz w:val="18"/>
          <w:szCs w:val="18"/>
          <w:color w:val="444444"/>
        </w:rPr>
        <w:t xml:space="preserve">{signMeta}</w:t>
      </w:r>
    </w:p>
    <w:p>
      <w:pPr>
        <w:spacing w:after="0"/>
      </w:pPr>
      <w:r>
        <w:t>{/hasSignoff}</w:t>
      </w:r>
    </w:p>
    <w:p>
      <w:pPr>
        <w:pageBreakBefore/>
        <w:pBdr>
          <w:left w:val="single" w:sz="36" w:space="8" w:color="FFC20E"/>
        </w:pBdr>
        <w:spacing w:before="220" w:after="90"/>
        <w:rPr>
          <w:sz w:val="24"/>
          <w:szCs w:val="24"/>
          <w:b/>
          <w:color w:val="130C0E"/>
        </w:rPr>
      </w:pPr>
      <w:r>
        <w:rPr>
          <w:sz w:val="24"/>
          <w:szCs w:val="24"/>
          <w:b/>
          <w:color w:val="130C0E"/>
        </w:rPr>
        <w:t xml:space="preserve">Utility legend — DIT specification</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1400"/>
        <w:gridCol w:w="8686"/>
      </w:tblGrid>
      <w:tr>
        <w:tc>
          <w:tcPr>
            <w:tcW w:w="1400" w:type="dxa"/>
            <w:shd w:val="clear" w:color="auto" w:fill="F5A623"/>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G</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Gas</w:t>
            </w:r>
          </w:p>
        </w:tc>
      </w:tr>
      <w:tr>
        <w:tc>
          <w:tcPr>
            <w:tcW w:w="1400" w:type="dxa"/>
            <w:shd w:val="clear" w:color="auto" w:fill="FF7F00"/>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T</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Telstra</w:t>
            </w:r>
          </w:p>
        </w:tc>
      </w:tr>
      <w:tr>
        <w:tc>
          <w:tcPr>
            <w:tcW w:w="1400" w:type="dxa"/>
            <w:shd w:val="clear" w:color="auto" w:fill="FF0000"/>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E</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Electricity (LV and HV)</w:t>
            </w:r>
          </w:p>
        </w:tc>
      </w:tr>
      <w:tr>
        <w:tc>
          <w:tcPr>
            <w:tcW w:w="1400" w:type="dxa"/>
            <w:shd w:val="clear" w:color="auto" w:fill="D9D9D9"/>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COMMS</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Communications / Fibre Optic</w:t>
            </w:r>
          </w:p>
        </w:tc>
      </w:tr>
      <w:tr>
        <w:tc>
          <w:tcPr>
            <w:tcW w:w="1400" w:type="dxa"/>
            <w:shd w:val="clear" w:color="auto" w:fill="0000FF"/>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W</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Water</w:t>
            </w:r>
          </w:p>
        </w:tc>
      </w:tr>
      <w:tr>
        <w:tc>
          <w:tcPr>
            <w:tcW w:w="1400" w:type="dxa"/>
            <w:shd w:val="clear" w:color="auto" w:fill="00A651"/>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SWR</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Sewer</w:t>
            </w:r>
          </w:p>
        </w:tc>
      </w:tr>
      <w:tr>
        <w:tc>
          <w:tcPr>
            <w:tcW w:w="1400" w:type="dxa"/>
            <w:shd w:val="clear" w:color="auto" w:fill="7030A0"/>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STW</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Stormwater</w:t>
            </w:r>
          </w:p>
        </w:tc>
      </w:tr>
      <w:tr>
        <w:tc>
          <w:tcPr>
            <w:tcW w:w="1400" w:type="dxa"/>
            <w:shd w:val="clear" w:color="auto" w:fill="7030A0"/>
            <w:tcMar>
              <w:top w:w="40" w:type="dxa"/>
              <w:left w:w="110" w:type="dxa"/>
              <w:bottom w:w="40" w:type="dxa"/>
              <w:right w:w="110" w:type="dxa"/>
            </w:tcMar>
            <w:vAlign w:val="center"/>
          </w:tcPr>
          <w:p>
            <w:pPr>
              <w:spacing w:after="0" w:line="252" w:lineRule="auto"/>
              <w:jc w:val="center"/>
              <w:rPr>
                <w:sz w:val="20"/>
                <w:szCs w:val="20"/>
                <w:b/>
                <w:color w:val="FFFFFF"/>
              </w:rPr>
            </w:pPr>
            <w:r>
              <w:rPr>
                <w:sz w:val="20"/>
                <w:szCs w:val="20"/>
                <w:b/>
                <w:color w:val="FFFFFF"/>
              </w:rPr>
              <w:t xml:space="preserve">RW</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Recycled Water</w:t>
            </w:r>
          </w:p>
        </w:tc>
      </w:tr>
      <w:tr>
        <w:tc>
          <w:tcPr>
            <w:tcW w:w="1400" w:type="dxa"/>
            <w:shd w:val="clear" w:color="auto" w:fill="FF66CC"/>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UK</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Unknown Service</w:t>
            </w:r>
          </w:p>
        </w:tc>
      </w:tr>
      <w:tr>
        <w:tc>
          <w:tcPr>
            <w:tcW w:w="1400" w:type="dxa"/>
            <w:shd w:val="clear" w:color="auto" w:fill="FFFF00"/>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EG</w:t>
            </w:r>
          </w:p>
        </w:tc>
        <w:tc>
          <w:tcPr>
            <w:tcW w:w="86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Earth Grid (Substation)</w:t>
            </w:r>
          </w:p>
        </w:tc>
      </w:tr>
    </w:tbl>
    <w:p>
      <w:pPr>
        <w:pBdr>
          <w:left w:val="single" w:sz="36" w:space="8" w:color="FFC20E"/>
        </w:pBdr>
        <w:spacing w:before="220" w:after="90"/>
        <w:rPr>
          <w:sz w:val="24"/>
          <w:szCs w:val="24"/>
          <w:b/>
          <w:color w:val="130C0E"/>
        </w:rPr>
      </w:pPr>
      <w:r>
        <w:rPr>
          <w:sz w:val="24"/>
          <w:szCs w:val="24"/>
          <w:b/>
          <w:color w:val="130C0E"/>
        </w:rPr>
        <w:t xml:space="preserve">Quality levels explained (AS 5488.1:2022)</w:t>
      </w:r>
    </w:p>
    <w:p>
      <w:pPr>
        <w:spacing w:after="0" w:line="252" w:lineRule="auto"/>
        <w:rPr>
          <w:sz w:val="21"/>
          <w:szCs w:val="21"/>
          <w:b/>
          <w:color w:val="130C0E"/>
        </w:rPr>
      </w:pPr>
      <w:r>
        <w:rPr>
          <w:sz w:val="21"/>
          <w:szCs w:val="21"/>
          <w:b/>
          <w:color w:val="130C0E"/>
        </w:rPr>
        <w:t xml:space="preserve">Quality Level A (QL-A)</w:t>
      </w:r>
    </w:p>
    <w:p>
      <w:pPr>
        <w:spacing w:after="0" w:line="252" w:lineRule="auto"/>
        <w:rPr>
          <w:sz w:val="19"/>
          <w:szCs w:val="19"/>
          <w:color w:val="333333"/>
        </w:rPr>
      </w:pPr>
      <w:r>
        <w:rPr>
          <w:sz w:val="19"/>
          <w:szCs w:val="19"/>
          <w:color w:val="333333"/>
        </w:rPr>
        <w:t xml:space="preserve">Is the highest Quality level accuracy and consists of positive identification of the attribute and location of a subsurface position in three dimensions. It is the only Quality level that defines a subsurface utility has been validated with additional attribute information (e.g. size, material, depth).</w:t>
      </w:r>
    </w:p>
    <w:p>
      <w:pPr>
        <w:spacing w:after="0" w:line="252" w:lineRule="auto"/>
        <w:rPr>
          <w:sz w:val="21"/>
          <w:szCs w:val="21"/>
          <w:b/>
          <w:color w:val="130C0E"/>
        </w:rPr>
      </w:pPr>
      <w:r>
        <w:rPr>
          <w:sz w:val="21"/>
          <w:szCs w:val="21"/>
          <w:b/>
          <w:color w:val="130C0E"/>
        </w:rPr>
        <w:t xml:space="preserve">Quality Level B (QL-B)</w:t>
      </w:r>
    </w:p>
    <w:p>
      <w:pPr>
        <w:spacing w:after="0" w:line="252" w:lineRule="auto"/>
        <w:rPr>
          <w:sz w:val="19"/>
          <w:szCs w:val="19"/>
          <w:color w:val="333333"/>
        </w:rPr>
      </w:pPr>
      <w:r>
        <w:rPr>
          <w:sz w:val="19"/>
          <w:szCs w:val="19"/>
          <w:color w:val="333333"/>
        </w:rPr>
        <w:t xml:space="preserve">A Quality level that provides relative spatial position of the subsurface utility that has been located in three dimensions (horizontal +/- 300mm and vertical +/- 500mm) by tracing with EMI. Tracing has been achieved by applying an electromagnetic signal along or within the utility and traced to a known or visible end point.</w:t>
      </w:r>
    </w:p>
    <w:p>
      <w:pPr>
        <w:spacing w:after="0" w:line="252" w:lineRule="auto"/>
        <w:rPr>
          <w:sz w:val="21"/>
          <w:szCs w:val="21"/>
          <w:b/>
          <w:color w:val="130C0E"/>
        </w:rPr>
      </w:pPr>
      <w:r>
        <w:rPr>
          <w:sz w:val="21"/>
          <w:szCs w:val="21"/>
          <w:b/>
          <w:color w:val="130C0E"/>
        </w:rPr>
        <w:t xml:space="preserve">Quality Level C (QL-C)</w:t>
      </w:r>
    </w:p>
    <w:p>
      <w:pPr>
        <w:spacing w:after="0" w:line="252" w:lineRule="auto"/>
        <w:rPr>
          <w:sz w:val="19"/>
          <w:szCs w:val="19"/>
          <w:color w:val="333333"/>
        </w:rPr>
      </w:pPr>
      <w:r>
        <w:rPr>
          <w:sz w:val="19"/>
          <w:szCs w:val="19"/>
          <w:color w:val="333333"/>
        </w:rPr>
        <w:t xml:space="preserve">Surface feature correlation or an interpretation of the approximate location and attributes of a subsurface utility asset using a combination of existing records and a site survey of visible surface features such as marker plates or utility lids. GPR can be used to improve and refine the relative spatial position of a QL-C alignment.</w:t>
      </w:r>
    </w:p>
    <w:p>
      <w:pPr>
        <w:spacing w:after="0" w:line="252" w:lineRule="auto"/>
        <w:rPr>
          <w:sz w:val="21"/>
          <w:szCs w:val="21"/>
          <w:b/>
          <w:color w:val="130C0E"/>
        </w:rPr>
      </w:pPr>
      <w:r>
        <w:rPr>
          <w:sz w:val="21"/>
          <w:szCs w:val="21"/>
          <w:b/>
          <w:color w:val="130C0E"/>
        </w:rPr>
        <w:t xml:space="preserve">Quality Level D (QL-D)</w:t>
      </w:r>
    </w:p>
    <w:p>
      <w:pPr>
        <w:spacing w:after="0" w:line="252" w:lineRule="auto"/>
        <w:rPr>
          <w:sz w:val="19"/>
          <w:szCs w:val="19"/>
          <w:color w:val="333333"/>
        </w:rPr>
      </w:pPr>
      <w:r>
        <w:rPr>
          <w:sz w:val="19"/>
          <w:szCs w:val="19"/>
          <w:color w:val="333333"/>
        </w:rPr>
        <w:t xml:space="preserve">Lowest of the four levels. This information can be gathered from existing Before-You-Dig plans, other available existing records and site plans, however it has not been possible to accurately locate these subsurface utilities using electromagnetic or GPR techniques within the tolerances set out in AS 5488.1:2022.</w:t>
      </w:r>
    </w:p>
    <w:p>
      <w:pPr>
        <w:spacing w:after="0"/>
      </w:pPr>
      <w:r>
        <w:t>{#photos}</w:t>
      </w:r>
    </w:p>
    <w:p>
      <w:pPr>
        <w:pageBreakBefore/>
        <w:pBdr>
          <w:left w:val="single" w:sz="36" w:space="8" w:color="FFC20E"/>
        </w:pBdr>
        <w:spacing w:before="40" w:after="120"/>
        <w:rPr>
          <w:sz w:val="28"/>
          <w:szCs w:val="28"/>
          <w:b/>
          <w:color w:val="130C0E"/>
        </w:rPr>
      </w:pPr>
      <w:r>
        <w:t>Photo </w:t>
      </w:r>
      <w:r>
        <w:t>{num}</w:t>
      </w:r>
    </w:p>
    <w:p>
      <w:pPr>
        <w:spacing w:after="120"/>
        <w:jc w:val="center"/>
      </w:pPr>
      <w:r>
        <w:t xml:space="preserve">{%photo}</w:t>
      </w:r>
    </w:p>
    <w:p>
      <w:pPr>
        <w:spacing w:after="0"/>
      </w:pPr>
      <w:r>
        <w:t>{#hasPotholes}</w:t>
      </w:r>
    </w:p>
    <w:p>
      <w:pPr>
        <w:spacing w:after="0" w:line="252" w:lineRule="auto"/>
        <w:rPr>
          <w:sz w:val="22"/>
          <w:szCs w:val="22"/>
          <w:b/>
          <w:color w:val="130C0E"/>
        </w:rPr>
      </w:pPr>
      <w:r>
        <w:rPr>
          <w:sz w:val="22"/>
          <w:szCs w:val="22"/>
          <w:b/>
          <w:color w:val="130C0E"/>
        </w:rPr>
        <w:t xml:space="preserve">Potholes</w:t>
      </w:r>
    </w:p>
    <w:tbl>
      <w:tblPr>
        <w:tblW w:w="10086" w:type="dxa"/>
        <w:jc w:val="left"/>
        <w:tblInd w:w="0" w:type="dxa"/>
      </w:tblPr>
      <w:tblGrid>
        <w:gridCol w:w="2017"/>
        <w:gridCol w:w="2017"/>
        <w:gridCol w:w="2017"/>
        <w:gridCol w:w="2017"/>
        <w:gridCol w:w="2018"/>
      </w:tblGrid>
      <w:tr>
        <w:tc>
          <w:tcPr>
            <w:tcW w:w="2017" w:type="dxa"/>
            <w:tcMar>
              <w:top w:w="40" w:type="dxa"/>
              <w:left w:w="110" w:type="dxa"/>
              <w:bottom w:w="40" w:type="dxa"/>
              <w:right w:w="110" w:type="dxa"/>
            </w:tcMar>
            <w:vAlign w:val="center"/>
          </w:tcPr>
          <w:p>
            <w:pPr>
              <w:spacing w:before="40" w:after="20"/>
              <w:jc w:val="center"/>
            </w:pPr>
            <w:r>
              <w:t>{#potholeRows}</w:t>
            </w:r>
            <w:r>
              <w:t xml:space="preserve">{%c0img}</w:t>
            </w:r>
          </w:p>
          <w:p>
            <w:pPr>
              <w:spacing w:after="60"/>
              <w:jc w:val="center"/>
              <w:rPr>
                <w:sz w:val="18"/>
                <w:szCs w:val="18"/>
                <w:b/>
                <w:color w:val="130C0E"/>
              </w:rPr>
            </w:pPr>
            <w:r>
              <w:rPr>
                <w:sz w:val="18"/>
                <w:szCs w:val="18"/>
                <w:b/>
                <w:color w:val="130C0E"/>
              </w:rPr>
              <w:t xml:space="preserve">{c0label}</w:t>
            </w:r>
          </w:p>
        </w:tc>
        <w:tc>
          <w:tcPr>
            <w:tcW w:w="2017" w:type="dxa"/>
            <w:tcMar>
              <w:top w:w="40" w:type="dxa"/>
              <w:left w:w="110" w:type="dxa"/>
              <w:bottom w:w="40" w:type="dxa"/>
              <w:right w:w="110" w:type="dxa"/>
            </w:tcMar>
            <w:vAlign w:val="center"/>
          </w:tcPr>
          <w:p>
            <w:pPr>
              <w:spacing w:before="40" w:after="20"/>
              <w:jc w:val="center"/>
            </w:pPr>
            <w:r>
              <w:t xml:space="preserve">{%c1img}</w:t>
            </w:r>
          </w:p>
          <w:p>
            <w:pPr>
              <w:spacing w:after="60"/>
              <w:jc w:val="center"/>
              <w:rPr>
                <w:sz w:val="18"/>
                <w:szCs w:val="18"/>
                <w:b/>
                <w:color w:val="130C0E"/>
              </w:rPr>
            </w:pPr>
            <w:r>
              <w:rPr>
                <w:sz w:val="18"/>
                <w:szCs w:val="18"/>
                <w:b/>
                <w:color w:val="130C0E"/>
              </w:rPr>
              <w:t xml:space="preserve">{c1label}</w:t>
            </w:r>
          </w:p>
        </w:tc>
        <w:tc>
          <w:tcPr>
            <w:tcW w:w="2017" w:type="dxa"/>
            <w:tcMar>
              <w:top w:w="40" w:type="dxa"/>
              <w:left w:w="110" w:type="dxa"/>
              <w:bottom w:w="40" w:type="dxa"/>
              <w:right w:w="110" w:type="dxa"/>
            </w:tcMar>
            <w:vAlign w:val="center"/>
          </w:tcPr>
          <w:p>
            <w:pPr>
              <w:spacing w:before="40" w:after="20"/>
              <w:jc w:val="center"/>
            </w:pPr>
            <w:r>
              <w:t xml:space="preserve">{%c2img}</w:t>
            </w:r>
          </w:p>
          <w:p>
            <w:pPr>
              <w:spacing w:after="60"/>
              <w:jc w:val="center"/>
              <w:rPr>
                <w:sz w:val="18"/>
                <w:szCs w:val="18"/>
                <w:b/>
                <w:color w:val="130C0E"/>
              </w:rPr>
            </w:pPr>
            <w:r>
              <w:rPr>
                <w:sz w:val="18"/>
                <w:szCs w:val="18"/>
                <w:b/>
                <w:color w:val="130C0E"/>
              </w:rPr>
              <w:t xml:space="preserve">{c2label}</w:t>
            </w:r>
          </w:p>
        </w:tc>
        <w:tc>
          <w:tcPr>
            <w:tcW w:w="2017" w:type="dxa"/>
            <w:tcMar>
              <w:top w:w="40" w:type="dxa"/>
              <w:left w:w="110" w:type="dxa"/>
              <w:bottom w:w="40" w:type="dxa"/>
              <w:right w:w="110" w:type="dxa"/>
            </w:tcMar>
            <w:vAlign w:val="center"/>
          </w:tcPr>
          <w:p>
            <w:pPr>
              <w:spacing w:before="40" w:after="20"/>
              <w:jc w:val="center"/>
            </w:pPr>
            <w:r>
              <w:t xml:space="preserve">{%c3img}</w:t>
            </w:r>
          </w:p>
          <w:p>
            <w:pPr>
              <w:spacing w:after="60"/>
              <w:jc w:val="center"/>
              <w:rPr>
                <w:sz w:val="18"/>
                <w:szCs w:val="18"/>
                <w:b/>
                <w:color w:val="130C0E"/>
              </w:rPr>
            </w:pPr>
            <w:r>
              <w:rPr>
                <w:sz w:val="18"/>
                <w:szCs w:val="18"/>
                <w:b/>
                <w:color w:val="130C0E"/>
              </w:rPr>
              <w:t xml:space="preserve">{c3label}</w:t>
            </w:r>
          </w:p>
        </w:tc>
        <w:tc>
          <w:tcPr>
            <w:tcW w:w="2018" w:type="dxa"/>
            <w:tcMar>
              <w:top w:w="40" w:type="dxa"/>
              <w:left w:w="110" w:type="dxa"/>
              <w:bottom w:w="40" w:type="dxa"/>
              <w:right w:w="110" w:type="dxa"/>
            </w:tcMar>
            <w:vAlign w:val="center"/>
          </w:tcPr>
          <w:p>
            <w:pPr>
              <w:spacing w:before="40" w:after="20"/>
              <w:jc w:val="center"/>
            </w:pPr>
            <w:r>
              <w:t xml:space="preserve">{%c4img}</w:t>
            </w:r>
          </w:p>
          <w:p>
            <w:pPr>
              <w:spacing w:after="60"/>
              <w:jc w:val="center"/>
              <w:rPr>
                <w:sz w:val="18"/>
                <w:szCs w:val="18"/>
                <w:b/>
                <w:color w:val="130C0E"/>
              </w:rPr>
            </w:pPr>
            <w:r>
              <w:rPr>
                <w:sz w:val="18"/>
                <w:szCs w:val="18"/>
                <w:b/>
                <w:color w:val="130C0E"/>
              </w:rPr>
              <w:t xml:space="preserve">{c4label}</w:t>
            </w:r>
            <w:r>
              <w:t>{/potholeRows}</w:t>
            </w:r>
          </w:p>
        </w:tc>
      </w:tr>
    </w:tbl>
    <w:p>
      <w:pPr>
        <w:spacing w:after="0"/>
      </w:pPr>
      <w:r>
        <w:t>{/hasPotholes}</w:t>
      </w:r>
    </w:p>
    <w:p>
      <w:pPr>
        <w:pBdr>
          <w:left w:val="single" w:sz="36" w:space="8" w:color="FFC20E"/>
        </w:pBdr>
        <w:spacing w:before="220" w:after="90"/>
        <w:rPr>
          <w:sz w:val="24"/>
          <w:szCs w:val="24"/>
          <w:b/>
          <w:color w:val="130C0E"/>
        </w:rPr>
      </w:pPr>
      <w:r>
        <w:rPr>
          <w:sz w:val="24"/>
          <w:szCs w:val="24"/>
          <w:b/>
          <w:color w:val="130C0E"/>
        </w:rPr>
        <w:t xml:space="preserve">Abbreviations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5043"/>
        <w:gridCol w:w="5043"/>
      </w:tblGrid>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0.6d = 0.6 metres deep</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 Inv = 0.6 metres to invert of pipe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 TOP = 0.6 metres to top of pipe</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UTT = Unable to Trace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UTO = Unable to Open</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EOT = End of Trace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NDD = Non Destructive Digging</w:t>
            </w:r>
          </w:p>
        </w:tc>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
            </w:r>
          </w:p>
        </w:tc>
      </w:tr>
    </w:tbl>
    <w:p>
      <w:pPr>
        <w:spacing w:after="0" w:line="252" w:lineRule="auto"/>
        <w:rPr>
          <w:sz w:val="17"/>
          <w:szCs w:val="17"/>
          <w:i/>
          <w:color w:val="666666"/>
        </w:rPr>
      </w:pPr>
      <w:r>
        <w:rPr>
          <w:sz w:val="17"/>
          <w:szCs w:val="17"/>
          <w:i/>
          <w:color w:val="666666"/>
        </w:rPr>
        <w:t xml:space="preserve">All subsurface utilities shown in this photo report should be treated as indicative only; it is strongly recommended that all utilities are potholed prior to any works commencing.</w:t>
      </w:r>
    </w:p>
    <w:p>
      <w:pPr>
        <w:spacing w:after="0"/>
      </w:pPr>
      <w:r>
        <w:t>{/photos}</w:t>
      </w:r>
    </w:p>
    <w:p>
      <w:pPr>
        <w:pageBreakBefore/>
        <w:pBdr>
          <w:left w:val="single" w:sz="36" w:space="8" w:color="FFC20E"/>
        </w:pBdr>
        <w:spacing w:before="220" w:after="90"/>
        <w:rPr>
          <w:sz w:val="24"/>
          <w:szCs w:val="24"/>
          <w:b/>
          <w:color w:val="130C0E"/>
        </w:rPr>
      </w:pPr>
      <w:r>
        <w:rPr>
          <w:sz w:val="24"/>
          <w:szCs w:val="24"/>
          <w:b/>
          <w:color w:val="130C0E"/>
        </w:rPr>
        <w:t xml:space="preserve">Service location quality</w:t>
      </w:r>
    </w:p>
    <w:p>
      <w:pPr>
        <w:spacing w:after="0" w:line="252"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19"/>
          <w:szCs w:val="19"/>
          <w:color w:val="333333"/>
        </w:rPr>
      </w:pPr>
      <w:r>
        <w:rPr>
          <w:sz w:val="19"/>
          <w:szCs w:val="19"/>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19"/>
          <w:szCs w:val="19"/>
          <w:color w:val="333333"/>
        </w:rPr>
      </w:pPr>
      <w:r>
        <w:rPr>
          <w:sz w:val="19"/>
          <w:szCs w:val="19"/>
          <w:color w:val="333333"/>
        </w:rPr>
        <w:t xml:space="preserve">•  Examples include: exposed pipes, open cable trenches and exposed drainage where invert/obvert measurement is possible.</w:t>
      </w:r>
    </w:p>
    <w:p>
      <w:pPr>
        <w:spacing w:after="0" w:line="252"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19"/>
          <w:szCs w:val="19"/>
          <w:color w:val="333333"/>
        </w:rPr>
      </w:pPr>
      <w:r>
        <w:rPr>
          <w:sz w:val="19"/>
          <w:szCs w:val="19"/>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19"/>
          <w:szCs w:val="19"/>
          <w:color w:val="333333"/>
        </w:rPr>
      </w:pPr>
      <w:r>
        <w:rPr>
          <w:sz w:val="19"/>
          <w:szCs w:val="19"/>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19"/>
          <w:szCs w:val="19"/>
          <w:color w:val="333333"/>
        </w:rPr>
      </w:pPr>
      <w:r>
        <w:rPr>
          <w:sz w:val="19"/>
          <w:szCs w:val="19"/>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52"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19"/>
          <w:szCs w:val="19"/>
          <w:color w:val="333333"/>
        </w:rPr>
      </w:pPr>
      <w:r>
        <w:rPr>
          <w:sz w:val="19"/>
          <w:szCs w:val="19"/>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19"/>
          <w:szCs w:val="19"/>
          <w:color w:val="333333"/>
        </w:rPr>
      </w:pPr>
      <w:r>
        <w:rPr>
          <w:sz w:val="19"/>
          <w:szCs w:val="19"/>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52"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19"/>
          <w:szCs w:val="19"/>
          <w:color w:val="333333"/>
        </w:rPr>
      </w:pPr>
      <w:r>
        <w:rPr>
          <w:sz w:val="19"/>
          <w:szCs w:val="19"/>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19"/>
          <w:szCs w:val="19"/>
          <w:color w:val="333333"/>
        </w:rPr>
      </w:pPr>
      <w:r>
        <w:rPr>
          <w:sz w:val="19"/>
          <w:szCs w:val="19"/>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4"/>
          <w:szCs w:val="24"/>
          <w:b/>
          <w:color w:val="130C0E"/>
        </w:rPr>
      </w:pPr>
      <w:r>
        <w:rPr>
          <w:sz w:val="24"/>
          <w:szCs w:val="24"/>
          <w:b/>
          <w:color w:val="130C0E"/>
        </w:rPr>
        <w:t xml:space="preserve">Terms and conditions</w:t>
      </w:r>
    </w:p>
    <w:p>
      <w:pPr>
        <w:spacing w:after="0" w:line="252" w:lineRule="auto"/>
        <w:rPr>
          <w:sz w:val="20"/>
          <w:szCs w:val="20"/>
          <w:color w:val="130C0E"/>
        </w:rPr>
      </w:pPr>
      <w:r>
        <w:rPr>
          <w:sz w:val="20"/>
          <w:szCs w:val="20"/>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0" w:line="252" w:lineRule="auto"/>
        <w:rPr>
          <w:sz w:val="20"/>
          <w:szCs w:val="20"/>
          <w:b/>
          <w:color w:val="130C0E"/>
        </w:rPr>
      </w:pPr>
      <w:r>
        <w:rPr>
          <w:sz w:val="20"/>
          <w:szCs w:val="20"/>
          <w:b/>
          <w:color w:val="130C0E"/>
        </w:rPr>
        <w:t xml:space="preserve">Engineering Surveys will not accept responsibility for damage under the following:</w:t>
      </w:r>
    </w:p>
    <w:p>
      <w:pPr>
        <w:spacing w:after="60" w:line="252" w:lineRule="auto"/>
        <w:ind w:left="360" w:hanging="220"/>
        <w:rPr>
          <w:sz w:val="19"/>
          <w:szCs w:val="19"/>
          <w:color w:val="333333"/>
        </w:rPr>
      </w:pPr>
      <w:r>
        <w:rPr>
          <w:sz w:val="19"/>
          <w:szCs w:val="19"/>
          <w:color w:val="333333"/>
        </w:rPr>
        <w:t xml:space="preserve">•  Damage to any services outside the area designated by the client, as is the entire area in which work will be carried out, and/or</w:t>
      </w:r>
    </w:p>
    <w:p>
      <w:pPr>
        <w:spacing w:after="60" w:line="252" w:lineRule="auto"/>
        <w:ind w:left="360" w:hanging="220"/>
        <w:rPr>
          <w:sz w:val="19"/>
          <w:szCs w:val="19"/>
          <w:color w:val="333333"/>
        </w:rPr>
      </w:pPr>
      <w:r>
        <w:rPr>
          <w:sz w:val="19"/>
          <w:szCs w:val="19"/>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19"/>
          <w:szCs w:val="19"/>
          <w:color w:val="333333"/>
        </w:rPr>
      </w:pPr>
      <w:r>
        <w:rPr>
          <w:sz w:val="19"/>
          <w:szCs w:val="19"/>
          <w:color w:val="333333"/>
        </w:rPr>
        <w:t xml:space="preserve">•  Where the spray marker is no longer visible/legible, and/or</w:t>
      </w:r>
    </w:p>
    <w:p>
      <w:pPr>
        <w:spacing w:after="60" w:line="252" w:lineRule="auto"/>
        <w:ind w:left="360" w:hanging="220"/>
        <w:rPr>
          <w:sz w:val="19"/>
          <w:szCs w:val="19"/>
          <w:color w:val="333333"/>
        </w:rPr>
      </w:pPr>
      <w:r>
        <w:rPr>
          <w:sz w:val="19"/>
          <w:szCs w:val="19"/>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19"/>
          <w:szCs w:val="19"/>
          <w:color w:val="333333"/>
        </w:rPr>
      </w:pPr>
      <w:r>
        <w:rPr>
          <w:sz w:val="19"/>
          <w:szCs w:val="19"/>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19"/>
          <w:szCs w:val="19"/>
          <w:color w:val="333333"/>
        </w:rPr>
      </w:pPr>
      <w:r>
        <w:rPr>
          <w:sz w:val="19"/>
          <w:szCs w:val="19"/>
          <w:color w:val="333333"/>
        </w:rPr>
        <w:t xml:space="preserve">•  Where no visible signs or reasonable access to a conductive service is known, and/or</w:t>
      </w:r>
    </w:p>
    <w:p>
      <w:pPr>
        <w:spacing w:after="60" w:line="252" w:lineRule="auto"/>
        <w:ind w:left="360" w:hanging="220"/>
        <w:rPr>
          <w:sz w:val="19"/>
          <w:szCs w:val="19"/>
          <w:color w:val="333333"/>
        </w:rPr>
      </w:pPr>
      <w:r>
        <w:rPr>
          <w:sz w:val="19"/>
          <w:szCs w:val="19"/>
          <w:color w:val="333333"/>
        </w:rPr>
        <w:t xml:space="preserve">•  If conductive continuity is not maintained through the service being located.</w:t>
      </w:r>
    </w:p>
    <w:p>
      <w:pPr>
        <w:spacing w:after="60" w:line="252" w:lineRule="auto"/>
        <w:ind w:left="360" w:hanging="220"/>
        <w:rPr>
          <w:sz w:val="19"/>
          <w:szCs w:val="19"/>
          <w:color w:val="333333"/>
        </w:rPr>
      </w:pPr>
      <w:r>
        <w:rPr>
          <w:sz w:val="19"/>
          <w:szCs w:val="19"/>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19"/>
          <w:szCs w:val="19"/>
          <w:color w:val="333333"/>
        </w:rPr>
      </w:pPr>
      <w:r>
        <w:rPr>
          <w:sz w:val="19"/>
          <w:szCs w:val="19"/>
          <w:color w:val="333333"/>
        </w:rPr>
        <w:t xml:space="preserve">•  All damage must be reported to Engineering Surveys prior to any repairs occurring, and/or further earthworks being conducted.</w:t>
      </w:r>
    </w:p>
    <w:p>
      <w:pPr>
        <w:spacing w:after="60" w:line="252" w:lineRule="auto"/>
        <w:ind w:left="360" w:hanging="220"/>
        <w:rPr>
          <w:sz w:val="19"/>
          <w:szCs w:val="19"/>
          <w:color w:val="333333"/>
        </w:rPr>
      </w:pPr>
      <w:r>
        <w:rPr>
          <w:sz w:val="19"/>
          <w:szCs w:val="19"/>
          <w:color w:val="333333"/>
        </w:rPr>
        <w:t xml:space="preserve">•  An Engineering Surveys representative is to carry out site inspection within a reasonable time period that will not delay necessary repair work.</w:t>
      </w:r>
    </w:p>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