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SERVICE LOCATION FIELD REPORT</w:t>
      </w:r>
    </w:p>
    <w:p>
      <w:pPr>
        <w:pBdr>
          <w:left w:val="single" w:sz="36" w:space="8" w:color="FFC20E"/>
        </w:pBdr>
        <w:spacing w:before="220" w:after="90"/>
        <w:rPr>
          <w:sz w:val="24"/>
          <w:szCs w:val="24"/>
          <w:b/>
          <w:color w:val="130C0E"/>
        </w:rPr>
      </w:pPr>
      <w:r>
        <w:rPr>
          <w:sz w:val="24"/>
          <w:szCs w:val="24"/>
          <w:b/>
          <w:color w:val="130C0E"/>
        </w:rPr>
        <w:t xml:space="preserve">Job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Date</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{date}</w:t>
            </w:r>
          </w:p>
        </w:tc>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Contact</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{contact}</w:t>
            </w:r>
          </w:p>
        </w:tc>
      </w:tr>
      <w:tr>
        <w:tc>
          <w:tcPr>
            <w:tcW w:w="21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Client / Project</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{clientOrProject}</w:t>
            </w:r>
          </w:p>
        </w:tc>
        <w:tc>
          <w:tcPr>
            <w:tcW w:w="21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Contact Mob.</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{contactMob}</w:t>
            </w:r>
          </w:p>
        </w:tc>
      </w:tr>
      <w:tr>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Locater</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{surveyor}</w:t>
            </w:r>
          </w:p>
        </w:tc>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Locater Mob.</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{locaterMob}</w:t>
            </w:r>
          </w:p>
        </w:tc>
      </w:tr>
      <w:tr>
        <w:tc>
          <w:tcPr>
            <w:tcW w:w="21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Job Location</w:t>
            </w:r>
          </w:p>
        </w:tc>
        <w:tc>
          <w:tcPr>
            <w:tcW w:w="7986" w:type="dxa"/>
            <w:gridSpan w:val="3"/>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{jobLocation}</w:t>
            </w:r>
          </w:p>
        </w:tc>
      </w:tr>
    </w:tbl>
    <w:p>
      <w:pPr>
        <w:pBdr>
          <w:left w:val="single" w:sz="36" w:space="8" w:color="FFC20E"/>
        </w:pBdr>
        <w:spacing w:before="220" w:after="90"/>
        <w:rPr>
          <w:sz w:val="24"/>
          <w:szCs w:val="24"/>
          <w:b/>
          <w:color w:val="130C0E"/>
        </w:rPr>
      </w:pPr>
      <w:r>
        <w:rPr>
          <w:sz w:val="24"/>
          <w:szCs w:val="24"/>
          <w:b/>
          <w:color w:val="130C0E"/>
        </w:rPr>
        <w:t xml:space="preserve">Utility services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40" w:lineRule="auto"/>
              <w:rPr>
                <w:sz w:val="20"/>
                <w:szCs w:val="20"/>
                <w:b/>
                <w:color w:val="FFFFFF"/>
              </w:rPr>
            </w:pPr>
            <w:r>
              <w:rPr>
                <w:sz w:val="20"/>
                <w:szCs w:val="20"/>
                <w:b/>
                <w:color w:val="FFFFFF"/>
              </w:rPr>
              <w:t xml:space="preserve">Asset type</w:t>
            </w:r>
          </w:p>
        </w:tc>
        <w:tc>
          <w:tcPr>
            <w:tcW w:w="1700" w:type="dxa"/>
            <w:shd w:val="clear" w:color="auto" w:fill="130C0E"/>
            <w:tcMar>
              <w:top w:w="40" w:type="dxa"/>
              <w:left w:w="110" w:type="dxa"/>
              <w:bottom w:w="40" w:type="dxa"/>
              <w:right w:w="110" w:type="dxa"/>
            </w:tcMar>
            <w:vAlign w:val="center"/>
          </w:tcPr>
          <w:p>
            <w:pPr>
              <w:spacing w:after="0" w:line="240" w:lineRule="auto"/>
              <w:rPr>
                <w:sz w:val="20"/>
                <w:szCs w:val="20"/>
                <w:b/>
                <w:color w:val="FFFFFF"/>
              </w:rPr>
            </w:pPr>
            <w:r>
              <w:rPr>
                <w:sz w:val="20"/>
                <w:szCs w:val="20"/>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40" w:lineRule="auto"/>
              <w:rPr>
                <w:sz w:val="20"/>
                <w:szCs w:val="20"/>
                <w:b/>
                <w:color w:val="FFFFFF"/>
              </w:rPr>
            </w:pPr>
            <w:r>
              <w:rPr>
                <w:sz w:val="20"/>
                <w:szCs w:val="20"/>
                <w:b/>
                <w:color w:val="FFFFFF"/>
              </w:rPr>
              <w:t xml:space="preserve">Comment</w:t>
            </w:r>
          </w:p>
        </w:tc>
      </w:tr>
      <w:tr>
        <w:tc>
          <w:tcPr>
            <w:tcW w:w="3400" w:type="dxa"/>
            <w:shd w:val="clear" w:color="auto" w:fill="FDF483"/>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Gas</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{Gas_quality}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{Gas_comment}</w:t>
            </w:r>
          </w:p>
        </w:tc>
      </w:tr>
      <w:tr>
        <w:tc>
          <w:tcPr>
            <w:tcW w:w="3400" w:type="dxa"/>
            <w:shd w:val="clear" w:color="auto" w:fill="FBE4D5"/>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Sewer</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{Sewer_quality}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{Sewer_comment}</w:t>
            </w:r>
          </w:p>
        </w:tc>
      </w:tr>
      <w:tr>
        <w:tc>
          <w:tcPr>
            <w:tcW w:w="3400" w:type="dxa"/>
            <w:shd w:val="clear" w:color="auto" w:fill="92D050"/>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Stormwater</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{Stormwater_quality}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{Stormwater_comment}</w:t>
            </w:r>
          </w:p>
        </w:tc>
      </w:tr>
      <w:tr>
        <w:tc>
          <w:tcPr>
            <w:tcW w:w="34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Telecommunications</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{Telecommunications_quality}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{Telecommunications_comment}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SAPN / Electrical</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{SAPN_quality}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{SAPN_comment}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Traffic Signals</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{Traffic_quality}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{Traffic_comment}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Street Lighting</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{Street_quality}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{Street_comment}</w:t>
            </w:r>
          </w:p>
        </w:tc>
      </w:tr>
      <w:tr>
        <w:tc>
          <w:tcPr>
            <w:tcW w:w="3400" w:type="dxa"/>
            <w:shd w:val="clear" w:color="auto" w:fill="8EAADB"/>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Water</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{Water_quality}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{Water_comment}</w:t>
            </w:r>
          </w:p>
        </w:tc>
      </w:tr>
      <w:tr>
        <w:tc>
          <w:tcPr>
            <w:tcW w:w="3400" w:type="dxa"/>
            <w:shd w:val="clear" w:color="auto" w:fill="C45911"/>
            <w:tcMar>
              <w:top w:w="40" w:type="dxa"/>
              <w:left w:w="110" w:type="dxa"/>
              <w:bottom w:w="40" w:type="dxa"/>
              <w:right w:w="110" w:type="dxa"/>
            </w:tcMar>
            <w:vAlign w:val="center"/>
          </w:tcPr>
          <w:p>
            <w:pPr>
              <w:spacing w:after="0" w:line="240" w:lineRule="auto"/>
              <w:rPr>
                <w:sz w:val="20"/>
                <w:szCs w:val="20"/>
                <w:b/>
                <w:color w:val="FFFFFF"/>
              </w:rPr>
            </w:pPr>
            <w:r>
              <w:rPr>
                <w:sz w:val="20"/>
                <w:szCs w:val="20"/>
                <w:b/>
                <w:color w:val="FFFFFF"/>
              </w:rPr>
              <w:t xml:space="preserve">Fire Main</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{Fire_quality}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{Fire_comment}</w:t>
            </w:r>
          </w:p>
        </w:tc>
      </w:tr>
      <w:tr>
        <w:tc>
          <w:tcPr>
            <w:tcW w:w="34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Optic Fibre</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{Optic_quality}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{Optic_comment}</w:t>
            </w:r>
          </w:p>
        </w:tc>
      </w:tr>
      <w:tr>
        <w:tc>
          <w:tcPr>
            <w:tcW w:w="3400" w:type="dxa"/>
            <w:shd w:val="clear" w:color="auto" w:fill="D777C5"/>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Reclaimed Water</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{Reclaimed_quality}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{Reclaimed_comment}</w:t>
            </w:r>
          </w:p>
        </w:tc>
      </w:tr>
      <w:tr>
        <w:tc>
          <w:tcPr>
            <w:tcW w:w="3400" w:type="dxa"/>
            <w:shd w:val="clear" w:color="auto" w:fill="FF339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Unknown Services</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{Unknown_quality}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{Unknown_comment}</w:t>
            </w:r>
          </w:p>
        </w:tc>
      </w:tr>
    </w:tbl>
    <w:p>
      <w:pPr>
        <w:pBdr>
          <w:left w:val="single" w:sz="36" w:space="8" w:color="FFC20E"/>
        </w:pBdr>
        <w:spacing w:before="220" w:after="90"/>
        <w:rPr>
          <w:sz w:val="24"/>
          <w:szCs w:val="24"/>
          <w:b/>
          <w:color w:val="130C0E"/>
        </w:rPr>
      </w:pPr>
      <w:r>
        <w:rPr>
          <w:sz w:val="24"/>
          <w:szCs w:val="24"/>
          <w:b/>
          <w:color w:val="130C0E"/>
        </w:rPr>
        <w:t xml:space="preserve">DBYD details</w:t>
      </w:r>
    </w:p>
    <w:p>
      <w:pPr>
        <w:spacing w:after="0" w:line="240" w:lineRule="auto"/>
        <w:rPr>
          <w:sz w:val="20"/>
          <w:szCs w:val="20"/>
          <w:color w:val="130C0E"/>
        </w:rPr>
      </w:pPr>
      <w:r>
        <w:rPr>
          <w:sz w:val="20"/>
          <w:szCs w:val="20"/>
          <w:color w:val="130C0E"/>
        </w:rPr>
        <w:t xml:space="preserve">{^dbydByClient}</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DBYD Job Number</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{dbydjobno}</w:t>
            </w:r>
          </w:p>
        </w:tc>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Date Requested</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{dbyddate}</w:t>
            </w:r>
          </w:p>
        </w:tc>
      </w:tr>
      <w:tr>
        <w:tc>
          <w:tcPr>
            <w:tcW w:w="21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Plans Available</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{dbydavailable}</w:t>
            </w:r>
          </w:p>
        </w:tc>
        <w:tc>
          <w:tcPr>
            <w:tcW w:w="21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Plans Cover Areas</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{dbydplans}</w:t>
            </w:r>
          </w:p>
        </w:tc>
      </w:tr>
      <w:tr>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SWMS Completed</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{SWMS}</w:t>
            </w:r>
          </w:p>
        </w:tc>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Plans Supplied by ES</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{plansupply}</w:t>
            </w:r>
          </w:p>
        </w:tc>
      </w:tr>
    </w:tbl>
    <w:p>
      <w:pPr>
        <w:spacing w:after="0" w:line="240" w:lineRule="auto"/>
        <w:rPr>
          <w:sz w:val="20"/>
          <w:szCs w:val="20"/>
          <w:color w:val="130C0E"/>
        </w:rPr>
      </w:pPr>
      <w:r>
        <w:rPr>
          <w:sz w:val="20"/>
          <w:szCs w:val="20"/>
          <w:color w:val="130C0E"/>
        </w:rPr>
        <w:t xml:space="preserve">{/dbydByClient}</w:t>
      </w:r>
    </w:p>
    <w:p>
      <w:pPr>
        <w:spacing w:after="0" w:line="240" w:lineRule="auto"/>
        <w:rPr>
          <w:sz w:val="20"/>
          <w:szCs w:val="20"/>
          <w:b/>
          <w:color w:val="130C0E"/>
        </w:rPr>
      </w:pPr>
      <w:r>
        <w:rPr>
          <w:sz w:val="20"/>
          <w:szCs w:val="20"/>
          <w:b/>
          <w:color w:val="130C0E"/>
        </w:rPr>
        <w:t xml:space="preserve">{#dbydByClient}DBYD to be supplied by client.{/dbydByClient}</w:t>
      </w:r>
    </w:p>
    <w:p>
      <w:pPr>
        <w:pBdr>
          <w:left w:val="single" w:sz="36" w:space="8" w:color="FFC20E"/>
        </w:pBdr>
        <w:spacing w:before="220" w:after="90"/>
        <w:rPr>
          <w:sz w:val="24"/>
          <w:szCs w:val="24"/>
          <w:b/>
          <w:color w:val="130C0E"/>
        </w:rPr>
      </w:pPr>
      <w:r>
        <w:rPr>
          <w:sz w:val="24"/>
          <w:szCs w:val="24"/>
          <w:b/>
          <w:color w:val="130C0E"/>
        </w:rPr>
        <w:t xml:space="preserve">Site notes</w:t>
      </w:r>
    </w:p>
    <w:p>
      <w:pPr>
        <w:spacing w:after="0" w:line="240" w:lineRule="auto"/>
        <w:rPr>
          <w:sz w:val="20"/>
          <w:szCs w:val="20"/>
          <w:color w:val="130C0E"/>
        </w:rPr>
      </w:pPr>
      <w:r>
        <w:rPr>
          <w:sz w:val="20"/>
          <w:szCs w:val="20"/>
          <w:color w:val="130C0E"/>
        </w:rPr>
        <w:t xml:space="preserve">{addnotes}</w:t>
      </w:r>
    </w:p>
    <w:p>
      <w:pPr>
        <w:pBdr>
          <w:left w:val="single" w:sz="36" w:space="8" w:color="FFC20E"/>
        </w:pBdr>
        <w:spacing w:before="220" w:after="90"/>
        <w:rPr>
          <w:sz w:val="24"/>
          <w:szCs w:val="24"/>
          <w:b/>
          <w:color w:val="130C0E"/>
        </w:rPr>
      </w:pPr>
      <w:r>
        <w:rPr>
          <w:sz w:val="24"/>
          <w:szCs w:val="24"/>
          <w:b/>
          <w:color w:val="130C0E"/>
        </w:rPr>
        <w:t xml:space="preserve">Photos</w:t>
      </w:r>
    </w:p>
    <w:p>
      <w:pPr>
        <w:spacing w:before="120" w:after="120"/>
        <w:jc w:val="center"/>
      </w:pPr>
      <w:r>
        <w:t>{#photos}</w:t>
      </w:r>
      <w:r>
        <w:t xml:space="preserve">{%data}</w:t>
      </w:r>
      <w:r>
        <w:br/>
      </w:r>
      <w:r>
        <w:rPr>
          <w:b/>
          <w:sz w:val="22"/>
        </w:rPr>
        <w:t xml:space="preserve">{name}</w:t>
      </w:r>
      <w:r>
        <w:br/>
      </w:r>
      <w:r>
        <w:rPr>
          <w:sz w:val="20"/>
          <w:color w:val="555555"/>
        </w:rPr>
        <w:t xml:space="preserve">{description}</w:t>
      </w:r>
      <w:r>
        <w:br/>
      </w:r>
      <w:r>
        <w:br/>
      </w:r>
      <w:r>
        <w:t>{/photos}</w:t>
      </w:r>
    </w:p>
    <w:p>
      <w:pPr>
        <w:pageBreakBefore/>
        <w:pBdr>
          <w:left w:val="single" w:sz="36" w:space="8" w:color="FFC20E"/>
        </w:pBdr>
        <w:spacing w:before="220" w:after="90"/>
        <w:rPr>
          <w:sz w:val="24"/>
          <w:szCs w:val="24"/>
          <w:b/>
          <w:color w:val="130C0E"/>
        </w:rPr>
      </w:pPr>
      <w:r>
        <w:rPr>
          <w:sz w:val="24"/>
          <w:szCs w:val="24"/>
          <w:b/>
          <w:color w:val="130C0E"/>
        </w:rPr>
        <w:t xml:space="preserve">Service location quality</w:t>
      </w:r>
    </w:p>
    <w:p>
      <w:pPr>
        <w:spacing w:after="0" w:line="240"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19"/>
          <w:szCs w:val="19"/>
          <w:color w:val="333333"/>
        </w:rPr>
      </w:pPr>
      <w:r>
        <w:rPr>
          <w:sz w:val="19"/>
          <w:szCs w:val="19"/>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19"/>
          <w:szCs w:val="19"/>
          <w:color w:val="333333"/>
        </w:rPr>
      </w:pPr>
      <w:r>
        <w:rPr>
          <w:sz w:val="19"/>
          <w:szCs w:val="19"/>
          <w:color w:val="333333"/>
        </w:rPr>
        <w:t xml:space="preserve">•  Examples include: exposed pipes, open cable trenches and exposed drainage where invert/obvert measurement is possible.</w:t>
      </w:r>
    </w:p>
    <w:p>
      <w:pPr>
        <w:spacing w:after="0" w:line="240"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19"/>
          <w:szCs w:val="19"/>
          <w:color w:val="333333"/>
        </w:rPr>
      </w:pPr>
      <w:r>
        <w:rPr>
          <w:sz w:val="19"/>
          <w:szCs w:val="19"/>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19"/>
          <w:szCs w:val="19"/>
          <w:color w:val="333333"/>
        </w:rPr>
      </w:pPr>
      <w:r>
        <w:rPr>
          <w:sz w:val="19"/>
          <w:szCs w:val="19"/>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19"/>
          <w:szCs w:val="19"/>
          <w:color w:val="333333"/>
        </w:rPr>
      </w:pPr>
      <w:r>
        <w:rPr>
          <w:sz w:val="19"/>
          <w:szCs w:val="19"/>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40"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19"/>
          <w:szCs w:val="19"/>
          <w:color w:val="333333"/>
        </w:rPr>
      </w:pPr>
      <w:r>
        <w:rPr>
          <w:sz w:val="19"/>
          <w:szCs w:val="19"/>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19"/>
          <w:szCs w:val="19"/>
          <w:color w:val="333333"/>
        </w:rPr>
      </w:pPr>
      <w:r>
        <w:rPr>
          <w:sz w:val="19"/>
          <w:szCs w:val="19"/>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40"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19"/>
          <w:szCs w:val="19"/>
          <w:color w:val="333333"/>
        </w:rPr>
      </w:pPr>
      <w:r>
        <w:rPr>
          <w:sz w:val="19"/>
          <w:szCs w:val="19"/>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19"/>
          <w:szCs w:val="19"/>
          <w:color w:val="333333"/>
        </w:rPr>
      </w:pPr>
      <w:r>
        <w:rPr>
          <w:sz w:val="19"/>
          <w:szCs w:val="19"/>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4"/>
          <w:szCs w:val="24"/>
          <w:b/>
          <w:color w:val="130C0E"/>
        </w:rPr>
      </w:pPr>
      <w:r>
        <w:rPr>
          <w:sz w:val="24"/>
          <w:szCs w:val="24"/>
          <w:b/>
          <w:color w:val="130C0E"/>
        </w:rPr>
        <w:t xml:space="preserve">Terms and conditions</w:t>
      </w:r>
    </w:p>
    <w:p>
      <w:pPr>
        <w:spacing w:after="0" w:line="240" w:lineRule="auto"/>
        <w:rPr>
          <w:sz w:val="20"/>
          <w:szCs w:val="20"/>
          <w:color w:val="130C0E"/>
        </w:rPr>
      </w:pPr>
      <w:r>
        <w:rPr>
          <w:sz w:val="20"/>
          <w:szCs w:val="20"/>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40" w:line="60" w:lineRule="auto"/>
      </w:pPr>
    </w:p>
    <w:p>
      <w:pPr>
        <w:spacing w:after="0" w:line="240" w:lineRule="auto"/>
        <w:rPr>
          <w:sz w:val="20"/>
          <w:szCs w:val="20"/>
          <w:b/>
          <w:color w:val="130C0E"/>
        </w:rPr>
      </w:pPr>
      <w:r>
        <w:rPr>
          <w:sz w:val="20"/>
          <w:szCs w:val="20"/>
          <w:b/>
          <w:color w:val="130C0E"/>
        </w:rPr>
        <w:t xml:space="preserve">Engineering Surveys will not accept responsibility for damage under the following:</w:t>
      </w:r>
    </w:p>
    <w:p>
      <w:pPr>
        <w:spacing w:after="60" w:line="252" w:lineRule="auto"/>
        <w:ind w:left="360" w:hanging="220"/>
        <w:rPr>
          <w:sz w:val="19"/>
          <w:szCs w:val="19"/>
          <w:color w:val="333333"/>
        </w:rPr>
      </w:pPr>
      <w:r>
        <w:rPr>
          <w:sz w:val="19"/>
          <w:szCs w:val="19"/>
          <w:color w:val="333333"/>
        </w:rPr>
        <w:t xml:space="preserve">•  Damage to any services outside the area designated by the client, as is the entire area in which work will be carried out, and/or</w:t>
      </w:r>
    </w:p>
    <w:p>
      <w:pPr>
        <w:spacing w:after="60" w:line="252" w:lineRule="auto"/>
        <w:ind w:left="360" w:hanging="220"/>
        <w:rPr>
          <w:sz w:val="19"/>
          <w:szCs w:val="19"/>
          <w:color w:val="333333"/>
        </w:rPr>
      </w:pPr>
      <w:r>
        <w:rPr>
          <w:sz w:val="19"/>
          <w:szCs w:val="19"/>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19"/>
          <w:szCs w:val="19"/>
          <w:color w:val="333333"/>
        </w:rPr>
      </w:pPr>
      <w:r>
        <w:rPr>
          <w:sz w:val="19"/>
          <w:szCs w:val="19"/>
          <w:color w:val="333333"/>
        </w:rPr>
        <w:t xml:space="preserve">•  Where the spray marker is no longer visible/legible, and/or</w:t>
      </w:r>
    </w:p>
    <w:p>
      <w:pPr>
        <w:spacing w:after="60" w:line="252" w:lineRule="auto"/>
        <w:ind w:left="360" w:hanging="220"/>
        <w:rPr>
          <w:sz w:val="19"/>
          <w:szCs w:val="19"/>
          <w:color w:val="333333"/>
        </w:rPr>
      </w:pPr>
      <w:r>
        <w:rPr>
          <w:sz w:val="19"/>
          <w:szCs w:val="19"/>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19"/>
          <w:szCs w:val="19"/>
          <w:color w:val="333333"/>
        </w:rPr>
      </w:pPr>
      <w:r>
        <w:rPr>
          <w:sz w:val="19"/>
          <w:szCs w:val="19"/>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19"/>
          <w:szCs w:val="19"/>
          <w:color w:val="333333"/>
        </w:rPr>
      </w:pPr>
      <w:r>
        <w:rPr>
          <w:sz w:val="19"/>
          <w:szCs w:val="19"/>
          <w:color w:val="333333"/>
        </w:rPr>
        <w:t xml:space="preserve">•  Where no visible signs or reasonable access to a conductive service is known, and/or</w:t>
      </w:r>
    </w:p>
    <w:p>
      <w:pPr>
        <w:spacing w:after="60" w:line="252" w:lineRule="auto"/>
        <w:ind w:left="360" w:hanging="220"/>
        <w:rPr>
          <w:sz w:val="19"/>
          <w:szCs w:val="19"/>
          <w:color w:val="333333"/>
        </w:rPr>
      </w:pPr>
      <w:r>
        <w:rPr>
          <w:sz w:val="19"/>
          <w:szCs w:val="19"/>
          <w:color w:val="333333"/>
        </w:rPr>
        <w:t xml:space="preserve">•  If conductive continuity is not maintained through the service being located.</w:t>
      </w:r>
    </w:p>
    <w:p>
      <w:pPr>
        <w:spacing w:after="60" w:line="252" w:lineRule="auto"/>
        <w:ind w:left="360" w:hanging="220"/>
        <w:rPr>
          <w:sz w:val="19"/>
          <w:szCs w:val="19"/>
          <w:color w:val="333333"/>
        </w:rPr>
      </w:pPr>
      <w:r>
        <w:rPr>
          <w:sz w:val="19"/>
          <w:szCs w:val="19"/>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19"/>
          <w:szCs w:val="19"/>
          <w:color w:val="333333"/>
        </w:rPr>
      </w:pPr>
      <w:r>
        <w:rPr>
          <w:sz w:val="19"/>
          <w:szCs w:val="19"/>
          <w:color w:val="333333"/>
        </w:rPr>
        <w:t xml:space="preserve">•  All damage must be reported to Engineering Surveys prior to any repairs occurring, and/or further earthworks being conducted.</w:t>
      </w:r>
    </w:p>
    <w:p>
      <w:pPr>
        <w:spacing w:after="60" w:line="252" w:lineRule="auto"/>
        <w:ind w:left="360" w:hanging="220"/>
        <w:rPr>
          <w:sz w:val="19"/>
          <w:szCs w:val="19"/>
          <w:color w:val="333333"/>
        </w:rPr>
      </w:pPr>
      <w:r>
        <w:rPr>
          <w:sz w:val="19"/>
          <w:szCs w:val="19"/>
          <w:color w:val="333333"/>
        </w:rPr>
        <w:t xml:space="preserve">•  An Engineering Surveys representative is to carry out site inspection within a reasonable time period that will not delay necessary repair work.</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