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Bdr>
          <w:left w:val="single" w:sz="48" w:space="8" w:color="FFC20E"/>
        </w:pBdr>
        <w:shd w:val="clear" w:color="auto" w:fill="130C0E"/>
        <w:spacing w:before="40" w:after="180"/>
        <w:ind w:left="140" w:right="140"/>
        <w:rPr>
          <w:sz w:val="30"/>
          <w:szCs w:val="30"/>
          <w:b/>
          <w:color w:val="FFFFFF"/>
        </w:rPr>
      </w:pPr>
      <w:r>
        <w:rPr>
          <w:sz w:val="30"/>
          <w:szCs w:val="30"/>
          <w:b/>
          <w:color w:val="FFFFFF"/>
        </w:rPr>
        <w:t xml:space="preserve">POTHOLE REPORT</w:t>
      </w:r>
    </w:p>
    <w:p>
      <w:pPr>
        <w:pBdr>
          <w:left w:val="single" w:sz="36" w:space="8" w:color="FFC20E"/>
        </w:pBdr>
        <w:spacing w:before="220" w:after="90"/>
        <w:rPr>
          <w:sz w:val="24"/>
          <w:szCs w:val="24"/>
          <w:b/>
          <w:color w:val="130C0E"/>
        </w:rPr>
      </w:pPr>
      <w:r>
        <w:rPr>
          <w:sz w:val="24"/>
          <w:szCs w:val="24"/>
          <w:b/>
          <w:color w:val="130C0E"/>
        </w:rPr>
        <w:t xml:space="preserve">Project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Locator</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{locatorName}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Date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{date}</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{dbydNo}</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Ref No</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{refNo}</w:t>
            </w:r>
          </w:p>
        </w:tc>
      </w:tr>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Site Address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{siteAddress}</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Scope of Works</w:t>
            </w:r>
          </w:p>
        </w:tc>
        <w:tc>
          <w:tcPr>
            <w:tcW w:w="7986" w:type="dxa"/>
            <w:gridSpan w:val="3"/>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{scopeOfWorks}</w:t>
            </w:r>
          </w:p>
        </w:tc>
      </w:tr>
    </w:tbl>
    <w:p>
      <w:pPr>
        <w:pBdr>
          <w:left w:val="single" w:sz="36" w:space="8" w:color="FFC20E"/>
        </w:pBdr>
        <w:spacing w:before="220" w:after="90"/>
        <w:rPr>
          <w:sz w:val="24"/>
          <w:szCs w:val="24"/>
          <w:b/>
          <w:color w:val="130C0E"/>
        </w:rPr>
      </w:pPr>
      <w:r>
        <w:rPr>
          <w:sz w:val="24"/>
          <w:szCs w:val="24"/>
          <w:b/>
          <w:color w:val="130C0E"/>
        </w:rPr>
        <w:t xml:space="preserve">Client details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2100"/>
        <w:gridCol w:w="2943"/>
        <w:gridCol w:w="2100"/>
        <w:gridCol w:w="2943"/>
      </w:tblGrid>
      <w:tr>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Client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{clientName}</w:t>
            </w:r>
          </w:p>
        </w:tc>
        <w:tc>
          <w:tcPr>
            <w:tcW w:w="2100" w:type="dxa"/>
            <w:shd w:val="clear" w:color="auto" w:fill="FBF6E9"/>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Contact</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{clientContact}</w:t>
            </w:r>
          </w:p>
        </w:tc>
      </w:tr>
      <w:tr>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Mobile</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{clientMobile}</w:t>
            </w:r>
          </w:p>
        </w:tc>
        <w:tc>
          <w:tcPr>
            <w:tcW w:w="2100" w:type="dxa"/>
            <w:tcMar>
              <w:top w:w="40" w:type="dxa"/>
              <w:left w:w="110" w:type="dxa"/>
              <w:bottom w:w="40" w:type="dxa"/>
              <w:right w:w="110" w:type="dxa"/>
            </w:tcMar>
            <w:vAlign w:val="center"/>
          </w:tcPr>
          <w:p>
            <w:pPr>
              <w:spacing w:after="0" w:line="252" w:lineRule="auto"/>
              <w:rPr>
                <w:sz w:val="20"/>
                <w:szCs w:val="20"/>
                <w:b/>
                <w:color w:val="130C0E"/>
              </w:rPr>
            </w:pPr>
            <w:r>
              <w:rPr>
                <w:sz w:val="20"/>
                <w:szCs w:val="20"/>
                <w:b/>
                <w:color w:val="130C0E"/>
              </w:rPr>
              <w:t xml:space="preserve">DBYD Email</w:t>
            </w:r>
          </w:p>
        </w:tc>
        <w:tc>
          <w:tcPr>
            <w:tcW w:w="29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{dbydEmail}</w:t>
            </w:r>
          </w:p>
        </w:tc>
      </w:tr>
    </w:tbl>
    <w:p>
      <w:pPr>
        <w:pBdr>
          <w:left w:val="single" w:sz="36" w:space="8" w:color="FFC20E"/>
        </w:pBdr>
        <w:spacing w:before="220" w:after="90"/>
        <w:rPr>
          <w:sz w:val="24"/>
          <w:szCs w:val="24"/>
          <w:b/>
          <w:color w:val="130C0E"/>
        </w:rPr>
      </w:pPr>
      <w:r>
        <w:rPr>
          <w:sz w:val="24"/>
          <w:szCs w:val="24"/>
          <w:b/>
          <w:color w:val="130C0E"/>
        </w:rPr>
        <w:t xml:space="preserve">Utilities located</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3400"/>
        <w:gridCol w:w="1700"/>
        <w:gridCol w:w="4986"/>
      </w:tblGrid>
      <w:tr>
        <w:tc>
          <w:tcPr>
            <w:tcW w:w="3400" w:type="dxa"/>
            <w:shd w:val="clear" w:color="auto" w:fill="130C0E"/>
            <w:tcMar>
              <w:top w:w="40" w:type="dxa"/>
              <w:left w:w="110" w:type="dxa"/>
              <w:bottom w:w="40" w:type="dxa"/>
              <w:right w:w="110" w:type="dxa"/>
            </w:tcMar>
            <w:vAlign w:val="center"/>
          </w:tcPr>
          <w:p>
            <w:pPr>
              <w:spacing w:after="0" w:line="252" w:lineRule="auto"/>
              <w:rPr>
                <w:sz w:val="20"/>
                <w:szCs w:val="20"/>
                <w:b/>
                <w:color w:val="FFFFFF"/>
              </w:rPr>
            </w:pPr>
            <w:r>
              <w:rPr>
                <w:sz w:val="20"/>
                <w:szCs w:val="20"/>
                <w:b/>
                <w:color w:val="FFFFFF"/>
              </w:rPr>
              <w:t xml:space="preserve">Service</w:t>
            </w:r>
          </w:p>
        </w:tc>
        <w:tc>
          <w:tcPr>
            <w:tcW w:w="1700" w:type="dxa"/>
            <w:shd w:val="clear" w:color="auto" w:fill="130C0E"/>
            <w:tcMar>
              <w:top w:w="40" w:type="dxa"/>
              <w:left w:w="110" w:type="dxa"/>
              <w:bottom w:w="40" w:type="dxa"/>
              <w:right w:w="110" w:type="dxa"/>
            </w:tcMar>
            <w:vAlign w:val="center"/>
          </w:tcPr>
          <w:p>
            <w:pPr>
              <w:spacing w:after="0" w:line="252" w:lineRule="auto"/>
              <w:rPr>
                <w:sz w:val="20"/>
                <w:szCs w:val="20"/>
                <w:b/>
                <w:color w:val="FFFFFF"/>
              </w:rPr>
            </w:pPr>
            <w:r>
              <w:rPr>
                <w:sz w:val="20"/>
                <w:szCs w:val="20"/>
                <w:b/>
                <w:color w:val="FFFFFF"/>
              </w:rPr>
              <w:t xml:space="preserve">Quality</w:t>
            </w:r>
          </w:p>
        </w:tc>
        <w:tc>
          <w:tcPr>
            <w:tcW w:w="4986" w:type="dxa"/>
            <w:shd w:val="clear" w:color="auto" w:fill="130C0E"/>
            <w:tcMar>
              <w:top w:w="40" w:type="dxa"/>
              <w:left w:w="110" w:type="dxa"/>
              <w:bottom w:w="40" w:type="dxa"/>
              <w:right w:w="110" w:type="dxa"/>
            </w:tcMar>
            <w:vAlign w:val="center"/>
          </w:tcPr>
          <w:p>
            <w:pPr>
              <w:spacing w:after="0" w:line="252" w:lineRule="auto"/>
              <w:rPr>
                <w:sz w:val="20"/>
                <w:szCs w:val="20"/>
                <w:b/>
                <w:color w:val="FFFFFF"/>
              </w:rPr>
            </w:pPr>
            <w:r>
              <w:rPr>
                <w:sz w:val="20"/>
                <w:szCs w:val="20"/>
                <w:b/>
                <w:color w:val="FFFFFF"/>
              </w:rPr>
              <w:t xml:space="preserve">Comment</w:t>
            </w:r>
          </w:p>
        </w:tc>
      </w:tr>
      <w:tr>
        <w:tc>
          <w:tcPr>
            <w:tcW w:w="3400" w:type="dxa"/>
            <w:shd w:val="clear" w:color="auto" w:fill="F6E84F"/>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Gas</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{gas_quality}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{gas_comment}</w:t>
            </w:r>
          </w:p>
        </w:tc>
      </w:tr>
      <w:tr>
        <w:tc>
          <w:tcPr>
            <w:tcW w:w="3400" w:type="dxa"/>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Telstra</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{telstra_quality}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{telstra_comment}</w:t>
            </w:r>
          </w:p>
        </w:tc>
      </w:tr>
      <w:tr>
        <w:tc>
          <w:tcPr>
            <w:tcW w:w="3400" w:type="dxa"/>
            <w:shd w:val="clear" w:color="auto" w:fill="F4B183"/>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Electricity (LV and HV)</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{electricity_quality}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{electricity_comment}</w:t>
            </w:r>
          </w:p>
        </w:tc>
      </w:tr>
      <w:tr>
        <w:tc>
          <w:tcPr>
            <w:tcW w:w="3400" w:type="dxa"/>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Communications / Fibre Optic</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{comms_quality}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{comms_comment}</w:t>
            </w:r>
          </w:p>
        </w:tc>
      </w:tr>
      <w:tr>
        <w:tc>
          <w:tcPr>
            <w:tcW w:w="3400" w:type="dxa"/>
            <w:shd w:val="clear" w:color="auto" w:fill="8EAADB"/>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Water</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{water_quality}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{water_comment}</w:t>
            </w:r>
          </w:p>
        </w:tc>
      </w:tr>
      <w:tr>
        <w:tc>
          <w:tcPr>
            <w:tcW w:w="3400" w:type="dxa"/>
            <w:shd w:val="clear" w:color="auto" w:fill="FBE4D5"/>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Sewer</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{sewer_quality}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{sewer_comment}</w:t>
            </w:r>
          </w:p>
        </w:tc>
      </w:tr>
      <w:tr>
        <w:tc>
          <w:tcPr>
            <w:tcW w:w="3400" w:type="dxa"/>
            <w:shd w:val="clear" w:color="auto" w:fill="92D050"/>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Stormwater</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{stormwater_quality}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{stormwater_comment}</w:t>
            </w:r>
          </w:p>
        </w:tc>
      </w:tr>
      <w:tr>
        <w:tc>
          <w:tcPr>
            <w:tcW w:w="3400" w:type="dxa"/>
            <w:shd w:val="clear" w:color="auto" w:fill="D777C5"/>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Recycled Water</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{recycled_quality}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{recycled_comment}</w:t>
            </w:r>
          </w:p>
        </w:tc>
      </w:tr>
      <w:tr>
        <w:tc>
          <w:tcPr>
            <w:tcW w:w="3400" w:type="dxa"/>
            <w:shd w:val="clear" w:color="auto" w:fill="FF3399"/>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Unknown Service</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{unknown_quality}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{unknown_comment}</w:t>
            </w:r>
          </w:p>
        </w:tc>
      </w:tr>
      <w:tr>
        <w:tc>
          <w:tcPr>
            <w:tcW w:w="3400" w:type="dxa"/>
            <w:shd w:val="clear" w:color="auto" w:fill="FFFF00"/>
            <w:tcMar>
              <w:top w:w="40" w:type="dxa"/>
              <w:left w:w="110" w:type="dxa"/>
              <w:bottom w:w="40" w:type="dxa"/>
              <w:right w:w="110" w:type="dxa"/>
            </w:tcMar>
            <w:vAlign w:val="center"/>
          </w:tcPr>
          <w:p>
            <w:pPr>
              <w:spacing w:after="0" w:line="252" w:lineRule="auto"/>
              <w:rPr>
                <w:sz w:val="20"/>
                <w:szCs w:val="20"/>
                <w:b/>
                <w:color w:val="000000"/>
              </w:rPr>
            </w:pPr>
            <w:r>
              <w:rPr>
                <w:sz w:val="20"/>
                <w:szCs w:val="20"/>
                <w:b/>
                <w:color w:val="000000"/>
              </w:rPr>
              <w:t xml:space="preserve">Earth Grid (Substation)</w:t>
            </w:r>
          </w:p>
        </w:tc>
        <w:tc>
          <w:tcPr>
            <w:tcW w:w="1700" w:type="dxa"/>
            <w:tcMar>
              <w:top w:w="40" w:type="dxa"/>
              <w:left w:w="110" w:type="dxa"/>
              <w:bottom w:w="40" w:type="dxa"/>
              <w:right w:w="110" w:type="dxa"/>
            </w:tcMar>
            <w:vAlign w:val="center"/>
          </w:tcPr>
          <w:p>
            <w:pPr>
              <w:spacing w:after="0" w:line="252" w:lineRule="auto"/>
              <w:jc w:val="center"/>
              <w:rPr>
                <w:sz w:val="20"/>
                <w:szCs w:val="20"/>
                <w:color w:val="130C0E"/>
              </w:rPr>
            </w:pPr>
            <w:r>
              <w:rPr>
                <w:sz w:val="20"/>
                <w:szCs w:val="20"/>
                <w:color w:val="130C0E"/>
              </w:rPr>
              <w:t xml:space="preserve">{earth_quality}</w:t>
            </w:r>
          </w:p>
        </w:tc>
        <w:tc>
          <w:tcPr>
            <w:tcW w:w="49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{earth_comment}</w:t>
            </w:r>
          </w:p>
        </w:tc>
      </w:tr>
    </w:tbl>
    <w:p>
      <w:pPr>
        <w:pBdr>
          <w:left w:val="single" w:sz="36" w:space="8" w:color="FFC20E"/>
        </w:pBdr>
        <w:spacing w:before="220" w:after="90"/>
        <w:rPr>
          <w:sz w:val="24"/>
          <w:szCs w:val="24"/>
          <w:b/>
          <w:color w:val="130C0E"/>
        </w:rPr>
      </w:pPr>
      <w:r>
        <w:rPr>
          <w:sz w:val="24"/>
          <w:szCs w:val="24"/>
          <w:b/>
          <w:color w:val="130C0E"/>
        </w:rPr>
        <w:t xml:space="preserve">Comments</w:t>
      </w:r>
    </w:p>
    <w:p>
      <w:pPr>
        <w:spacing w:after="0" w:line="252" w:lineRule="auto"/>
        <w:rPr>
          <w:sz w:val="20"/>
          <w:szCs w:val="20"/>
          <w:color w:val="130C0E"/>
        </w:rPr>
      </w:pPr>
      <w:r>
        <w:rPr>
          <w:sz w:val="20"/>
          <w:szCs w:val="20"/>
          <w:color w:val="130C0E"/>
        </w:rPr>
        <w:t xml:space="preserve">{comments}</w:t>
      </w:r>
    </w:p>
    <w:p>
      <w:pPr>
        <w:spacing w:before="160"/>
      </w:pPr>
      <w:r>
        <w:t>{#hasSignoff}</w:t>
      </w:r>
    </w:p>
    <w:p>
      <w:pPr>
        <w:spacing w:after="0" w:line="252" w:lineRule="auto"/>
        <w:rPr>
          <w:sz w:val="18"/>
          <w:szCs w:val="18"/>
          <w:b/>
          <w:color w:val="666666"/>
        </w:rPr>
      </w:pPr>
      <w:r>
        <w:rPr>
          <w:sz w:val="18"/>
          <w:szCs w:val="18"/>
          <w:b/>
          <w:color w:val="666666"/>
        </w:rPr>
        <w:t xml:space="preserve">Located and reported by</w:t>
      </w:r>
    </w:p>
    <w:p>
      <w:pPr>
        <w:spacing w:after="0"/>
      </w:pPr>
      <w:r>
        <w:t xml:space="preserve">{%signature}</w:t>
      </w:r>
    </w:p>
    <w:p>
      <w:pPr>
        <w:spacing w:after="0" w:line="252" w:lineRule="auto"/>
        <w:rPr>
          <w:sz w:val="22"/>
          <w:szCs w:val="22"/>
          <w:b/>
          <w:color w:val="130C0E"/>
        </w:rPr>
      </w:pPr>
      <w:r>
        <w:rPr>
          <w:sz w:val="22"/>
          <w:szCs w:val="22"/>
          <w:b/>
          <w:color w:val="130C0E"/>
        </w:rPr>
        <w:t xml:space="preserve">{signName}</w:t>
      </w:r>
    </w:p>
    <w:p>
      <w:pPr>
        <w:spacing w:after="0" w:line="252" w:lineRule="auto"/>
        <w:rPr>
          <w:sz w:val="18"/>
          <w:szCs w:val="18"/>
          <w:color w:val="444444"/>
        </w:rPr>
      </w:pPr>
      <w:r>
        <w:rPr>
          <w:sz w:val="18"/>
          <w:szCs w:val="18"/>
          <w:color w:val="444444"/>
        </w:rPr>
        <w:t xml:space="preserve">{signMeta}</w:t>
      </w:r>
    </w:p>
    <w:p>
      <w:pPr>
        <w:spacing w:after="0"/>
      </w:pPr>
      <w:r>
        <w:t>{/hasSignoff}</w:t>
      </w:r>
    </w:p>
    <w:p>
      <w:pPr>
        <w:pageBreakBefore/>
        <w:pBdr>
          <w:left w:val="single" w:sz="36" w:space="8" w:color="FFC20E"/>
        </w:pBdr>
        <w:spacing w:before="220" w:after="90"/>
        <w:rPr>
          <w:sz w:val="24"/>
          <w:szCs w:val="24"/>
          <w:b/>
          <w:color w:val="130C0E"/>
        </w:rPr>
      </w:pPr>
      <w:r>
        <w:rPr>
          <w:sz w:val="24"/>
          <w:szCs w:val="24"/>
          <w:b/>
          <w:color w:val="130C0E"/>
        </w:rPr>
        <w:t xml:space="preserve">Utility legend — DIT specification</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1900"/>
        <w:gridCol w:w="8186"/>
      </w:tblGrid>
      <w:tr>
        <w:tc>
          <w:tcPr>
            <w:tcW w:w="1900" w:type="dxa"/>
            <w:shd w:val="clear" w:color="auto" w:fill="F6E84F"/>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G, GM, GS</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Gas</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T</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Telstra</w:t>
            </w:r>
          </w:p>
        </w:tc>
      </w:tr>
      <w:tr>
        <w:tc>
          <w:tcPr>
            <w:tcW w:w="1900" w:type="dxa"/>
            <w:shd w:val="clear" w:color="auto" w:fill="F4B183"/>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HV, LV, E</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Electricity (LV and HV)</w:t>
            </w:r>
          </w:p>
        </w:tc>
      </w:tr>
      <w:tr>
        <w:tc>
          <w:tcPr>
            <w:tcW w:w="1900" w:type="dxa"/>
            <w:shd w:val="clear" w:color="auto" w:fill="FFFFFF"/>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COMMS, OF</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Communications / Fibre Optic</w:t>
            </w:r>
          </w:p>
        </w:tc>
      </w:tr>
      <w:tr>
        <w:tc>
          <w:tcPr>
            <w:tcW w:w="1900" w:type="dxa"/>
            <w:shd w:val="clear" w:color="auto" w:fill="8EAADB"/>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WS, WM, W</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Water</w:t>
            </w:r>
          </w:p>
        </w:tc>
      </w:tr>
      <w:tr>
        <w:tc>
          <w:tcPr>
            <w:tcW w:w="1900" w:type="dxa"/>
            <w:shd w:val="clear" w:color="auto" w:fill="FBE4D5"/>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SWR</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Sewer</w:t>
            </w:r>
          </w:p>
        </w:tc>
      </w:tr>
      <w:tr>
        <w:tc>
          <w:tcPr>
            <w:tcW w:w="1900" w:type="dxa"/>
            <w:shd w:val="clear" w:color="auto" w:fill="92D05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STW</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Stormwater</w:t>
            </w:r>
          </w:p>
        </w:tc>
      </w:tr>
      <w:tr>
        <w:tc>
          <w:tcPr>
            <w:tcW w:w="1900" w:type="dxa"/>
            <w:shd w:val="clear" w:color="auto" w:fill="D777C5"/>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RW</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Recycled Water</w:t>
            </w:r>
          </w:p>
        </w:tc>
      </w:tr>
      <w:tr>
        <w:tc>
          <w:tcPr>
            <w:tcW w:w="1900" w:type="dxa"/>
            <w:shd w:val="clear" w:color="auto" w:fill="FF3399"/>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UK</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Unknown Service</w:t>
            </w:r>
          </w:p>
        </w:tc>
      </w:tr>
      <w:tr>
        <w:tc>
          <w:tcPr>
            <w:tcW w:w="1900" w:type="dxa"/>
            <w:shd w:val="clear" w:color="auto" w:fill="FFFF00"/>
            <w:tcMar>
              <w:top w:w="40" w:type="dxa"/>
              <w:left w:w="110" w:type="dxa"/>
              <w:bottom w:w="40" w:type="dxa"/>
              <w:right w:w="110" w:type="dxa"/>
            </w:tcMar>
            <w:vAlign w:val="center"/>
          </w:tcPr>
          <w:p>
            <w:pPr>
              <w:spacing w:after="0" w:line="252" w:lineRule="auto"/>
              <w:jc w:val="center"/>
              <w:rPr>
                <w:sz w:val="20"/>
                <w:szCs w:val="20"/>
                <w:b/>
                <w:color w:val="000000"/>
              </w:rPr>
            </w:pPr>
            <w:r>
              <w:rPr>
                <w:sz w:val="20"/>
                <w:szCs w:val="20"/>
                <w:b/>
                <w:color w:val="000000"/>
              </w:rPr>
              <w:t xml:space="preserve">EG</w:t>
            </w:r>
          </w:p>
        </w:tc>
        <w:tc>
          <w:tcPr>
            <w:tcW w:w="8186"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Earth Grid (Substation)</w:t>
            </w:r>
          </w:p>
        </w:tc>
      </w:tr>
    </w:tbl>
    <w:p>
      <w:pPr>
        <w:pBdr>
          <w:left w:val="single" w:sz="36" w:space="8" w:color="FFC20E"/>
        </w:pBdr>
        <w:spacing w:before="220" w:after="90"/>
        <w:rPr>
          <w:sz w:val="24"/>
          <w:szCs w:val="24"/>
          <w:b/>
          <w:color w:val="130C0E"/>
        </w:rPr>
      </w:pPr>
      <w:r>
        <w:rPr>
          <w:sz w:val="24"/>
          <w:szCs w:val="24"/>
          <w:b/>
          <w:color w:val="130C0E"/>
        </w:rPr>
        <w:t xml:space="preserve">Quality levels explained (AS 5488.1:2022)</w:t>
      </w:r>
    </w:p>
    <w:p>
      <w:pPr>
        <w:spacing w:after="0" w:line="252" w:lineRule="auto"/>
        <w:rPr>
          <w:sz w:val="21"/>
          <w:szCs w:val="21"/>
          <w:b/>
          <w:color w:val="130C0E"/>
        </w:rPr>
      </w:pPr>
      <w:r>
        <w:rPr>
          <w:sz w:val="21"/>
          <w:szCs w:val="21"/>
          <w:b/>
          <w:color w:val="130C0E"/>
        </w:rPr>
        <w:t xml:space="preserve">Quality Level A (QL-A)</w:t>
      </w:r>
    </w:p>
    <w:p>
      <w:pPr>
        <w:spacing w:after="0" w:line="252" w:lineRule="auto"/>
        <w:rPr>
          <w:sz w:val="19"/>
          <w:szCs w:val="19"/>
          <w:color w:val="333333"/>
        </w:rPr>
      </w:pPr>
      <w:r>
        <w:rPr>
          <w:sz w:val="19"/>
          <w:szCs w:val="19"/>
          <w:color w:val="333333"/>
        </w:rPr>
        <w:t xml:space="preserve">Is the highest Quality level accuracy and consists of positive identification of the attribute and location of a subsurface position in three dimensions. It is the only Quality level that defines a subsurface utility has been validated with additional attribute information (e.g. size, material, depth).</w:t>
      </w:r>
    </w:p>
    <w:p>
      <w:pPr>
        <w:spacing w:after="0" w:line="252" w:lineRule="auto"/>
        <w:rPr>
          <w:sz w:val="21"/>
          <w:szCs w:val="21"/>
          <w:b/>
          <w:color w:val="130C0E"/>
        </w:rPr>
      </w:pPr>
      <w:r>
        <w:rPr>
          <w:sz w:val="21"/>
          <w:szCs w:val="21"/>
          <w:b/>
          <w:color w:val="130C0E"/>
        </w:rPr>
        <w:t xml:space="preserve">Quality Level B (QL-B)</w:t>
      </w:r>
    </w:p>
    <w:p>
      <w:pPr>
        <w:spacing w:after="0" w:line="252" w:lineRule="auto"/>
        <w:rPr>
          <w:sz w:val="19"/>
          <w:szCs w:val="19"/>
          <w:color w:val="333333"/>
        </w:rPr>
      </w:pPr>
      <w:r>
        <w:rPr>
          <w:sz w:val="19"/>
          <w:szCs w:val="19"/>
          <w:color w:val="333333"/>
        </w:rPr>
        <w:t xml:space="preserve">A Quality level that provides relative spatial position of the subsurface utility that has been located in three dimensions (horizontal +/- 300mm and vertical +/- 500mm) by tracing with EMI. Tracing has been achieved by applying an electromagnetic signal along or within the utility and traced to a known or visible end point.</w:t>
      </w:r>
    </w:p>
    <w:p>
      <w:pPr>
        <w:spacing w:after="0" w:line="252" w:lineRule="auto"/>
        <w:rPr>
          <w:sz w:val="21"/>
          <w:szCs w:val="21"/>
          <w:b/>
          <w:color w:val="130C0E"/>
        </w:rPr>
      </w:pPr>
      <w:r>
        <w:rPr>
          <w:sz w:val="21"/>
          <w:szCs w:val="21"/>
          <w:b/>
          <w:color w:val="130C0E"/>
        </w:rPr>
        <w:t xml:space="preserve">Quality Level C (QL-C)</w:t>
      </w:r>
    </w:p>
    <w:p>
      <w:pPr>
        <w:spacing w:after="0" w:line="252" w:lineRule="auto"/>
        <w:rPr>
          <w:sz w:val="19"/>
          <w:szCs w:val="19"/>
          <w:color w:val="333333"/>
        </w:rPr>
      </w:pPr>
      <w:r>
        <w:rPr>
          <w:sz w:val="19"/>
          <w:szCs w:val="19"/>
          <w:color w:val="333333"/>
        </w:rPr>
        <w:t xml:space="preserve">Surface feature correlation or an interpretation of the approximate location and attributes of a subsurface utility asset using a combination of existing records and a site survey of visible surface features such as marker plates or utility lids. GPR can be used to improve and refine the relative spatial position of a QL-C alignment.</w:t>
      </w:r>
    </w:p>
    <w:p>
      <w:pPr>
        <w:spacing w:after="0" w:line="252" w:lineRule="auto"/>
        <w:rPr>
          <w:sz w:val="21"/>
          <w:szCs w:val="21"/>
          <w:b/>
          <w:color w:val="130C0E"/>
        </w:rPr>
      </w:pPr>
      <w:r>
        <w:rPr>
          <w:sz w:val="21"/>
          <w:szCs w:val="21"/>
          <w:b/>
          <w:color w:val="130C0E"/>
        </w:rPr>
        <w:t xml:space="preserve">Quality Level D (QL-D)</w:t>
      </w:r>
    </w:p>
    <w:p>
      <w:pPr>
        <w:spacing w:after="0" w:line="252" w:lineRule="auto"/>
        <w:rPr>
          <w:sz w:val="19"/>
          <w:szCs w:val="19"/>
          <w:color w:val="333333"/>
        </w:rPr>
      </w:pPr>
      <w:r>
        <w:rPr>
          <w:sz w:val="19"/>
          <w:szCs w:val="19"/>
          <w:color w:val="333333"/>
        </w:rPr>
        <w:t xml:space="preserve">Lowest of the four levels. This information can be gathered from existing Before-You-Dig plans, other available existing records and site plans, however it has not been possible to accurately locate these subsurface utilities using electromagnetic or GPR techniques within the tolerances set out in AS 5488.1:2022.</w:t>
      </w:r>
    </w:p>
    <w:p>
      <w:pPr>
        <w:spacing w:after="0"/>
      </w:pPr>
      <w:r>
        <w:t>{#photos}</w:t>
      </w:r>
    </w:p>
    <w:p>
      <w:pPr>
        <w:pageBreakBefore/>
        <w:pBdr>
          <w:left w:val="single" w:sz="36" w:space="8" w:color="FFC20E"/>
        </w:pBdr>
        <w:spacing w:before="40" w:after="120"/>
        <w:rPr>
          <w:sz w:val="28"/>
          <w:szCs w:val="28"/>
          <w:b/>
          <w:color w:val="130C0E"/>
        </w:rPr>
      </w:pPr>
      <w:r>
        <w:t>Photo </w:t>
      </w:r>
      <w:r>
        <w:t>{num}</w:t>
      </w:r>
    </w:p>
    <w:p>
      <w:pPr>
        <w:spacing w:after="120"/>
        <w:jc w:val="center"/>
      </w:pPr>
      <w:r>
        <w:t xml:space="preserve">{%photo}</w:t>
      </w:r>
    </w:p>
    <w:p>
      <w:pPr>
        <w:spacing w:after="0"/>
      </w:pPr>
      <w:r>
        <w:t>{#hasPotholes}</w:t>
      </w:r>
    </w:p>
    <w:p>
      <w:pPr>
        <w:spacing w:after="0" w:line="252" w:lineRule="auto"/>
        <w:rPr>
          <w:sz w:val="22"/>
          <w:szCs w:val="22"/>
          <w:b/>
          <w:color w:val="130C0E"/>
        </w:rPr>
      </w:pPr>
      <w:r>
        <w:rPr>
          <w:sz w:val="22"/>
          <w:szCs w:val="22"/>
          <w:b/>
          <w:color w:val="130C0E"/>
        </w:rPr>
        <w:t xml:space="preserve">Potholes</w:t>
      </w:r>
    </w:p>
    <w:tbl>
      <w:tblPr>
        <w:tblW w:w="10086" w:type="dxa"/>
        <w:jc w:val="left"/>
        <w:tblInd w:w="0" w:type="dxa"/>
      </w:tblPr>
      <w:tblGrid>
        <w:gridCol w:w="2017"/>
        <w:gridCol w:w="2017"/>
        <w:gridCol w:w="2017"/>
        <w:gridCol w:w="2017"/>
        <w:gridCol w:w="2018"/>
      </w:tblGrid>
      <w:tr>
        <w:tc>
          <w:tcPr>
            <w:tcW w:w="2017" w:type="dxa"/>
            <w:tcMar>
              <w:top w:w="40" w:type="dxa"/>
              <w:left w:w="110" w:type="dxa"/>
              <w:bottom w:w="40" w:type="dxa"/>
              <w:right w:w="110" w:type="dxa"/>
            </w:tcMar>
            <w:vAlign w:val="center"/>
          </w:tcPr>
          <w:p>
            <w:pPr>
              <w:spacing w:before="40" w:after="20"/>
              <w:jc w:val="center"/>
            </w:pPr>
            <w:r>
              <w:t>{#potholeRows}</w:t>
            </w:r>
            <w:r>
              <w:t xml:space="preserve">{%c0img}</w:t>
            </w:r>
          </w:p>
          <w:p>
            <w:pPr>
              <w:spacing w:after="60"/>
              <w:jc w:val="center"/>
              <w:rPr>
                <w:sz w:val="18"/>
                <w:szCs w:val="18"/>
                <w:b/>
                <w:color w:val="130C0E"/>
              </w:rPr>
            </w:pPr>
            <w:r>
              <w:rPr>
                <w:sz w:val="18"/>
                <w:szCs w:val="18"/>
                <w:b/>
                <w:color w:val="130C0E"/>
              </w:rPr>
              <w:t xml:space="preserve">{c0label}</w:t>
            </w:r>
          </w:p>
        </w:tc>
        <w:tc>
          <w:tcPr>
            <w:tcW w:w="2017" w:type="dxa"/>
            <w:tcMar>
              <w:top w:w="40" w:type="dxa"/>
              <w:left w:w="110" w:type="dxa"/>
              <w:bottom w:w="40" w:type="dxa"/>
              <w:right w:w="110" w:type="dxa"/>
            </w:tcMar>
            <w:vAlign w:val="center"/>
          </w:tcPr>
          <w:p>
            <w:pPr>
              <w:spacing w:before="40" w:after="20"/>
              <w:jc w:val="center"/>
            </w:pPr>
            <w:r>
              <w:t xml:space="preserve">{%c1img}</w:t>
            </w:r>
          </w:p>
          <w:p>
            <w:pPr>
              <w:spacing w:after="60"/>
              <w:jc w:val="center"/>
              <w:rPr>
                <w:sz w:val="18"/>
                <w:szCs w:val="18"/>
                <w:b/>
                <w:color w:val="130C0E"/>
              </w:rPr>
            </w:pPr>
            <w:r>
              <w:rPr>
                <w:sz w:val="18"/>
                <w:szCs w:val="18"/>
                <w:b/>
                <w:color w:val="130C0E"/>
              </w:rPr>
              <w:t xml:space="preserve">{c1label}</w:t>
            </w:r>
          </w:p>
        </w:tc>
        <w:tc>
          <w:tcPr>
            <w:tcW w:w="2017" w:type="dxa"/>
            <w:tcMar>
              <w:top w:w="40" w:type="dxa"/>
              <w:left w:w="110" w:type="dxa"/>
              <w:bottom w:w="40" w:type="dxa"/>
              <w:right w:w="110" w:type="dxa"/>
            </w:tcMar>
            <w:vAlign w:val="center"/>
          </w:tcPr>
          <w:p>
            <w:pPr>
              <w:spacing w:before="40" w:after="20"/>
              <w:jc w:val="center"/>
            </w:pPr>
            <w:r>
              <w:t xml:space="preserve">{%c2img}</w:t>
            </w:r>
          </w:p>
          <w:p>
            <w:pPr>
              <w:spacing w:after="60"/>
              <w:jc w:val="center"/>
              <w:rPr>
                <w:sz w:val="18"/>
                <w:szCs w:val="18"/>
                <w:b/>
                <w:color w:val="130C0E"/>
              </w:rPr>
            </w:pPr>
            <w:r>
              <w:rPr>
                <w:sz w:val="18"/>
                <w:szCs w:val="18"/>
                <w:b/>
                <w:color w:val="130C0E"/>
              </w:rPr>
              <w:t xml:space="preserve">{c2label}</w:t>
            </w:r>
          </w:p>
        </w:tc>
        <w:tc>
          <w:tcPr>
            <w:tcW w:w="2017" w:type="dxa"/>
            <w:tcMar>
              <w:top w:w="40" w:type="dxa"/>
              <w:left w:w="110" w:type="dxa"/>
              <w:bottom w:w="40" w:type="dxa"/>
              <w:right w:w="110" w:type="dxa"/>
            </w:tcMar>
            <w:vAlign w:val="center"/>
          </w:tcPr>
          <w:p>
            <w:pPr>
              <w:spacing w:before="40" w:after="20"/>
              <w:jc w:val="center"/>
            </w:pPr>
            <w:r>
              <w:t xml:space="preserve">{%c3img}</w:t>
            </w:r>
          </w:p>
          <w:p>
            <w:pPr>
              <w:spacing w:after="60"/>
              <w:jc w:val="center"/>
              <w:rPr>
                <w:sz w:val="18"/>
                <w:szCs w:val="18"/>
                <w:b/>
                <w:color w:val="130C0E"/>
              </w:rPr>
            </w:pPr>
            <w:r>
              <w:rPr>
                <w:sz w:val="18"/>
                <w:szCs w:val="18"/>
                <w:b/>
                <w:color w:val="130C0E"/>
              </w:rPr>
              <w:t xml:space="preserve">{c3label}</w:t>
            </w:r>
          </w:p>
        </w:tc>
        <w:tc>
          <w:tcPr>
            <w:tcW w:w="2018" w:type="dxa"/>
            <w:tcMar>
              <w:top w:w="40" w:type="dxa"/>
              <w:left w:w="110" w:type="dxa"/>
              <w:bottom w:w="40" w:type="dxa"/>
              <w:right w:w="110" w:type="dxa"/>
            </w:tcMar>
            <w:vAlign w:val="center"/>
          </w:tcPr>
          <w:p>
            <w:pPr>
              <w:spacing w:before="40" w:after="20"/>
              <w:jc w:val="center"/>
            </w:pPr>
            <w:r>
              <w:t xml:space="preserve">{%c4img}</w:t>
            </w:r>
          </w:p>
          <w:p>
            <w:pPr>
              <w:spacing w:after="60"/>
              <w:jc w:val="center"/>
              <w:rPr>
                <w:sz w:val="18"/>
                <w:szCs w:val="18"/>
                <w:b/>
                <w:color w:val="130C0E"/>
              </w:rPr>
            </w:pPr>
            <w:r>
              <w:rPr>
                <w:sz w:val="18"/>
                <w:szCs w:val="18"/>
                <w:b/>
                <w:color w:val="130C0E"/>
              </w:rPr>
              <w:t xml:space="preserve">{c4label}</w:t>
            </w:r>
            <w:r>
              <w:t>{/potholeRows}</w:t>
            </w:r>
          </w:p>
        </w:tc>
      </w:tr>
    </w:tbl>
    <w:p>
      <w:pPr>
        <w:spacing w:after="0"/>
      </w:pPr>
      <w:r>
        <w:t>{/hasPotholes}</w:t>
      </w:r>
    </w:p>
    <w:p>
      <w:pPr>
        <w:pBdr>
          <w:left w:val="single" w:sz="36" w:space="8" w:color="FFC20E"/>
        </w:pBdr>
        <w:spacing w:before="220" w:after="90"/>
        <w:rPr>
          <w:sz w:val="24"/>
          <w:szCs w:val="24"/>
          <w:b/>
          <w:color w:val="130C0E"/>
        </w:rPr>
      </w:pPr>
      <w:r>
        <w:rPr>
          <w:sz w:val="24"/>
          <w:szCs w:val="24"/>
          <w:b/>
          <w:color w:val="130C0E"/>
        </w:rPr>
        <w:t xml:space="preserve">Abbreviations</w:t>
      </w:r>
    </w:p>
    <w:tbl>
      <w:tblPr>
        <w:tblW w:w="10086" w:type="dxa"/>
        <w:jc w:val="left"/>
        <w:tblInd w:w="0" w:type="dxa"/>
        <w:tblBorders>
          <w:top w:val="single" w:sz="4" w:space="0" w:color="E6E3DD"/>
          <w:left w:val="single" w:sz="4" w:space="0" w:color="E6E3DD"/>
          <w:bottom w:val="single" w:sz="4" w:space="0" w:color="E6E3DD"/>
          <w:right w:val="single" w:sz="4" w:space="0" w:color="E6E3DD"/>
          <w:insideH w:val="single" w:sz="4" w:space="0" w:color="E6E3DD"/>
          <w:insideV w:val="single" w:sz="4" w:space="0" w:color="E6E3DD"/>
        </w:tblBorders>
      </w:tblPr>
      <w:tblGrid>
        <w:gridCol w:w="5043"/>
        <w:gridCol w:w="5043"/>
      </w:tblGrid>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0.6d = 0.6 metres deep</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Inv = 0.6 metres to invert of pipe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0.6 TOP = 0.6 metres to top of pipe</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UTT = Unable to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UTO = Unable to Open</w:t>
            </w:r>
          </w:p>
        </w:tc>
        <w:tc>
          <w:tcPr>
            <w:tcW w:w="5043" w:type="dxa"/>
            <w:shd w:val="clear" w:color="auto" w:fill="FBF6E9"/>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EOT = End of Trace</w:t>
            </w:r>
          </w:p>
        </w:tc>
      </w:tr>
      <w:tr>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NDD = Non Destructive Digging</w:t>
            </w:r>
          </w:p>
        </w:tc>
        <w:tc>
          <w:tcPr>
            <w:tcW w:w="5043" w:type="dxa"/>
            <w:tcMar>
              <w:top w:w="40" w:type="dxa"/>
              <w:left w:w="110" w:type="dxa"/>
              <w:bottom w:w="40" w:type="dxa"/>
              <w:right w:w="110" w:type="dxa"/>
            </w:tcMar>
            <w:vAlign w:val="center"/>
          </w:tcPr>
          <w:p>
            <w:pPr>
              <w:spacing w:after="0" w:line="252" w:lineRule="auto"/>
              <w:rPr>
                <w:sz w:val="20"/>
                <w:szCs w:val="20"/>
                <w:color w:val="130C0E"/>
              </w:rPr>
            </w:pPr>
            <w:r>
              <w:rPr>
                <w:sz w:val="20"/>
                <w:szCs w:val="20"/>
                <w:color w:val="130C0E"/>
              </w:rPr>
              <w:t xml:space="preserve"/>
            </w:r>
          </w:p>
        </w:tc>
      </w:tr>
    </w:tbl>
    <w:p>
      <w:pPr>
        <w:spacing w:after="0" w:line="252" w:lineRule="auto"/>
        <w:rPr>
          <w:sz w:val="17"/>
          <w:szCs w:val="17"/>
          <w:i/>
          <w:color w:val="666666"/>
        </w:rPr>
      </w:pPr>
      <w:r>
        <w:rPr>
          <w:sz w:val="17"/>
          <w:szCs w:val="17"/>
          <w:i/>
          <w:color w:val="666666"/>
        </w:rPr>
        <w:t xml:space="preserve">All subsurface utilities shown in this photo report should be treated as indicative only; it is strongly recommended that all utilities are potholed prior to any works commencing.</w:t>
      </w:r>
    </w:p>
    <w:p>
      <w:pPr>
        <w:spacing w:after="0"/>
      </w:pPr>
      <w:r>
        <w:t>{/photos}</w:t>
      </w:r>
    </w:p>
    <w:p>
      <w:pPr>
        <w:pageBreakBefore/>
        <w:pBdr>
          <w:left w:val="single" w:sz="36" w:space="8" w:color="FFC20E"/>
        </w:pBdr>
        <w:spacing w:before="220" w:after="90"/>
        <w:rPr>
          <w:sz w:val="24"/>
          <w:szCs w:val="24"/>
          <w:b/>
          <w:color w:val="130C0E"/>
        </w:rPr>
      </w:pPr>
      <w:r>
        <w:rPr>
          <w:sz w:val="24"/>
          <w:szCs w:val="24"/>
          <w:b/>
          <w:color w:val="130C0E"/>
        </w:rPr>
        <w:t xml:space="preserve">Service location quality</w:t>
      </w:r>
    </w:p>
    <w:p>
      <w:pPr>
        <w:spacing w:after="0" w:line="252" w:lineRule="auto"/>
        <w:rPr>
          <w:sz w:val="21"/>
          <w:szCs w:val="21"/>
          <w:b/>
          <w:color w:val="130C0E"/>
        </w:rPr>
      </w:pPr>
      <w:r>
        <w:rPr>
          <w:sz w:val="21"/>
          <w:szCs w:val="21"/>
          <w:b/>
          <w:color w:val="130C0E"/>
        </w:rPr>
        <w:t xml:space="preserve">(Category A) Direct Services Location</w:t>
      </w:r>
    </w:p>
    <w:p>
      <w:pPr>
        <w:spacing w:after="60" w:line="252" w:lineRule="auto"/>
        <w:ind w:left="360" w:hanging="220"/>
        <w:rPr>
          <w:sz w:val="19"/>
          <w:szCs w:val="19"/>
          <w:color w:val="333333"/>
        </w:rPr>
      </w:pPr>
      <w:r>
        <w:rPr>
          <w:sz w:val="19"/>
          <w:szCs w:val="19"/>
          <w:color w:val="333333"/>
        </w:rPr>
        <w:t xml:space="preserve">•  Direct Service location is the highest accuracy order of service location. It refers to services which are openly visible and can be surveyed by direct measurement to the object.</w:t>
      </w:r>
    </w:p>
    <w:p>
      <w:pPr>
        <w:spacing w:after="60" w:line="252" w:lineRule="auto"/>
        <w:ind w:left="360" w:hanging="220"/>
        <w:rPr>
          <w:sz w:val="19"/>
          <w:szCs w:val="19"/>
          <w:color w:val="333333"/>
        </w:rPr>
      </w:pPr>
      <w:r>
        <w:rPr>
          <w:sz w:val="19"/>
          <w:szCs w:val="19"/>
          <w:color w:val="333333"/>
        </w:rPr>
        <w:t xml:space="preserve">•  Examples include: exposed pipes, open cable trenches and exposed drainage where invert/obvert measurement is possible.</w:t>
      </w:r>
    </w:p>
    <w:p>
      <w:pPr>
        <w:spacing w:after="0" w:line="252" w:lineRule="auto"/>
        <w:rPr>
          <w:sz w:val="21"/>
          <w:szCs w:val="21"/>
          <w:b/>
          <w:color w:val="130C0E"/>
        </w:rPr>
      </w:pPr>
      <w:r>
        <w:rPr>
          <w:sz w:val="21"/>
          <w:szCs w:val="21"/>
          <w:b/>
          <w:color w:val="130C0E"/>
        </w:rPr>
        <w:t xml:space="preserve">(Category B) Active Services Location</w:t>
      </w:r>
    </w:p>
    <w:p>
      <w:pPr>
        <w:spacing w:after="60" w:line="252" w:lineRule="auto"/>
        <w:ind w:left="360" w:hanging="220"/>
        <w:rPr>
          <w:sz w:val="19"/>
          <w:szCs w:val="19"/>
          <w:color w:val="333333"/>
        </w:rPr>
      </w:pPr>
      <w:r>
        <w:rPr>
          <w:sz w:val="19"/>
          <w:szCs w:val="19"/>
          <w:color w:val="333333"/>
        </w:rPr>
        <w:t xml:space="preserve">•  Active Services are to be located using Location methods whereby services are traced using an electromagnetic signal emitted from the transmitter and received by the service detection device.</w:t>
      </w:r>
    </w:p>
    <w:p>
      <w:pPr>
        <w:spacing w:after="60" w:line="252" w:lineRule="auto"/>
        <w:ind w:left="360" w:hanging="220"/>
        <w:rPr>
          <w:sz w:val="19"/>
          <w:szCs w:val="19"/>
          <w:color w:val="333333"/>
        </w:rPr>
      </w:pPr>
      <w:r>
        <w:rPr>
          <w:sz w:val="19"/>
          <w:szCs w:val="19"/>
          <w:color w:val="333333"/>
        </w:rPr>
        <w:t xml:space="preserve">•  Examples of Active Location methods include using a Direct Connection or Induction Clamp. Readings are required to be marked on the ground surface.</w:t>
      </w:r>
    </w:p>
    <w:p>
      <w:pPr>
        <w:spacing w:after="60" w:line="252" w:lineRule="auto"/>
        <w:ind w:left="360" w:hanging="220"/>
        <w:rPr>
          <w:sz w:val="19"/>
          <w:szCs w:val="19"/>
          <w:color w:val="333333"/>
        </w:rPr>
      </w:pPr>
      <w:r>
        <w:rPr>
          <w:sz w:val="19"/>
          <w:szCs w:val="19"/>
          <w:color w:val="333333"/>
        </w:rPr>
        <w:t xml:space="preserve">•  Active Location methods are suitable for metal conduits, cables that are welded, soldered, or braided together or where a tracing wire/cathodic protection is present. This method is mandatory for rail services.</w:t>
      </w:r>
    </w:p>
    <w:p>
      <w:pPr>
        <w:spacing w:after="0" w:line="252" w:lineRule="auto"/>
        <w:rPr>
          <w:sz w:val="21"/>
          <w:szCs w:val="21"/>
          <w:b/>
          <w:color w:val="130C0E"/>
        </w:rPr>
      </w:pPr>
      <w:r>
        <w:rPr>
          <w:sz w:val="21"/>
          <w:szCs w:val="21"/>
          <w:b/>
          <w:color w:val="130C0E"/>
        </w:rPr>
        <w:t xml:space="preserve">(Category C) Passive Services Location</w:t>
      </w:r>
    </w:p>
    <w:p>
      <w:pPr>
        <w:spacing w:after="60" w:line="252" w:lineRule="auto"/>
        <w:ind w:left="360" w:hanging="220"/>
        <w:rPr>
          <w:sz w:val="19"/>
          <w:szCs w:val="19"/>
          <w:color w:val="333333"/>
        </w:rPr>
      </w:pPr>
      <w:r>
        <w:rPr>
          <w:sz w:val="19"/>
          <w:szCs w:val="19"/>
          <w:color w:val="333333"/>
        </w:rPr>
        <w:t xml:space="preserve">•  Passive Services Location uses passive methods which do not involve the use of an electromagnetic signal, transponders, or sondes. In this class the service detection device is used as a standalone.</w:t>
      </w:r>
    </w:p>
    <w:p>
      <w:pPr>
        <w:spacing w:after="60" w:line="252" w:lineRule="auto"/>
        <w:ind w:left="360" w:hanging="220"/>
        <w:rPr>
          <w:sz w:val="19"/>
          <w:szCs w:val="19"/>
          <w:color w:val="333333"/>
        </w:rPr>
      </w:pPr>
      <w:r>
        <w:rPr>
          <w:sz w:val="19"/>
          <w:szCs w:val="19"/>
          <w:color w:val="333333"/>
        </w:rPr>
        <w:t xml:space="preserve">•  Examples of Passive Service Location capture include radiolocation or GPR. These methods are commonly used for materials such as cast iron or steel pipes where active induction is not possible. Readings are required to be marked on the ground surface.</w:t>
      </w:r>
    </w:p>
    <w:p>
      <w:pPr>
        <w:spacing w:after="0" w:line="252" w:lineRule="auto"/>
        <w:rPr>
          <w:sz w:val="21"/>
          <w:szCs w:val="21"/>
          <w:b/>
          <w:color w:val="130C0E"/>
        </w:rPr>
      </w:pPr>
      <w:r>
        <w:rPr>
          <w:sz w:val="21"/>
          <w:szCs w:val="21"/>
          <w:b/>
          <w:color w:val="130C0E"/>
        </w:rPr>
        <w:t xml:space="preserve">(Category D) Unverified Services Location</w:t>
      </w:r>
    </w:p>
    <w:p>
      <w:pPr>
        <w:spacing w:after="60" w:line="252" w:lineRule="auto"/>
        <w:ind w:left="360" w:hanging="220"/>
        <w:rPr>
          <w:sz w:val="19"/>
          <w:szCs w:val="19"/>
          <w:color w:val="333333"/>
        </w:rPr>
      </w:pPr>
      <w:r>
        <w:rPr>
          <w:sz w:val="19"/>
          <w:szCs w:val="19"/>
          <w:color w:val="333333"/>
        </w:rPr>
        <w:t xml:space="preserve">•  Unverified Services are services that have been located without confirmation by any of the above-mentioned methods. Unverified Services can include service locations approximated from DBYD plans or by joining top stones. The resulting services will be determined as unverified services.</w:t>
      </w:r>
    </w:p>
    <w:p>
      <w:pPr>
        <w:spacing w:after="60" w:line="252" w:lineRule="auto"/>
        <w:ind w:left="360" w:hanging="220"/>
        <w:rPr>
          <w:sz w:val="19"/>
          <w:szCs w:val="19"/>
          <w:color w:val="333333"/>
        </w:rPr>
      </w:pPr>
      <w:r>
        <w:rPr>
          <w:sz w:val="19"/>
          <w:szCs w:val="19"/>
          <w:color w:val="333333"/>
        </w:rPr>
        <w:t xml:space="preserve">•  Unverified location methods are commonly used for materials such as plastic poly tubing, clay, concrete, or uninsulated/rubber jointed cast iron pipes where other methods are not possible.</w:t>
      </w:r>
    </w:p>
    <w:p>
      <w:pPr>
        <w:pBdr>
          <w:left w:val="single" w:sz="36" w:space="8" w:color="FFC20E"/>
        </w:pBdr>
        <w:spacing w:before="220" w:after="90"/>
        <w:rPr>
          <w:sz w:val="24"/>
          <w:szCs w:val="24"/>
          <w:b/>
          <w:color w:val="130C0E"/>
        </w:rPr>
      </w:pPr>
      <w:r>
        <w:rPr>
          <w:sz w:val="24"/>
          <w:szCs w:val="24"/>
          <w:b/>
          <w:color w:val="130C0E"/>
        </w:rPr>
        <w:t xml:space="preserve">Terms and conditions</w:t>
      </w:r>
    </w:p>
    <w:p>
      <w:pPr>
        <w:spacing w:after="0" w:line="252" w:lineRule="auto"/>
        <w:rPr>
          <w:sz w:val="20"/>
          <w:szCs w:val="20"/>
          <w:color w:val="130C0E"/>
        </w:rPr>
      </w:pPr>
      <w:r>
        <w:rPr>
          <w:sz w:val="20"/>
          <w:szCs w:val="20"/>
          <w:color w:val="130C0E"/>
        </w:rPr>
        <w:t xml:space="preserve">Engineering Surveys accepts no responsibility for damage occurring to Underground services, other than as a direct result of its negligence. All Engineering Surveys employees undertake regular Training and compliance with industry standards.</w:t>
      </w:r>
    </w:p>
    <w:p>
      <w:pPr>
        <w:spacing w:after="0" w:line="252" w:lineRule="auto"/>
        <w:rPr>
          <w:sz w:val="20"/>
          <w:szCs w:val="20"/>
          <w:b/>
          <w:color w:val="130C0E"/>
        </w:rPr>
      </w:pPr>
      <w:r>
        <w:rPr>
          <w:sz w:val="20"/>
          <w:szCs w:val="20"/>
          <w:b/>
          <w:color w:val="130C0E"/>
        </w:rPr>
        <w:t xml:space="preserve">Engineering Surveys will not accept responsibility for damage under the following:</w:t>
      </w:r>
    </w:p>
    <w:p>
      <w:pPr>
        <w:spacing w:after="60" w:line="252" w:lineRule="auto"/>
        <w:ind w:left="360" w:hanging="220"/>
        <w:rPr>
          <w:sz w:val="19"/>
          <w:szCs w:val="19"/>
          <w:color w:val="333333"/>
        </w:rPr>
      </w:pPr>
      <w:r>
        <w:rPr>
          <w:sz w:val="19"/>
          <w:szCs w:val="19"/>
          <w:color w:val="333333"/>
        </w:rPr>
        <w:t xml:space="preserve">•  Damage to any services outside the area designated by the client, as is the entire area in which work will be carried out, and/or</w:t>
      </w:r>
    </w:p>
    <w:p>
      <w:pPr>
        <w:spacing w:after="60" w:line="252" w:lineRule="auto"/>
        <w:ind w:left="360" w:hanging="220"/>
        <w:rPr>
          <w:sz w:val="19"/>
          <w:szCs w:val="19"/>
          <w:color w:val="333333"/>
        </w:rPr>
      </w:pPr>
      <w:r>
        <w:rPr>
          <w:sz w:val="19"/>
          <w:szCs w:val="19"/>
          <w:color w:val="333333"/>
        </w:rPr>
        <w:t xml:space="preserve">•  Damage to any service which has not been indicated, or incorrectly indicated on plans obtained through dial before you dig, or from any other source, and/or</w:t>
      </w:r>
    </w:p>
    <w:p>
      <w:pPr>
        <w:spacing w:after="60" w:line="252" w:lineRule="auto"/>
        <w:ind w:left="360" w:hanging="220"/>
        <w:rPr>
          <w:sz w:val="19"/>
          <w:szCs w:val="19"/>
          <w:color w:val="333333"/>
        </w:rPr>
      </w:pPr>
      <w:r>
        <w:rPr>
          <w:sz w:val="19"/>
          <w:szCs w:val="19"/>
          <w:color w:val="333333"/>
        </w:rPr>
        <w:t xml:space="preserve">•  Where the spray marker is no longer visible/legible, and/or</w:t>
      </w:r>
    </w:p>
    <w:p>
      <w:pPr>
        <w:spacing w:after="60" w:line="252" w:lineRule="auto"/>
        <w:ind w:left="360" w:hanging="220"/>
        <w:rPr>
          <w:sz w:val="19"/>
          <w:szCs w:val="19"/>
          <w:color w:val="333333"/>
        </w:rPr>
      </w:pPr>
      <w:r>
        <w:rPr>
          <w:sz w:val="19"/>
          <w:szCs w:val="19"/>
          <w:color w:val="333333"/>
        </w:rPr>
        <w:t xml:space="preserve">•  Failure by the client to physically expose (by non-destructive potholing methods) any marked services to confirm alignment and depth. Refer to affected asset owners ‘Duty of care’ for safe approach distance requirements, and/or</w:t>
      </w:r>
    </w:p>
    <w:p>
      <w:pPr>
        <w:spacing w:after="60" w:line="252" w:lineRule="auto"/>
        <w:ind w:left="360" w:hanging="220"/>
        <w:rPr>
          <w:sz w:val="19"/>
          <w:szCs w:val="19"/>
          <w:color w:val="333333"/>
        </w:rPr>
      </w:pPr>
      <w:r>
        <w:rPr>
          <w:sz w:val="19"/>
          <w:szCs w:val="19"/>
          <w:color w:val="333333"/>
        </w:rPr>
        <w:t xml:space="preserve">•  Non-conductive services are not detectable with equipment currently available. No responsibility is taken for any damage incurred to any non-conductive services (i.e. poly, pvc, concrete, and earthenware etc.), and/or</w:t>
      </w:r>
    </w:p>
    <w:p>
      <w:pPr>
        <w:spacing w:after="60" w:line="252" w:lineRule="auto"/>
        <w:ind w:left="360" w:hanging="220"/>
        <w:rPr>
          <w:sz w:val="19"/>
          <w:szCs w:val="19"/>
          <w:color w:val="333333"/>
        </w:rPr>
      </w:pPr>
      <w:r>
        <w:rPr>
          <w:sz w:val="19"/>
          <w:szCs w:val="19"/>
          <w:color w:val="333333"/>
        </w:rPr>
        <w:t xml:space="preserve">•  Where no visible signs or reasonable access to a conductive service is known, and/or</w:t>
      </w:r>
    </w:p>
    <w:p>
      <w:pPr>
        <w:spacing w:after="60" w:line="252" w:lineRule="auto"/>
        <w:ind w:left="360" w:hanging="220"/>
        <w:rPr>
          <w:sz w:val="19"/>
          <w:szCs w:val="19"/>
          <w:color w:val="333333"/>
        </w:rPr>
      </w:pPr>
      <w:r>
        <w:rPr>
          <w:sz w:val="19"/>
          <w:szCs w:val="19"/>
          <w:color w:val="333333"/>
        </w:rPr>
        <w:t xml:space="preserve">•  If conductive continuity is not maintained through the service being located.</w:t>
      </w:r>
    </w:p>
    <w:p>
      <w:pPr>
        <w:spacing w:after="60" w:line="252" w:lineRule="auto"/>
        <w:ind w:left="360" w:hanging="220"/>
        <w:rPr>
          <w:sz w:val="19"/>
          <w:szCs w:val="19"/>
          <w:color w:val="333333"/>
        </w:rPr>
      </w:pPr>
      <w:r>
        <w:rPr>
          <w:sz w:val="19"/>
          <w:szCs w:val="19"/>
          <w:color w:val="333333"/>
        </w:rPr>
        <w:t xml:space="preserve">•  Engineering Surveys accepts no responsibility for damage to services that have not been verified by ‘potholing’. In the event of damage to services:</w:t>
      </w:r>
    </w:p>
    <w:p>
      <w:pPr>
        <w:spacing w:after="60" w:line="252" w:lineRule="auto"/>
        <w:ind w:left="360" w:hanging="220"/>
        <w:rPr>
          <w:sz w:val="19"/>
          <w:szCs w:val="19"/>
          <w:color w:val="333333"/>
        </w:rPr>
      </w:pPr>
      <w:r>
        <w:rPr>
          <w:sz w:val="19"/>
          <w:szCs w:val="19"/>
          <w:color w:val="333333"/>
        </w:rPr>
        <w:t xml:space="preserve">•  All damage must be reported to Engineering Surveys prior to any repairs occurring, and/or further earthworks being conducted.</w:t>
      </w:r>
    </w:p>
    <w:p>
      <w:pPr>
        <w:spacing w:after="60" w:line="252" w:lineRule="auto"/>
        <w:ind w:left="360" w:hanging="220"/>
        <w:rPr>
          <w:sz w:val="19"/>
          <w:szCs w:val="19"/>
          <w:color w:val="333333"/>
        </w:rPr>
      </w:pPr>
      <w:r>
        <w:rPr>
          <w:sz w:val="19"/>
          <w:szCs w:val="19"/>
          <w:color w:val="333333"/>
        </w:rPr>
        <w:t xml:space="preserve">•  An Engineering Surveys representative is to carry out site inspection within a reasonable time period that will not delay necessary repair work.</w:t>
      </w:r>
    </w:p>
    <w:sectPr w:rsidR="00CE4320" w:rsidRPr="00AA70B1" w:rsidSect="00CE4320">
      <w:headerReference w:type="default" r:id="rId6"/>
      <w:headerReference w:type="first" r:id="rId7"/>
      <w:footerReference w:type="first" r:id="rId8"/>
      <w:pgSz w:w="11900" w:h="16820"/>
      <w:pgMar w:top="2240" w:right="907" w:bottom="799" w:left="907"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AA083" w14:textId="77777777" w:rsidR="00676404" w:rsidRDefault="00676404" w:rsidP="00676404">
      <w:r>
        <w:separator/>
      </w:r>
    </w:p>
  </w:endnote>
  <w:endnote w:type="continuationSeparator" w:id="0">
    <w:p w14:paraId="2FB47CED" w14:textId="77777777" w:rsidR="00676404" w:rsidRDefault="00676404" w:rsidP="006764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Headings CS)">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BE94B6" w14:textId="4EF000DF" w:rsidR="00676404" w:rsidRPr="00676404" w:rsidRDefault="00676404" w:rsidP="00676404">
    <w:pPr>
      <w:pStyle w:val="Footer"/>
    </w:pPr>
    <w:r>
      <w:rPr>
        <w:noProof/>
      </w:rPr>
      <w:drawing>
        <wp:anchor distT="0" distB="0" distL="114300" distR="114300" simplePos="0" relativeHeight="251661312" behindDoc="1" locked="0" layoutInCell="1" allowOverlap="0" wp14:anchorId="685E3ACF" wp14:editId="1D415B4B">
          <wp:simplePos x="0" y="0"/>
          <wp:positionH relativeFrom="page">
            <wp:posOffset>0</wp:posOffset>
          </wp:positionH>
          <wp:positionV relativeFrom="page">
            <wp:align>bottom</wp:align>
          </wp:positionV>
          <wp:extent cx="7560000" cy="406800"/>
          <wp:effectExtent l="0" t="0" r="0" b="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72AC3" w14:textId="77777777" w:rsidR="00676404" w:rsidRDefault="00676404" w:rsidP="00676404">
      <w:r>
        <w:separator/>
      </w:r>
    </w:p>
  </w:footnote>
  <w:footnote w:type="continuationSeparator" w:id="0">
    <w:p w14:paraId="22B381E5" w14:textId="77777777" w:rsidR="00676404" w:rsidRDefault="00676404" w:rsidP="006764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82762" w14:textId="62915C06" w:rsidR="00CE4320" w:rsidRDefault="00CE4320">
    <w:pPr>
      <w:pStyle w:val="Header"/>
    </w:pPr>
    <w:r>
      <w:rPr>
        <w:noProof/>
      </w:rPr>
      <w:drawing>
        <wp:anchor distT="0" distB="0" distL="114300" distR="114300" simplePos="0" relativeHeight="251662336" behindDoc="0" locked="0" layoutInCell="1" allowOverlap="0" wp14:anchorId="7D842AD1" wp14:editId="213B24DA">
          <wp:simplePos x="0" y="0"/>
          <wp:positionH relativeFrom="page">
            <wp:posOffset>0</wp:posOffset>
          </wp:positionH>
          <wp:positionV relativeFrom="page">
            <wp:posOffset>0</wp:posOffset>
          </wp:positionV>
          <wp:extent cx="7560000" cy="406800"/>
          <wp:effectExtent l="0" t="0" r="0"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
                    <a:extLst>
                      <a:ext uri="{28A0092B-C50C-407E-A947-70E740481C1C}">
                        <a14:useLocalDpi xmlns:a14="http://schemas.microsoft.com/office/drawing/2010/main" val="0"/>
                      </a:ext>
                    </a:extLst>
                  </a:blip>
                  <a:stretch>
                    <a:fillRect/>
                  </a:stretch>
                </pic:blipFill>
                <pic:spPr>
                  <a:xfrm>
                    <a:off x="0" y="0"/>
                    <a:ext cx="7560000" cy="406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5B5D0" w14:textId="0A7DECED" w:rsidR="00676404" w:rsidRDefault="00676404">
    <w:pPr>
      <w:pStyle w:val="Header"/>
    </w:pPr>
    <w:r>
      <w:rPr>
        <w:noProof/>
      </w:rPr>
      <w:drawing>
        <wp:anchor distT="0" distB="0" distL="114300" distR="114300" simplePos="0" relativeHeight="251658240" behindDoc="0" locked="0" layoutInCell="1" allowOverlap="0" wp14:anchorId="51B15910" wp14:editId="6F20E793">
          <wp:simplePos x="0" y="0"/>
          <wp:positionH relativeFrom="page">
            <wp:posOffset>0</wp:posOffset>
          </wp:positionH>
          <wp:positionV relativeFrom="page">
            <wp:posOffset>0</wp:posOffset>
          </wp:positionV>
          <wp:extent cx="7560000" cy="127080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extLst>
                      <a:ext uri="{28A0092B-C50C-407E-A947-70E740481C1C}">
                        <a14:useLocalDpi xmlns:a14="http://schemas.microsoft.com/office/drawing/2010/main" val="0"/>
                      </a:ext>
                    </a:extLst>
                  </a:blip>
                  <a:stretch>
                    <a:fillRect/>
                  </a:stretch>
                </pic:blipFill>
                <pic:spPr>
                  <a:xfrm>
                    <a:off x="0" y="0"/>
                    <a:ext cx="7560000" cy="1270800"/>
                  </a:xfrm>
                  <a:prstGeom prst="rect">
                    <a:avLst/>
                  </a:prstGeom>
                </pic:spPr>
              </pic:pic>
            </a:graphicData>
          </a:graphic>
          <wp14:sizeRelH relativeFrom="margin">
            <wp14:pctWidth>0</wp14:pctWidth>
          </wp14:sizeRelH>
          <wp14:sizeRelV relativeFrom="margin">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404"/>
    <w:rsid w:val="00186C32"/>
    <w:rsid w:val="00531FC4"/>
    <w:rsid w:val="00676404"/>
    <w:rsid w:val="008D491F"/>
    <w:rsid w:val="00A6669F"/>
    <w:rsid w:val="00AA70B1"/>
    <w:rsid w:val="00AC44BE"/>
    <w:rsid w:val="00CD5231"/>
    <w:rsid w:val="00CE4320"/>
    <w:rsid w:val="00D0740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080326"/>
  <w15:chartTrackingRefBased/>
  <w15:docId w15:val="{F5418E25-4788-3341-AB28-86076087C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91F"/>
    <w:pPr>
      <w:spacing w:after="160"/>
    </w:pPr>
    <w:rPr>
      <w:rFonts w:asciiTheme="majorHAnsi" w:eastAsiaTheme="minorEastAsia" w:hAnsiTheme="majorHAnsi"/>
      <w:sz w:val="20"/>
    </w:rPr>
  </w:style>
  <w:style w:type="paragraph" w:styleId="Heading1">
    <w:name w:val="heading 1"/>
    <w:next w:val="Normal"/>
    <w:link w:val="Heading1Char"/>
    <w:uiPriority w:val="9"/>
    <w:qFormat/>
    <w:rsid w:val="00186C32"/>
    <w:pPr>
      <w:keepNext/>
      <w:keepLines/>
      <w:spacing w:before="120"/>
      <w:outlineLvl w:val="0"/>
    </w:pPr>
    <w:rPr>
      <w:rFonts w:eastAsiaTheme="majorEastAsia" w:cstheme="majorBidi"/>
      <w:color w:val="000000" w:themeColor="text1"/>
      <w:sz w:val="28"/>
      <w:szCs w:val="32"/>
    </w:rPr>
  </w:style>
  <w:style w:type="paragraph" w:styleId="Heading2">
    <w:name w:val="heading 2"/>
    <w:next w:val="Normal"/>
    <w:link w:val="Heading2Char"/>
    <w:uiPriority w:val="9"/>
    <w:unhideWhenUsed/>
    <w:qFormat/>
    <w:rsid w:val="00186C32"/>
    <w:pPr>
      <w:keepNext/>
      <w:keepLines/>
      <w:spacing w:before="40"/>
      <w:outlineLvl w:val="1"/>
    </w:pPr>
    <w:rPr>
      <w:rFonts w:eastAsiaTheme="majorEastAsia" w:cstheme="majorBidi"/>
      <w:b/>
      <w:color w:val="000000" w:themeColor="text1"/>
      <w:sz w:val="20"/>
      <w:szCs w:val="26"/>
    </w:rPr>
  </w:style>
  <w:style w:type="paragraph" w:styleId="Heading3">
    <w:name w:val="heading 3"/>
    <w:basedOn w:val="Normal"/>
    <w:next w:val="Normal"/>
    <w:link w:val="Heading3Char"/>
    <w:uiPriority w:val="9"/>
    <w:unhideWhenUsed/>
    <w:rsid w:val="00A6669F"/>
    <w:pPr>
      <w:keepNext/>
      <w:keepLines/>
      <w:spacing w:before="40"/>
      <w:outlineLvl w:val="2"/>
    </w:pPr>
    <w:rPr>
      <w:rFonts w:eastAsiaTheme="majorEastAsia" w:cstheme="majorBidi"/>
      <w:b/>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76404"/>
    <w:pPr>
      <w:tabs>
        <w:tab w:val="center" w:pos="4513"/>
        <w:tab w:val="right" w:pos="9026"/>
      </w:tabs>
    </w:pPr>
  </w:style>
  <w:style w:type="character" w:customStyle="1" w:styleId="HeaderChar">
    <w:name w:val="Header Char"/>
    <w:basedOn w:val="DefaultParagraphFont"/>
    <w:link w:val="Header"/>
    <w:uiPriority w:val="99"/>
    <w:rsid w:val="00676404"/>
    <w:rPr>
      <w:rFonts w:eastAsiaTheme="minorEastAsia"/>
    </w:rPr>
  </w:style>
  <w:style w:type="paragraph" w:styleId="Footer">
    <w:name w:val="footer"/>
    <w:basedOn w:val="Normal"/>
    <w:link w:val="FooterChar"/>
    <w:uiPriority w:val="99"/>
    <w:unhideWhenUsed/>
    <w:rsid w:val="00676404"/>
    <w:pPr>
      <w:tabs>
        <w:tab w:val="center" w:pos="4513"/>
        <w:tab w:val="right" w:pos="9026"/>
      </w:tabs>
    </w:pPr>
  </w:style>
  <w:style w:type="character" w:customStyle="1" w:styleId="FooterChar">
    <w:name w:val="Footer Char"/>
    <w:basedOn w:val="DefaultParagraphFont"/>
    <w:link w:val="Footer"/>
    <w:uiPriority w:val="99"/>
    <w:rsid w:val="00676404"/>
    <w:rPr>
      <w:rFonts w:eastAsiaTheme="minorEastAsia"/>
    </w:rPr>
  </w:style>
  <w:style w:type="paragraph" w:styleId="Title">
    <w:name w:val="Title"/>
    <w:next w:val="Normal"/>
    <w:link w:val="TitleChar"/>
    <w:uiPriority w:val="10"/>
    <w:qFormat/>
    <w:rsid w:val="00186C32"/>
    <w:pPr>
      <w:contextualSpacing/>
    </w:pPr>
    <w:rPr>
      <w:rFonts w:ascii="Calibri" w:eastAsiaTheme="majorEastAsia" w:hAnsi="Calibri" w:cs="Times New Roman (Headings CS)"/>
      <w:b/>
      <w:kern w:val="28"/>
      <w:sz w:val="28"/>
      <w:szCs w:val="56"/>
    </w:rPr>
  </w:style>
  <w:style w:type="character" w:customStyle="1" w:styleId="TitleChar">
    <w:name w:val="Title Char"/>
    <w:basedOn w:val="DefaultParagraphFont"/>
    <w:link w:val="Title"/>
    <w:uiPriority w:val="10"/>
    <w:rsid w:val="00186C32"/>
    <w:rPr>
      <w:rFonts w:ascii="Calibri" w:eastAsiaTheme="majorEastAsia" w:hAnsi="Calibri" w:cs="Times New Roman (Headings CS)"/>
      <w:b/>
      <w:kern w:val="28"/>
      <w:sz w:val="28"/>
      <w:szCs w:val="56"/>
    </w:rPr>
  </w:style>
  <w:style w:type="character" w:customStyle="1" w:styleId="Heading1Char">
    <w:name w:val="Heading 1 Char"/>
    <w:basedOn w:val="DefaultParagraphFont"/>
    <w:link w:val="Heading1"/>
    <w:uiPriority w:val="9"/>
    <w:rsid w:val="00186C32"/>
    <w:rPr>
      <w:rFonts w:eastAsiaTheme="majorEastAsia" w:cstheme="majorBidi"/>
      <w:color w:val="000000" w:themeColor="text1"/>
      <w:sz w:val="28"/>
      <w:szCs w:val="32"/>
    </w:rPr>
  </w:style>
  <w:style w:type="character" w:customStyle="1" w:styleId="Heading2Char">
    <w:name w:val="Heading 2 Char"/>
    <w:basedOn w:val="DefaultParagraphFont"/>
    <w:link w:val="Heading2"/>
    <w:uiPriority w:val="9"/>
    <w:rsid w:val="00186C32"/>
    <w:rPr>
      <w:rFonts w:eastAsiaTheme="majorEastAsia" w:cstheme="majorBidi"/>
      <w:b/>
      <w:color w:val="000000" w:themeColor="text1"/>
      <w:sz w:val="20"/>
      <w:szCs w:val="26"/>
    </w:rPr>
  </w:style>
  <w:style w:type="character" w:customStyle="1" w:styleId="Heading3Char">
    <w:name w:val="Heading 3 Char"/>
    <w:basedOn w:val="DefaultParagraphFont"/>
    <w:link w:val="Heading3"/>
    <w:uiPriority w:val="9"/>
    <w:rsid w:val="00A6669F"/>
    <w:rPr>
      <w:rFonts w:eastAsiaTheme="majorEastAsia" w:cstheme="majorBidi"/>
      <w:b/>
      <w:color w:val="000000" w:themeColor="text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 Emery</dc:creator>
  <cp:keywords/>
  <dc:description/>
  <cp:lastModifiedBy>David Topfer</cp:lastModifiedBy>
  <cp:revision>5</cp:revision>
  <cp:lastPrinted>2023-11-14T07:02:00Z</cp:lastPrinted>
  <dcterms:created xsi:type="dcterms:W3CDTF">2023-11-14T06:13:00Z</dcterms:created>
  <dcterms:modified xsi:type="dcterms:W3CDTF">2023-11-22T23:16:00Z</dcterms:modified>
</cp:coreProperties>
</file>