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q0mdbq53kq1" w:id="0"/>
      <w:bookmarkEnd w:id="0"/>
      <w:r w:rsidDel="00000000" w:rsidR="00000000" w:rsidRPr="00000000">
        <w:rPr>
          <w:b w:val="1"/>
          <w:rtl w:val="0"/>
        </w:rPr>
        <w:t xml:space="preserve"> Дизайн-макет: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https://www.figma.com/file/emL0IK5htuB5tDW7IlIK3t/SP-15347-State-Intitution-Solutions?node-id=45%3A56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UI KIT: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https://www.figma.com/file/WVGb7rAGQ0NaDYBJrHX0A2/BIZ-Web-UI-Kit?node-id=0%3A1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6vk833evuwjl" w:id="1"/>
      <w:bookmarkEnd w:id="1"/>
      <w:r w:rsidDel="00000000" w:rsidR="00000000" w:rsidRPr="00000000">
        <w:rPr>
          <w:rtl w:val="0"/>
        </w:rPr>
        <w:t xml:space="preserve">Мета-информация: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Коммуникационные сервисы для госсектра | Mail.ru для бизнеса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Корпоративная Почта, Мессенджер и Файловое хранилище - эффективные и надежные коммуникации для государственных предприятий и учреждений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OG title:</w:t>
      </w:r>
      <w:r w:rsidDel="00000000" w:rsidR="00000000" w:rsidRPr="00000000">
        <w:rPr>
          <w:rtl w:val="0"/>
        </w:rPr>
        <w:t xml:space="preserve"> Коммуникационные сервисы для госсектра | Mail.ru для бизнеса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OG description:</w:t>
      </w:r>
      <w:r w:rsidDel="00000000" w:rsidR="00000000" w:rsidRPr="00000000">
        <w:rPr>
          <w:rtl w:val="0"/>
        </w:rPr>
        <w:t xml:space="preserve"> Корпоративная Почта, Мессенджер и Файловое хранилище - эффективные и надежные коммуникации </w:t>
      </w:r>
      <w:r w:rsidDel="00000000" w:rsidR="00000000" w:rsidRPr="00000000">
        <w:rPr>
          <w:sz w:val="20"/>
          <w:szCs w:val="20"/>
          <w:rtl w:val="0"/>
        </w:rPr>
        <w:t xml:space="preserve">для государственных предприятий и учреждений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OG URL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http://biz.mail.ru/onpremise/government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SEO нужно прописать следующие заголовки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h1 Сервисы коммуникаций для госструктур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h2 Наши решения соответствуют самым строгим государственным стандартам качества и надежности.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h3 Возможность участвовать в госзакупках и тендерах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h3 Российская разработка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h3 Отказоустойчивость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h3 Безопасность  данных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h3 Техподдержка  любого уровня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h3 Доработки по запросу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8eu0mwt6i32m" w:id="2"/>
      <w:bookmarkEnd w:id="2"/>
      <w:r w:rsidDel="00000000" w:rsidR="00000000" w:rsidRPr="00000000">
        <w:rPr>
          <w:rtl w:val="0"/>
        </w:rPr>
        <w:t xml:space="preserve">Меню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Взять с лендинга про Large Enterprise (как в примере)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Оставить заявку - открывается форма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Дизайн форм и ошибок: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https://www.figma.com/file/WZ5VvYcUdEoQzltkx8aq4B/SP-15003-Biz-main?node-id=321%3A1711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ol8jwvqiwsoi" w:id="3"/>
      <w:bookmarkEnd w:id="3"/>
      <w:r w:rsidDel="00000000" w:rsidR="00000000" w:rsidRPr="00000000">
        <w:rPr>
          <w:rtl w:val="0"/>
        </w:rPr>
        <w:t xml:space="preserve">Ссылки для футера можно взять из примера лендинга Myteam.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 страницу нужно поставить GTM. Инструкция: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Вставьте этот фрагмент в раздел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кода страницы как можно ближе к началу: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&lt;!-- Google Tag Manager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&lt;script&gt;(function(w,d,s,l,i){w[l]=w[l]||[];w[l].push({'gtm.start':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new Date().getTime(),event:'gtm.js'});var f=d.getElementsByTagName(s)[0],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j=d.createElement(s),dl=l!='dataLayer'?'&amp;l='+l:'';j.async=true;j.src=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'https://www.googletagmanager.com/gtm.js?id='+i+dl;f.parentNode.insertBefore(j,f);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})(window,document,'script','dataLayer','GTM-MK7GNDT');&lt;/script&gt;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End Google Tag Manager →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Также вставьте сразу после открывающего тега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следующий фрагмент: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&lt;!-- Google Tag Manager (noscript) 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&lt;noscript&gt;&lt;iframe src="https://www.googletagmanager.com/ns.html?id=GTM-MK7GNDT"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height="0" width="0" style="display:none;visibility:hidden"&gt;&lt;/iframe&gt;&lt;/noscript&gt;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&lt;!-- End Google Tag Manager (noscript) --&gt;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Нужно, чтобы форма отправляла в Data Layer событие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category: b2g-solutions_request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label: b2g-solutions_form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action: form_submitiion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WZ5VvYcUdEoQzltkx8aq4B/SP-15003-Biz-main?node-id=321%3A171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emL0IK5htuB5tDW7IlIK3t/SP-15347-State-Intitution-Solutions?node-id=45%3A56" TargetMode="External"/><Relationship Id="rId7" Type="http://schemas.openxmlformats.org/officeDocument/2006/relationships/hyperlink" Target="https://www.figma.com/file/WVGb7rAGQ0NaDYBJrHX0A2/BIZ-Web-UI-Kit?node-id=0%3A1" TargetMode="External"/><Relationship Id="rId8" Type="http://schemas.openxmlformats.org/officeDocument/2006/relationships/hyperlink" Target="http://biz.mail.ru/onpremise/govern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