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pStyle w:val="Title"/>
        <w:jc w:val="center"/>
      </w:pPr>
      <w:r>
        <w:t>IT Ticket Manager</w:t>
      </w:r>
    </w:p>
    <w:p>
      <w:pPr>
        <w:pStyle w:val="Subtitle"/>
        <w:jc w:val="center"/>
      </w:pPr>
      <w:r>
        <w:t>Спецификация требований к программному обеспечению</w:t>
      </w:r>
    </w:p>
    <w:p>
      <w:pPr>
        <w:jc w:val="center"/>
      </w:pPr>
      <w:r>
        <w:rPr>
          <w:b/>
        </w:rPr>
        <w:t>Этап 2  •  SRS  •  Вариант №10</w:t>
      </w:r>
    </w:p>
    <w:p>
      <w:pPr>
        <w:spacing w:after="16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76"/>
        <w:gridCol w:w="5076"/>
      </w:tblGrid>
      <w:tr>
        <w:trPr>
          <w:tblHeader w:val="true"/>
        </w:trPr>
        <w:tc>
          <w:tcPr>
            <w:tcW w:type="dxa" w:w="3024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547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20"/>
              </w:rPr>
              <w:t>Студент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20"/>
              </w:rPr>
              <w:t>Tcacenco Dmitrii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20"/>
              </w:rPr>
              <w:t>Группа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20"/>
              </w:rPr>
              <w:t>P2524r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20"/>
              </w:rPr>
              <w:t>Преподаватель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20"/>
              </w:rPr>
              <w:t>Natalia Gairunova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20"/>
              </w:rPr>
              <w:t>Дисциплина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20"/>
              </w:rPr>
              <w:t>Planificarea aplicațiilor Desktop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20"/>
              </w:rPr>
              <w:t>Год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20"/>
              </w:rPr>
              <w:t>2026</w:t>
            </w:r>
          </w:p>
        </w:tc>
      </w:tr>
    </w:tbl>
    <w:p>
      <w:pPr>
        <w:spacing w:after="20"/>
      </w:pPr>
    </w:p>
    <w:p>
      <w:pPr>
        <w:pStyle w:val="BodyText"/>
      </w:pPr>
      <w:r>
        <w:t>Документ описывает проектируемые требования к будущему настольному приложению. Реализация приложения, подключение базы данных и фактическая отправка email в рамках данного этапа не заявляются как выполненные результаты.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1. Назначение и область применения</w:t>
      </w:r>
    </w:p>
    <w:p>
      <w:pPr>
        <w:pStyle w:val="ListNumber"/>
      </w:pPr>
      <w:r>
        <w:t>2. Общее описание системы</w:t>
      </w:r>
    </w:p>
    <w:p>
      <w:pPr>
        <w:pStyle w:val="ListNumber"/>
      </w:pPr>
      <w:r>
        <w:t>3. Границы и допущения проекта</w:t>
      </w:r>
    </w:p>
    <w:p>
      <w:pPr>
        <w:pStyle w:val="ListNumber"/>
      </w:pPr>
      <w:r>
        <w:t>4. Пользователи и права доступа</w:t>
      </w:r>
    </w:p>
    <w:p>
      <w:pPr>
        <w:pStyle w:val="ListNumber"/>
      </w:pPr>
      <w:r>
        <w:t>5. Функциональные требования</w:t>
      </w:r>
    </w:p>
    <w:p>
      <w:pPr>
        <w:pStyle w:val="ListNumber"/>
      </w:pPr>
      <w:r>
        <w:t>6. Нефункциональные требования</w:t>
      </w:r>
    </w:p>
    <w:p>
      <w:pPr>
        <w:pStyle w:val="ListNumber"/>
      </w:pPr>
      <w:r>
        <w:t>7. Требования к интерфейсу</w:t>
      </w:r>
    </w:p>
    <w:p>
      <w:pPr>
        <w:pStyle w:val="ListNumber"/>
      </w:pPr>
      <w:r>
        <w:t>8. Модель данных</w:t>
      </w:r>
    </w:p>
    <w:p>
      <w:pPr>
        <w:pStyle w:val="ListNumber"/>
      </w:pPr>
      <w:r>
        <w:t>9. Жизненный цикл и бизнес-правила</w:t>
      </w:r>
    </w:p>
    <w:p>
      <w:pPr>
        <w:pStyle w:val="ListNumber"/>
      </w:pPr>
      <w:r>
        <w:t>10. Сценарии использования</w:t>
      </w:r>
    </w:p>
    <w:p>
      <w:pPr>
        <w:pStyle w:val="ListNumber"/>
      </w:pPr>
      <w:r>
        <w:t>11. Ошибки и уведомления</w:t>
      </w:r>
    </w:p>
    <w:p>
      <w:pPr>
        <w:pStyle w:val="ListNumber"/>
      </w:pPr>
      <w:r>
        <w:t>12. Критерии приёмки</w:t>
      </w:r>
    </w:p>
    <w:p>
      <w:pPr>
        <w:pStyle w:val="ListNumber"/>
      </w:pPr>
      <w:r>
        <w:t>13. Матрица трассируемости</w:t>
      </w:r>
    </w:p>
    <w:p>
      <w:pPr>
        <w:pStyle w:val="ListNumber"/>
      </w:pPr>
      <w:r>
        <w:t>14. Технологическая основа и ограничения</w:t>
      </w:r>
    </w:p>
    <w:p>
      <w:pPr>
        <w:pStyle w:val="ListNumber"/>
      </w:pPr>
      <w:r>
        <w:t>Приложение А. Словарь терминов</w:t>
      </w:r>
    </w:p>
    <w:p>
      <w:pPr>
        <w:pStyle w:val="Heading2"/>
      </w:pPr>
      <w:r>
        <w:t>Статус документа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76"/>
        <w:gridCol w:w="5076"/>
      </w:tblGrid>
      <w:tr>
        <w:trPr>
          <w:tblHeader w:val="true"/>
        </w:trPr>
        <w:tc>
          <w:tcPr>
            <w:tcW w:type="dxa" w:w="3024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547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Версия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Статус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Проектная спецификация этапа 2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Источник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Этап 1 «Планирование настольного приложения»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Роли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Пользователь и техник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Стек</w:t>
            </w:r>
          </w:p>
        </w:tc>
        <w:tc>
          <w:tcPr>
            <w:tcW w:type="dxa" w:w="547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Java, JavaFX, SQLite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Язык</w:t>
            </w:r>
          </w:p>
        </w:tc>
        <w:tc>
          <w:tcPr>
            <w:tcW w:type="dxa" w:w="547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Русский</w:t>
            </w:r>
          </w:p>
        </w:tc>
      </w:tr>
    </w:tbl>
    <w:p>
      <w:pPr>
        <w:spacing w:after="20"/>
      </w:pPr>
    </w:p>
    <w:p>
      <w:pPr>
        <w:pStyle w:val="BodyText"/>
      </w:pPr>
      <w:r>
        <w:t>Формулировки «система должна» описывают целевое поведение будущего решения и не подтверждают наличие программной реализации.</w:t>
      </w:r>
    </w:p>
    <w:p>
      <w:r>
        <w:br w:type="page"/>
      </w:r>
    </w:p>
    <w:p>
      <w:pPr>
        <w:pStyle w:val="Heading1"/>
      </w:pPr>
      <w:r>
        <w:t>1. Назначение и область применения</w:t>
      </w:r>
    </w:p>
    <w:p>
      <w:pPr>
        <w:pStyle w:val="BodyText"/>
      </w:pPr>
      <w:r>
        <w:t>IT Ticket Manager проектируется как настольное приложение для регистрации, обработки и контроля технических заявок в небольшой организации, колледже или учебной лаборатории. Система должна заменить неформальную передачу проблем единым процессом с номером заявки, ответственным техником, статусом, приоритетом и историей изменений.</w:t>
      </w:r>
    </w:p>
    <w:p>
      <w:pPr>
        <w:pStyle w:val="BodyText"/>
      </w:pPr>
      <w:r>
        <w:t>SRS уточняет решения этапа 1 и служит основанием для будущих Use Case и Activity диаграмм, прототипа Figma и последующей реализации.</w:t>
      </w:r>
    </w:p>
    <w:p>
      <w:pPr>
        <w:pStyle w:val="Heading2"/>
      </w:pPr>
      <w:r>
        <w:t>1.1 Цели системы</w:t>
      </w:r>
    </w:p>
    <w:p>
      <w:pPr>
        <w:pStyle w:val="ListBullet"/>
      </w:pPr>
      <w:r>
        <w:t>дать пользователю понятный способ создать обращение и отслеживать его состояние;</w:t>
      </w:r>
    </w:p>
    <w:p>
      <w:pPr>
        <w:pStyle w:val="ListBullet"/>
      </w:pPr>
      <w:r>
        <w:t>дать технику очередь заявок, фильтрацию, назначение и фиксацию результата;</w:t>
      </w:r>
    </w:p>
    <w:p>
      <w:pPr>
        <w:pStyle w:val="ListBullet"/>
      </w:pPr>
      <w:r>
        <w:t>сохранить непротиворечивую историю действий и переходов статуса;</w:t>
      </w:r>
    </w:p>
    <w:p>
      <w:pPr>
        <w:pStyle w:val="ListBullet"/>
      </w:pPr>
      <w:r>
        <w:t>подготовить проверяемую основу для UML, прототипа и будущего кода.</w:t>
      </w:r>
    </w:p>
    <w:p>
      <w:pPr>
        <w:pStyle w:val="Heading2"/>
      </w:pPr>
      <w:r>
        <w:t>1.2 Область применения</w:t>
      </w:r>
    </w:p>
    <w:p>
      <w:pPr>
        <w:pStyle w:val="BodyText"/>
      </w:pPr>
      <w:r>
        <w:t>Базовый вариант ориентирован на локальное автономное приложение с SQLite. Общая сетевая база для нескольких компьютеров, мобильный клиент, полноценная административная панель и реальная SMTP-доставка не входят в обязательный объём этапа 2.</w:t>
      </w:r>
    </w:p>
    <w:p>
      <w:pPr>
        <w:pStyle w:val="Heading1"/>
      </w:pPr>
      <w:r>
        <w:t>2. Общее описание системы</w:t>
      </w:r>
    </w:p>
    <w:p>
      <w:pPr>
        <w:pStyle w:val="BodyText"/>
      </w:pPr>
      <w:r>
        <w:t>Пользователь авторизуется, создаёт заявку и наблюдает её обработку. Техник просматривает очередь, принимает заявку в работу, фиксирует решение и переводит её в состояние «Решена». Пользователь проверяет результат и подтверждает либо отклоняет его. Только после подтверждения техник переводит заявку в «Закрыта». При отказе заявка возвращается в «В работе».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3384"/>
        <w:gridCol w:w="3384"/>
      </w:tblGrid>
      <w:tr>
        <w:trPr>
          <w:tblHeader w:val="true"/>
        </w:trPr>
        <w:tc>
          <w:tcPr>
            <w:tcW w:type="dxa" w:w="208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Модуль</w:t>
            </w:r>
          </w:p>
        </w:tc>
        <w:tc>
          <w:tcPr>
            <w:tcW w:type="dxa" w:w="43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Назначение</w:t>
            </w:r>
          </w:p>
        </w:tc>
        <w:tc>
          <w:tcPr>
            <w:tcW w:type="dxa" w:w="208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Требования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M1 Авторизация и сессия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Вход, выход, определение роли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FR-001–003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M2 Пользователи и роли</w:t>
            </w:r>
          </w:p>
        </w:tc>
        <w:tc>
          <w:tcPr>
            <w:tcW w:type="dxa" w:w="43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Профили и права</w:t>
            </w:r>
          </w:p>
        </w:tc>
        <w:tc>
          <w:tcPr>
            <w:tcW w:type="dxa" w:w="208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FR-004–006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M3 Создание заявки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Форма и первичная проверка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FR-007–011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M4 Очередь заявок</w:t>
            </w:r>
          </w:p>
        </w:tc>
        <w:tc>
          <w:tcPr>
            <w:tcW w:type="dxa" w:w="43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Список, поиск, фильтры</w:t>
            </w:r>
          </w:p>
        </w:tc>
        <w:tc>
          <w:tcPr>
            <w:tcW w:type="dxa" w:w="208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FR-012–016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M5 Обработка заявки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Назначение, статусы, решение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FR-017–025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M6 История и аудит</w:t>
            </w:r>
          </w:p>
        </w:tc>
        <w:tc>
          <w:tcPr>
            <w:tcW w:type="dxa" w:w="43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Хронология событий</w:t>
            </w:r>
          </w:p>
        </w:tc>
        <w:tc>
          <w:tcPr>
            <w:tcW w:type="dxa" w:w="208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FR-026–028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M7 Уведомления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События и подготовка email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FR-029–031</w:t>
            </w:r>
          </w:p>
        </w:tc>
      </w:tr>
    </w:tbl>
    <w:p>
      <w:pPr>
        <w:spacing w:after="20"/>
      </w:pPr>
    </w:p>
    <w:p>
      <w:pPr>
        <w:pStyle w:val="Heading1"/>
      </w:pPr>
      <w:r>
        <w:t>3. Границы и допущения проекта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76"/>
        <w:gridCol w:w="5076"/>
      </w:tblGrid>
      <w:tr>
        <w:trPr>
          <w:tblHeader w:val="true"/>
        </w:trPr>
        <w:tc>
          <w:tcPr>
            <w:tcW w:type="dxa" w:w="43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Входит в SRS</w:t>
            </w:r>
          </w:p>
        </w:tc>
        <w:tc>
          <w:tcPr>
            <w:tcW w:type="dxa" w:w="43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Не считается выполненным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Роли, права и статусы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Рабочий программный код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Формы и сообщения как требования</w:t>
            </w:r>
          </w:p>
        </w:tc>
        <w:tc>
          <w:tcPr>
            <w:tcW w:type="dxa" w:w="43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Подключённая рабочая SQLite-база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Логическая модель данных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Фактическая регистрация пользователей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Проектируемые email-события</w:t>
            </w:r>
          </w:p>
        </w:tc>
        <w:tc>
          <w:tcPr>
            <w:tcW w:type="dxa" w:w="43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Реальная SMTP-доставка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Критерии проверки и трассировка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Публикация или эксплуатация приложения</w:t>
            </w:r>
          </w:p>
        </w:tc>
      </w:tr>
    </w:tbl>
    <w:p>
      <w:pPr>
        <w:spacing w:after="20"/>
      </w:pPr>
    </w:p>
    <w:p>
      <w:pPr>
        <w:pStyle w:val="Heading2"/>
      </w:pPr>
      <w:r>
        <w:t>3.1 Допущения</w:t>
      </w:r>
    </w:p>
    <w:p>
      <w:pPr>
        <w:pStyle w:val="ListBullet"/>
      </w:pPr>
      <w:r>
        <w:t>минимальная версия использует роли пользователя и техника;</w:t>
      </w:r>
    </w:p>
    <w:p>
      <w:pPr>
        <w:pStyle w:val="ListBullet"/>
      </w:pPr>
      <w:r>
        <w:t>каждая заявка имеет автора и после назначения одного техника;</w:t>
      </w:r>
    </w:p>
    <w:p>
      <w:pPr>
        <w:pStyle w:val="ListBullet"/>
      </w:pPr>
      <w:r>
        <w:t>локальное хранение выбрано для учебного автономного сценария;</w:t>
      </w:r>
    </w:p>
    <w:p>
      <w:pPr>
        <w:pStyle w:val="ListBullet"/>
      </w:pPr>
      <w:r>
        <w:t>категории и приоритеты задаются проектируемыми справочными значениями;</w:t>
      </w:r>
    </w:p>
    <w:p>
      <w:pPr>
        <w:pStyle w:val="ListBullet"/>
      </w:pPr>
      <w:r>
        <w:t>ОС, хеширование и SMTP уточняются до этапа разработки.</w:t>
      </w:r>
    </w:p>
    <w:p>
      <w:pPr>
        <w:pStyle w:val="Heading1"/>
      </w:pPr>
      <w:r>
        <w:t>4. Пользователи и права доступа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3384"/>
        <w:gridCol w:w="3384"/>
      </w:tblGrid>
      <w:tr>
        <w:trPr>
          <w:tblHeader w:val="true"/>
        </w:trPr>
        <w:tc>
          <w:tcPr>
            <w:tcW w:type="dxa" w:w="388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Операция</w:t>
            </w:r>
          </w:p>
        </w:tc>
        <w:tc>
          <w:tcPr>
            <w:tcW w:type="dxa" w:w="21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Пользователь</w:t>
            </w:r>
          </w:p>
        </w:tc>
        <w:tc>
          <w:tcPr>
            <w:tcW w:type="dxa" w:w="288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Техник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Войти и выйти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Да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Создать заявку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Да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Просматривать свои заявки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Да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Просматривать очередь всех заявок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Нет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Изменить исполнителя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Нет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Открыта → В работе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Нет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В работе → Решена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Нет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Подтвердить решение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Да, только автор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Может просмотреть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Отклонить и вернуть в работу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Да, только автор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Да, с комментарием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Закрыть подтверждённую заявку</w:t>
            </w:r>
          </w:p>
        </w:tc>
        <w:tc>
          <w:tcPr>
            <w:tcW w:type="dxa" w:w="216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Нет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Да</w:t>
            </w:r>
          </w:p>
        </w:tc>
      </w:tr>
      <w:tr>
        <w:trPr>
          <w:cantSplit/>
        </w:trPr>
        <w:tc>
          <w:tcPr>
            <w:tcW w:type="dxa" w:w="38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Изменять историю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Нет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Нет</w:t>
            </w:r>
          </w:p>
        </w:tc>
      </w:tr>
    </w:tbl>
    <w:p>
      <w:pPr>
        <w:spacing w:after="20"/>
      </w:pPr>
    </w:p>
    <w:p>
      <w:pPr>
        <w:pStyle w:val="BodyText"/>
      </w:pPr>
      <w:r>
        <w:t>Администратор не включается в обязательный вариант. Управление пользователями, категориями или настройками оформляется отдельным расширением.</w:t>
      </w:r>
    </w:p>
    <w:p>
      <w:pPr>
        <w:pStyle w:val="Heading1"/>
      </w:pPr>
      <w:r>
        <w:t>5. Функциональные требования</w:t>
      </w:r>
    </w:p>
    <w:p>
      <w:pPr>
        <w:pStyle w:val="BodyText"/>
      </w:pPr>
      <w:r>
        <w:t>Каждое требование имеет уникальный идентификатор и проверяемый результат. Приоритет Must — обязательно; Should — важно; Could — расширение.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38"/>
        <w:gridCol w:w="2538"/>
        <w:gridCol w:w="2538"/>
        <w:gridCol w:w="2538"/>
      </w:tblGrid>
      <w:tr>
        <w:trPr>
          <w:tblHeader w:val="true"/>
        </w:trPr>
        <w:tc>
          <w:tcPr>
            <w:tcW w:type="dxa" w:w="100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51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Область</w:t>
            </w:r>
          </w:p>
        </w:tc>
        <w:tc>
          <w:tcPr>
            <w:tcW w:type="dxa" w:w="100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61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FR-001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Авторизация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Вход по логину и паролю создаёт сессию только при корректных данных.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FR-002</w:t>
            </w:r>
          </w:p>
        </w:tc>
        <w:tc>
          <w:tcPr>
            <w:tcW w:type="dxa" w:w="151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Авторизация</w:t>
            </w:r>
          </w:p>
        </w:tc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Ошибка входа не раскрывает существование учётной записи.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FR-003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Сессия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Выход завершает сессию; защищённые экраны без сессии недоступны.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FR-004</w:t>
            </w:r>
          </w:p>
        </w:tc>
        <w:tc>
          <w:tcPr>
            <w:tcW w:type="dxa" w:w="151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Роли</w:t>
            </w:r>
          </w:p>
        </w:tc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Система определяет роль и применяет её к действиям.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FR-005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Роли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Пользователь не видит операции очереди и назначения.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FR-006</w:t>
            </w:r>
          </w:p>
        </w:tc>
        <w:tc>
          <w:tcPr>
            <w:tcW w:type="dxa" w:w="151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Роли</w:t>
            </w:r>
          </w:p>
        </w:tc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Техник имеет доступ к очереди и обработке.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FR-007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Создание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Авторизованный пользователь открывает форму новой заявки.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FR-008</w:t>
            </w:r>
          </w:p>
        </w:tc>
        <w:tc>
          <w:tcPr>
            <w:tcW w:type="dxa" w:w="151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Создание</w:t>
            </w:r>
          </w:p>
        </w:tc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Форма содержит заголовок, описание, категорию и приоритет.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FR-009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Создание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Неполная форма не сохраняется и объясняет исправление.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FR-010</w:t>
            </w:r>
          </w:p>
        </w:tc>
        <w:tc>
          <w:tcPr>
            <w:tcW w:type="dxa" w:w="151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Создание</w:t>
            </w:r>
          </w:p>
        </w:tc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Успешная заявка получает уникальный номер и статус «Открыта».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FR-011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Создание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Сохраняются автор и время создания.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FR-012</w:t>
            </w:r>
          </w:p>
        </w:tc>
        <w:tc>
          <w:tcPr>
            <w:tcW w:type="dxa" w:w="151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Очередь</w:t>
            </w:r>
          </w:p>
        </w:tc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Техник видит номер, заголовок, приоритет, статус, дату и исполнителя.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FR-013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Поиск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Поиск работает по номеру, статусу, категории и приоритету.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FR-014</w:t>
            </w:r>
          </w:p>
        </w:tc>
        <w:tc>
          <w:tcPr>
            <w:tcW w:type="dxa" w:w="151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Фильтры</w:t>
            </w:r>
          </w:p>
        </w:tc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Should</w:t>
            </w:r>
          </w:p>
        </w:tc>
        <w:tc>
          <w:tcPr>
            <w:tcW w:type="dxa" w:w="61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Очередь сортируется по приоритету и дате обновления.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FR-015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Детали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Пользователь видит свои, техник — доступные заявки.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FR-016</w:t>
            </w:r>
          </w:p>
        </w:tc>
        <w:tc>
          <w:tcPr>
            <w:tcW w:type="dxa" w:w="151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Комментарии</w:t>
            </w:r>
          </w:p>
        </w:tc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Разрешённый участник добавляет комментарий без изменения исходного текста.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FR-017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Назначение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Принятие фиксирует техника, время и переход в «В работе».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FR-018</w:t>
            </w:r>
          </w:p>
        </w:tc>
        <w:tc>
          <w:tcPr>
            <w:tcW w:type="dxa" w:w="151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Решение</w:t>
            </w:r>
          </w:p>
        </w:tc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Техник добавляет результат и переводит заявку в «Решена».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FR-019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Подтверждение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Автор заявки подтверждает, что решение устраняет проблему.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FR-020</w:t>
            </w:r>
          </w:p>
        </w:tc>
        <w:tc>
          <w:tcPr>
            <w:tcW w:type="dxa" w:w="151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Отказ</w:t>
            </w:r>
          </w:p>
        </w:tc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Отказ с комментарием возвращает заявку в «В работе».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FR-021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Закрытие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Закрытие доступно технику только после подтверждения.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FR-022</w:t>
            </w:r>
          </w:p>
        </w:tc>
        <w:tc>
          <w:tcPr>
            <w:tcW w:type="dxa" w:w="151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Переходы</w:t>
            </w:r>
          </w:p>
        </w:tc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Недопустимые переходы запрещаются.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FR-023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История статусов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Переход хранится с автором, временем и значениями.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FR-024</w:t>
            </w:r>
          </w:p>
        </w:tc>
        <w:tc>
          <w:tcPr>
            <w:tcW w:type="dxa" w:w="151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Решение</w:t>
            </w:r>
          </w:p>
        </w:tc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Результат обязателен для перехода в «Решена».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FR-025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Карточка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Should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Карточка показывает статус, исполнителя, приоритет и историю.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FR-026</w:t>
            </w:r>
          </w:p>
        </w:tc>
        <w:tc>
          <w:tcPr>
            <w:tcW w:type="dxa" w:w="151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Аудит</w:t>
            </w:r>
          </w:p>
        </w:tc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Ключевые действия формируют неизменяемые записи.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FR-027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Аудит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История доступна из карточки заявки.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FR-028</w:t>
            </w:r>
          </w:p>
        </w:tc>
        <w:tc>
          <w:tcPr>
            <w:tcW w:type="dxa" w:w="151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Аудит</w:t>
            </w:r>
          </w:p>
        </w:tc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Must</w:t>
            </w:r>
          </w:p>
        </w:tc>
        <w:tc>
          <w:tcPr>
            <w:tcW w:type="dxa" w:w="61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Прошлое событие нельзя редактировать или удалить.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FR-029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Email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Should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Создание и смена статуса формируют событие уведомления.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FR-030</w:t>
            </w:r>
          </w:p>
        </w:tc>
        <w:tc>
          <w:tcPr>
            <w:tcW w:type="dxa" w:w="151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Email</w:t>
            </w:r>
          </w:p>
        </w:tc>
        <w:tc>
          <w:tcPr>
            <w:tcW w:type="dxa" w:w="100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Should</w:t>
            </w:r>
          </w:p>
        </w:tc>
        <w:tc>
          <w:tcPr>
            <w:tcW w:type="dxa" w:w="61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Событие содержит получателя, тип, текст и статус.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FR-031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Email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Could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Будущая SMTP-интеграция может отправлять подготовленные события.</w:t>
            </w:r>
          </w:p>
        </w:tc>
      </w:tr>
    </w:tbl>
    <w:p>
      <w:pPr>
        <w:spacing w:after="20"/>
      </w:pPr>
    </w:p>
    <w:p>
      <w:pPr>
        <w:pStyle w:val="Heading1"/>
      </w:pPr>
      <w:r>
        <w:t>6. Нефункциональные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3384"/>
        <w:gridCol w:w="3384"/>
      </w:tblGrid>
      <w:tr>
        <w:trPr>
          <w:tblHeader w:val="true"/>
        </w:trPr>
        <w:tc>
          <w:tcPr>
            <w:tcW w:type="dxa" w:w="115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1944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Категория</w:t>
            </w:r>
          </w:p>
        </w:tc>
        <w:tc>
          <w:tcPr>
            <w:tcW w:type="dxa" w:w="655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NFR-001</w:t>
            </w:r>
          </w:p>
        </w:tc>
        <w:tc>
          <w:tcPr>
            <w:tcW w:type="dxa" w:w="194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Удобство</w:t>
            </w:r>
          </w:p>
        </w:tc>
        <w:tc>
          <w:tcPr>
            <w:tcW w:type="dxa" w:w="65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Основные действия доступны из понятных окон; ошибки объясняют исправление.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NFR-002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Производительность</w:t>
            </w:r>
          </w:p>
        </w:tc>
        <w:tc>
          <w:tcPr>
            <w:tcW w:type="dxa" w:w="65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Открытие списка и карточки не создаёт заметной задержки на локальном наборе.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NFR-003</w:t>
            </w:r>
          </w:p>
        </w:tc>
        <w:tc>
          <w:tcPr>
            <w:tcW w:type="dxa" w:w="194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Надёжность</w:t>
            </w:r>
          </w:p>
        </w:tc>
        <w:tc>
          <w:tcPr>
            <w:tcW w:type="dxa" w:w="65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Сохранение и переход статуса атомарны; частичная запись не допускается.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NFR-004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Безопасность</w:t>
            </w:r>
          </w:p>
        </w:tc>
        <w:tc>
          <w:tcPr>
            <w:tcW w:type="dxa" w:w="65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Пароли хранятся в виде хеша; права проверяются до действия.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NFR-005</w:t>
            </w:r>
          </w:p>
        </w:tc>
        <w:tc>
          <w:tcPr>
            <w:tcW w:type="dxa" w:w="194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Конфиденциальность</w:t>
            </w:r>
          </w:p>
        </w:tc>
        <w:tc>
          <w:tcPr>
            <w:tcW w:type="dxa" w:w="65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Пользователь не получает чужие данные без разрешения.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NFR-006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Аудит</w:t>
            </w:r>
          </w:p>
        </w:tc>
        <w:tc>
          <w:tcPr>
            <w:tcW w:type="dxa" w:w="65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История позволяет восстановить последовательность действий.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NFR-007</w:t>
            </w:r>
          </w:p>
        </w:tc>
        <w:tc>
          <w:tcPr>
            <w:tcW w:type="dxa" w:w="194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Сопровождаемость</w:t>
            </w:r>
          </w:p>
        </w:tc>
        <w:tc>
          <w:tcPr>
            <w:tcW w:type="dxa" w:w="65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Слои имеют отдельные зоны ответственности и интерфейсы.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NFR-008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Переносимость</w:t>
            </w:r>
          </w:p>
        </w:tc>
        <w:tc>
          <w:tcPr>
            <w:tcW w:type="dxa" w:w="65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Поддерживаемая настольная ОС фиксируется до реализации.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NFR-009</w:t>
            </w:r>
          </w:p>
        </w:tc>
        <w:tc>
          <w:tcPr>
            <w:tcW w:type="dxa" w:w="194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Масштаб</w:t>
            </w:r>
          </w:p>
        </w:tc>
        <w:tc>
          <w:tcPr>
            <w:tcW w:type="dxa" w:w="65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SQLite достаточна для автономной учебной версии; сеть не скрытое требование.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NFR-010</w:t>
            </w:r>
          </w:p>
        </w:tc>
        <w:tc>
          <w:tcPr>
            <w:tcW w:type="dxa" w:w="194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Email</w:t>
            </w:r>
          </w:p>
        </w:tc>
        <w:tc>
          <w:tcPr>
            <w:tcW w:type="dxa" w:w="65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Недоступность почты не разрушает основную операцию заявки.</w:t>
            </w:r>
          </w:p>
        </w:tc>
      </w:tr>
    </w:tbl>
    <w:p>
      <w:pPr>
        <w:spacing w:after="20"/>
      </w:pPr>
    </w:p>
    <w:p>
      <w:pPr>
        <w:pStyle w:val="Heading1"/>
      </w:pPr>
      <w:r>
        <w:t>7. Требования к интерфейсу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3384"/>
        <w:gridCol w:w="3384"/>
      </w:tblGrid>
      <w:tr>
        <w:trPr>
          <w:tblHeader w:val="true"/>
        </w:trPr>
        <w:tc>
          <w:tcPr>
            <w:tcW w:type="dxa" w:w="108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4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Экран</w:t>
            </w:r>
          </w:p>
        </w:tc>
        <w:tc>
          <w:tcPr>
            <w:tcW w:type="dxa" w:w="612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UI-01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Окно входа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Логин, пароль, вход и нейтральное сообщение ошибки.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UI-02</w:t>
            </w:r>
          </w:p>
        </w:tc>
        <w:tc>
          <w:tcPr>
            <w:tcW w:type="dxa" w:w="244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Главное окно пользователя</w:t>
            </w:r>
          </w:p>
        </w:tc>
        <w:tc>
          <w:tcPr>
            <w:tcW w:type="dxa" w:w="61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Мои заявки, создание, фильтр, карточка.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UI-03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Очередь техника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Таблица, поиск, фильтры, сортировка, исполнитель.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UI-04</w:t>
            </w:r>
          </w:p>
        </w:tc>
        <w:tc>
          <w:tcPr>
            <w:tcW w:type="dxa" w:w="244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Форма заявки</w:t>
            </w:r>
          </w:p>
        </w:tc>
        <w:tc>
          <w:tcPr>
            <w:tcW w:type="dxa" w:w="61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Заголовок, описание, категория, приоритет, сохранить/отмена.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UI-05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Карточка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Реквизиты, статус, результат, комментарии, история, действия.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UI-06</w:t>
            </w:r>
          </w:p>
        </w:tc>
        <w:tc>
          <w:tcPr>
            <w:tcW w:type="dxa" w:w="244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Подтверждение</w:t>
            </w:r>
          </w:p>
        </w:tc>
        <w:tc>
          <w:tcPr>
            <w:tcW w:type="dxa" w:w="612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Результат и ветви подтвердить/вернуть в работу.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UI-07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Состояния</w:t>
            </w:r>
          </w:p>
        </w:tc>
        <w:tc>
          <w:tcPr>
            <w:tcW w:type="dxa" w:w="612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Загрузка, пустой список, ошибка и отсутствие прав имеют отдельные сообщения.</w:t>
            </w:r>
          </w:p>
        </w:tc>
      </w:tr>
    </w:tbl>
    <w:p>
      <w:pPr>
        <w:spacing w:after="20"/>
      </w:pPr>
    </w:p>
    <w:p>
      <w:pPr>
        <w:pStyle w:val="Heading1"/>
      </w:pPr>
      <w:r>
        <w:t>8. Модель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3384"/>
        <w:gridCol w:w="3384"/>
      </w:tblGrid>
      <w:tr>
        <w:trPr>
          <w:tblHeader w:val="true"/>
        </w:trPr>
        <w:tc>
          <w:tcPr>
            <w:tcW w:type="dxa" w:w="172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4536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Ключевые поля</w:t>
            </w:r>
          </w:p>
        </w:tc>
        <w:tc>
          <w:tcPr>
            <w:tcW w:type="dxa" w:w="3384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User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user_id, full_name, email, password_hash, role, is_active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Профиль и права.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Ticket</w:t>
            </w:r>
          </w:p>
        </w:tc>
        <w:tc>
          <w:tcPr>
            <w:tcW w:type="dxa" w:w="4536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ticket_id, title, description, category, priority, status, author_id, assignee_id, created_at, updated_at, resolved_at, closed_at</w:t>
            </w:r>
          </w:p>
        </w:tc>
        <w:tc>
          <w:tcPr>
            <w:tcW w:type="dxa" w:w="338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Заявка.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TicketComment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comment_id, ticket_id, author_id, text, created_at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Уточнения, результат, отзыв.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TicketHistory</w:t>
            </w:r>
          </w:p>
        </w:tc>
        <w:tc>
          <w:tcPr>
            <w:tcW w:type="dxa" w:w="4536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history_id, ticket_id, actor_id, event_type, old_value, new_value, comment, created_at</w:t>
            </w:r>
          </w:p>
        </w:tc>
        <w:tc>
          <w:tcPr>
            <w:tcW w:type="dxa" w:w="338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Неизменяемая хронология.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Notification</w:t>
            </w:r>
          </w:p>
        </w:tc>
        <w:tc>
          <w:tcPr>
            <w:tcW w:type="dxa" w:w="453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notification_id, ticket_id, recipient_id, event_type, payload, delivery_status, created_at, sent_at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Событие уведомления.</w:t>
            </w:r>
          </w:p>
        </w:tc>
      </w:tr>
    </w:tbl>
    <w:p>
      <w:pPr>
        <w:spacing w:after="20"/>
      </w:pPr>
    </w:p>
    <w:p>
      <w:pPr>
        <w:pStyle w:val="BodyText"/>
      </w:pPr>
      <w:r>
        <w:t>Связи: User 1:N Ticket как автор и как исполнитель; Ticket 1:N TicketComment, TicketHistory и Notification. Внешние ключи сохраняют целостность ссылок; удаление истории запрещено.</w:t>
      </w:r>
    </w:p>
    <w:p>
      <w:pPr>
        <w:pStyle w:val="Heading1"/>
      </w:pPr>
      <w:r>
        <w:t>9. Жизненный цикл и бизнес-правила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30"/>
        <w:gridCol w:w="2030"/>
        <w:gridCol w:w="2030"/>
        <w:gridCol w:w="2030"/>
        <w:gridCol w:w="2030"/>
      </w:tblGrid>
      <w:tr>
        <w:trPr>
          <w:tblHeader w:val="true"/>
        </w:trPr>
        <w:tc>
          <w:tcPr>
            <w:tcW w:type="dxa" w:w="14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Текущий</w:t>
            </w:r>
          </w:p>
        </w:tc>
        <w:tc>
          <w:tcPr>
            <w:tcW w:type="dxa" w:w="2304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1656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Новый</w:t>
            </w:r>
          </w:p>
        </w:tc>
        <w:tc>
          <w:tcPr>
            <w:tcW w:type="dxa" w:w="180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Кто</w:t>
            </w:r>
          </w:p>
        </w:tc>
        <w:tc>
          <w:tcPr>
            <w:tcW w:type="dxa" w:w="288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Условие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—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Создать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Открыта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Пользователь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Поля корректны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Открыта</w:t>
            </w:r>
          </w:p>
        </w:tc>
        <w:tc>
          <w:tcPr>
            <w:tcW w:type="dxa" w:w="230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Принять в работу</w:t>
            </w:r>
          </w:p>
        </w:tc>
        <w:tc>
          <w:tcPr>
            <w:tcW w:type="dxa" w:w="1656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В работе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Техник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Назначен исполнитель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В работе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Зафиксировать решение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Решена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Техник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Есть результат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Решена</w:t>
            </w:r>
          </w:p>
        </w:tc>
        <w:tc>
          <w:tcPr>
            <w:tcW w:type="dxa" w:w="230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Подтвердить</w:t>
            </w:r>
          </w:p>
        </w:tc>
        <w:tc>
          <w:tcPr>
            <w:tcW w:type="dxa" w:w="1656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Событие подтверждения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Автор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Подтверждение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Решена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Закрыть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Закрыта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Техник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Есть подтверждение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Решена</w:t>
            </w:r>
          </w:p>
        </w:tc>
        <w:tc>
          <w:tcPr>
            <w:tcW w:type="dxa" w:w="230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Отклонить</w:t>
            </w:r>
          </w:p>
        </w:tc>
        <w:tc>
          <w:tcPr>
            <w:tcW w:type="dxa" w:w="1656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В работе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Автор</w:t>
            </w:r>
          </w:p>
        </w:tc>
        <w:tc>
          <w:tcPr>
            <w:tcW w:type="dxa" w:w="288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6"/>
              </w:rPr>
              <w:t>Есть причина</w:t>
            </w:r>
          </w:p>
        </w:tc>
      </w:tr>
    </w:tbl>
    <w:p>
      <w:pPr>
        <w:spacing w:after="20"/>
      </w:pPr>
    </w:p>
    <w:p>
      <w:pPr>
        <w:pStyle w:val="BodyText"/>
      </w:pPr>
      <w:r>
        <w:t>Отдельный статус «Подтверждена» не вводится: подтверждение хранится как событие истории и признак, связанный с решением. Закрытие разрешается только после этого события.</w:t>
      </w:r>
    </w:p>
    <w:p>
      <w:pPr>
        <w:pStyle w:val="ListBullet"/>
      </w:pPr>
      <w:r>
        <w:t>BR-01. Создать заявку может только авторизованный пользователь.</w:t>
      </w:r>
    </w:p>
    <w:p>
      <w:pPr>
        <w:pStyle w:val="ListBullet"/>
      </w:pPr>
      <w:r>
        <w:t>BR-02. Номер заявки уникален и не переиспользуется.</w:t>
      </w:r>
    </w:p>
    <w:p>
      <w:pPr>
        <w:pStyle w:val="ListBullet"/>
      </w:pPr>
      <w:r>
        <w:t>BR-03. «Решена» доступна из «В работе» только с результатом.</w:t>
      </w:r>
    </w:p>
    <w:p>
      <w:pPr>
        <w:pStyle w:val="ListBullet"/>
      </w:pPr>
      <w:r>
        <w:t>BR-04. Закрытие запрещено без подтверждения автора.</w:t>
      </w:r>
    </w:p>
    <w:p>
      <w:pPr>
        <w:pStyle w:val="ListBullet"/>
      </w:pPr>
      <w:r>
        <w:t>BR-05. Отказ возвращает заявку в «В работе» и требует комментария.</w:t>
      </w:r>
    </w:p>
    <w:p>
      <w:pPr>
        <w:pStyle w:val="ListBullet"/>
      </w:pPr>
      <w:r>
        <w:t>BR-06. История не редактируется и не удаляется через интерфейс.</w:t>
      </w:r>
    </w:p>
    <w:p>
      <w:pPr>
        <w:pStyle w:val="ListBullet"/>
      </w:pPr>
      <w:r>
        <w:t>BR-07. Все статусные переходы создают запись аудита.</w:t>
      </w:r>
    </w:p>
    <w:p>
      <w:pPr>
        <w:pStyle w:val="Heading1"/>
      </w:pPr>
      <w:r>
        <w:t>10. Сценарии использования</w:t>
      </w:r>
    </w:p>
    <w:p>
      <w:pPr>
        <w:pStyle w:val="Heading2"/>
      </w:pPr>
      <w:r>
        <w:t>UC-01 Создание заявки</w:t>
      </w:r>
    </w:p>
    <w:p>
      <w:pPr>
        <w:pStyle w:val="BodyText"/>
      </w:pPr>
      <w:r>
        <w:t>Актор: пользователь. Предусловие: активная сессия. Поток: открыть форму, заполнить поля, отправить, пройти проверку, получить номер и статус «Открыта». При ошибке поле подсвечивается, заявка не создаётся.</w:t>
      </w:r>
    </w:p>
    <w:p>
      <w:pPr>
        <w:pStyle w:val="Heading2"/>
      </w:pPr>
      <w:r>
        <w:t>UC-02 Приём заявки в работу</w:t>
      </w:r>
    </w:p>
    <w:p>
      <w:pPr>
        <w:pStyle w:val="BodyText"/>
      </w:pPr>
      <w:r>
        <w:t>Актор: техник. Техник открывает очередь, выбирает «Открыта» и выполняет приём. Система проверяет право, назначает техника, переводит в «В работе» и создаёт историю.</w:t>
      </w:r>
    </w:p>
    <w:p>
      <w:pPr>
        <w:pStyle w:val="Heading2"/>
      </w:pPr>
      <w:r>
        <w:t>UC-03 Решение заявки</w:t>
      </w:r>
    </w:p>
    <w:p>
      <w:pPr>
        <w:pStyle w:val="BodyText"/>
      </w:pPr>
      <w:r>
        <w:t>Актор: техник. Техник описывает действия и результат. Система переводит в «Решена», сохраняет результат, историю и проектируемое событие уведомления.</w:t>
      </w:r>
    </w:p>
    <w:p>
      <w:pPr>
        <w:pStyle w:val="Heading2"/>
      </w:pPr>
      <w:r>
        <w:t>UC-04 Подтверждение или отказ</w:t>
      </w:r>
    </w:p>
    <w:p>
      <w:pPr>
        <w:pStyle w:val="BodyText"/>
      </w:pPr>
      <w:r>
        <w:t>Актор: пользователь-автор. При подтверждении создаётся событие. При отказе обязателен комментарий, статус возвращается в «В работе».</w:t>
      </w:r>
    </w:p>
    <w:p>
      <w:pPr>
        <w:pStyle w:val="Heading2"/>
      </w:pPr>
      <w:r>
        <w:t>UC-05 Закрытие заявки</w:t>
      </w:r>
    </w:p>
    <w:p>
      <w:pPr>
        <w:pStyle w:val="BodyText"/>
      </w:pPr>
      <w:r>
        <w:t>Актор: техник. При наличии подтверждения техник закрывает заявку. Без подтверждения действие недоступно.</w:t>
      </w:r>
    </w:p>
    <w:p>
      <w:pPr>
        <w:pStyle w:val="Heading2"/>
      </w:pPr>
      <w:r>
        <w:t>UC-06 Просмотр истории</w:t>
      </w:r>
    </w:p>
    <w:p>
      <w:pPr>
        <w:pStyle w:val="BodyText"/>
      </w:pPr>
      <w:r>
        <w:t>Пользователь или техник видит хронологию создания, назначения, переходов, комментариев, решения, подтверждения и закрытия. Записи доступны для чтения.</w:t>
      </w:r>
    </w:p>
    <w:p>
      <w:pPr>
        <w:pStyle w:val="Heading1"/>
      </w:pPr>
      <w:r>
        <w:t>11. Обработка ошибок и уведомления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76"/>
        <w:gridCol w:w="5076"/>
      </w:tblGrid>
      <w:tr>
        <w:trPr>
          <w:tblHeader w:val="true"/>
        </w:trPr>
        <w:tc>
          <w:tcPr>
            <w:tcW w:type="dxa" w:w="288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Ситуация</w:t>
            </w:r>
          </w:p>
        </w:tc>
        <w:tc>
          <w:tcPr>
            <w:tcW w:type="dxa" w:w="6624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Ожидаемое поведение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Неверные данные входа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Нейтральное сообщение; сессия не создаётся.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Пустое поле</w:t>
            </w:r>
          </w:p>
        </w:tc>
        <w:tc>
          <w:tcPr>
            <w:tcW w:type="dxa" w:w="662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Подсветить поле; сохранение не выполнять.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Нет права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Сообщить об отсутствии разрешения; действие отменить.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Конфликт изменения</w:t>
            </w:r>
          </w:p>
        </w:tc>
        <w:tc>
          <w:tcPr>
            <w:tcW w:type="dxa" w:w="662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Показать актуальное состояние; предложить обновить.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Ошибка сохранения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Не оставлять частичный результат.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Ошибка SQLite</w:t>
            </w:r>
          </w:p>
        </w:tc>
        <w:tc>
          <w:tcPr>
            <w:tcW w:type="dxa" w:w="662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Показать понятное сообщение; сохранить диагностику.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Нет SMTP</w:t>
            </w:r>
          </w:p>
        </w:tc>
        <w:tc>
          <w:tcPr>
            <w:tcW w:type="dxa" w:w="66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Основную операцию не отменять; событие пометить неотправленным.</w:t>
            </w:r>
          </w:p>
        </w:tc>
      </w:tr>
    </w:tbl>
    <w:p>
      <w:pPr>
        <w:spacing w:after="20"/>
      </w:pPr>
    </w:p>
    <w:p>
      <w:pPr>
        <w:pStyle w:val="BodyText"/>
      </w:pPr>
      <w:r>
        <w:t>Email-уведомления проектируются для событий создания, назначения, решения, подтверждения/отказа и закрытия. Реальная доставка, SMTP-настройки, повторные попытки и защита секретов уточняются при реализации.</w:t>
      </w:r>
    </w:p>
    <w:p>
      <w:pPr>
        <w:pStyle w:val="Heading1"/>
      </w:pPr>
      <w:r>
        <w:t>12. Критерии приёмки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76"/>
        <w:gridCol w:w="5076"/>
      </w:tblGrid>
      <w:tr>
        <w:trPr>
          <w:tblHeader w:val="true"/>
        </w:trPr>
        <w:tc>
          <w:tcPr>
            <w:tcW w:type="dxa" w:w="115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835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Проверяемое условие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AC-01</w:t>
            </w:r>
          </w:p>
        </w:tc>
        <w:tc>
          <w:tcPr>
            <w:tcW w:type="dxa" w:w="83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Корректные данные входа открывают сессию с правильной ролью.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AC-02</w:t>
            </w:r>
          </w:p>
        </w:tc>
        <w:tc>
          <w:tcPr>
            <w:tcW w:type="dxa" w:w="83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Неверные данные не открывают сессию и не раскрывают лишнюю информацию.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AC-03</w:t>
            </w:r>
          </w:p>
        </w:tc>
        <w:tc>
          <w:tcPr>
            <w:tcW w:type="dxa" w:w="83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Корректная форма создаёт уникальную заявку со статусом «Открыта».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AC-04</w:t>
            </w:r>
          </w:p>
        </w:tc>
        <w:tc>
          <w:tcPr>
            <w:tcW w:type="dxa" w:w="83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Неполная форма не создаёт заявку и объясняет исправление.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AC-05</w:t>
            </w:r>
          </w:p>
        </w:tc>
        <w:tc>
          <w:tcPr>
            <w:tcW w:type="dxa" w:w="83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Техник находит заявку по номеру, статусу, категории и приоритету.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AC-06</w:t>
            </w:r>
          </w:p>
        </w:tc>
        <w:tc>
          <w:tcPr>
            <w:tcW w:type="dxa" w:w="83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Приём фиксирует техника, время и «В работе».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AC-07</w:t>
            </w:r>
          </w:p>
        </w:tc>
        <w:tc>
          <w:tcPr>
            <w:tcW w:type="dxa" w:w="83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«Решена» невозможна без результата.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AC-08</w:t>
            </w:r>
          </w:p>
        </w:tc>
        <w:tc>
          <w:tcPr>
            <w:tcW w:type="dxa" w:w="83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Автор подтверждает решение или возвращает заявку с комментарием.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AC-09</w:t>
            </w:r>
          </w:p>
        </w:tc>
        <w:tc>
          <w:tcPr>
            <w:tcW w:type="dxa" w:w="83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Закрытие доступно только после подтверждения.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AC-10</w:t>
            </w:r>
          </w:p>
        </w:tc>
        <w:tc>
          <w:tcPr>
            <w:tcW w:type="dxa" w:w="83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Переходы отражены в истории с автором и временем.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AC-11</w:t>
            </w:r>
          </w:p>
        </w:tc>
        <w:tc>
          <w:tcPr>
            <w:tcW w:type="dxa" w:w="835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Email-событие создаётся при создании и изменении статуса.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AC-12</w:t>
            </w:r>
          </w:p>
        </w:tc>
        <w:tc>
          <w:tcPr>
            <w:tcW w:type="dxa" w:w="835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Ошибка хранения не оставляет частичный результат.</w:t>
            </w:r>
          </w:p>
        </w:tc>
      </w:tr>
    </w:tbl>
    <w:p>
      <w:pPr>
        <w:spacing w:after="20"/>
      </w:pPr>
    </w:p>
    <w:p>
      <w:pPr>
        <w:pStyle w:val="Heading1"/>
      </w:pPr>
      <w:r>
        <w:t>13. Матрица трассируемости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2"/>
        <w:gridCol w:w="1692"/>
        <w:gridCol w:w="1692"/>
        <w:gridCol w:w="1692"/>
        <w:gridCol w:w="1692"/>
        <w:gridCol w:w="1692"/>
      </w:tblGrid>
      <w:tr>
        <w:trPr>
          <w:tblHeader w:val="true"/>
        </w:trPr>
        <w:tc>
          <w:tcPr>
            <w:tcW w:type="dxa" w:w="14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Цель</w:t>
            </w:r>
          </w:p>
        </w:tc>
        <w:tc>
          <w:tcPr>
            <w:tcW w:type="dxa" w:w="180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Результат</w:t>
            </w:r>
          </w:p>
        </w:tc>
        <w:tc>
          <w:tcPr>
            <w:tcW w:type="dxa" w:w="1656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Требования</w:t>
            </w:r>
          </w:p>
        </w:tc>
        <w:tc>
          <w:tcPr>
            <w:tcW w:type="dxa" w:w="14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Сценарии</w:t>
            </w:r>
          </w:p>
        </w:tc>
        <w:tc>
          <w:tcPr>
            <w:tcW w:type="dxa" w:w="1224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Модули</w:t>
            </w:r>
          </w:p>
        </w:tc>
        <w:tc>
          <w:tcPr>
            <w:tcW w:type="dxa" w:w="208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Артефакт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G1 Регистрация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Создание заявки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FR-007–011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UC-01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M3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Use Case, Figma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G2 Обработка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Очередь и назначение</w:t>
            </w:r>
          </w:p>
        </w:tc>
        <w:tc>
          <w:tcPr>
            <w:tcW w:type="dxa" w:w="1656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FR-012–018</w:t>
            </w:r>
          </w:p>
        </w:tc>
        <w:tc>
          <w:tcPr>
            <w:tcW w:type="dxa" w:w="144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UC-02–03</w:t>
            </w:r>
          </w:p>
        </w:tc>
        <w:tc>
          <w:tcPr>
            <w:tcW w:type="dxa" w:w="122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M4–M5</w:t>
            </w:r>
          </w:p>
        </w:tc>
        <w:tc>
          <w:tcPr>
            <w:tcW w:type="dxa" w:w="208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Use Case, Activity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G3 Подтверждение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Решение и закрытие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FR-019–025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UC-04–05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M5–M6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Activity, Figma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G4 Прозрачность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История и аудит</w:t>
            </w:r>
          </w:p>
        </w:tc>
        <w:tc>
          <w:tcPr>
            <w:tcW w:type="dxa" w:w="1656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FR-023, 026–028</w:t>
            </w:r>
          </w:p>
        </w:tc>
        <w:tc>
          <w:tcPr>
            <w:tcW w:type="dxa" w:w="144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UC-06</w:t>
            </w:r>
          </w:p>
        </w:tc>
        <w:tc>
          <w:tcPr>
            <w:tcW w:type="dxa" w:w="122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M6</w:t>
            </w:r>
          </w:p>
        </w:tc>
        <w:tc>
          <w:tcPr>
            <w:tcW w:type="dxa" w:w="208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Activity, данные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G5 Уведомления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Email-события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FR-029–031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UC-01–05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M7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Событийная схема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Q1 Безопасность</w:t>
            </w:r>
          </w:p>
        </w:tc>
        <w:tc>
          <w:tcPr>
            <w:tcW w:type="dxa" w:w="180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Права и данные</w:t>
            </w:r>
          </w:p>
        </w:tc>
        <w:tc>
          <w:tcPr>
            <w:tcW w:type="dxa" w:w="1656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NFR-004–006</w:t>
            </w:r>
          </w:p>
        </w:tc>
        <w:tc>
          <w:tcPr>
            <w:tcW w:type="dxa" w:w="1440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UC-01–06</w:t>
            </w:r>
          </w:p>
        </w:tc>
        <w:tc>
          <w:tcPr>
            <w:tcW w:type="dxa" w:w="122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M1–M2</w:t>
            </w:r>
          </w:p>
        </w:tc>
        <w:tc>
          <w:tcPr>
            <w:tcW w:type="dxa" w:w="208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Use Case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Q2 Надёжность</w:t>
            </w:r>
          </w:p>
        </w:tc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Атомарность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NFR-003, 010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UC-01–05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M5–M7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5"/>
              </w:rPr>
              <w:t>Activity, тесты</w:t>
            </w:r>
          </w:p>
        </w:tc>
      </w:tr>
    </w:tbl>
    <w:p>
      <w:pPr>
        <w:spacing w:after="20"/>
      </w:pPr>
    </w:p>
    <w:p>
      <w:pPr>
        <w:pStyle w:val="Heading1"/>
      </w:pPr>
      <w:r>
        <w:t>14. Технологическая основа и ограничения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3384"/>
        <w:gridCol w:w="3384"/>
      </w:tblGrid>
      <w:tr>
        <w:trPr>
          <w:tblHeader w:val="true"/>
        </w:trPr>
        <w:tc>
          <w:tcPr>
            <w:tcW w:type="dxa" w:w="172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3096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Планируемое решение</w:t>
            </w:r>
          </w:p>
        </w:tc>
        <w:tc>
          <w:tcPr>
            <w:tcW w:type="dxa" w:w="4464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Граница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Язык</w:t>
            </w:r>
          </w:p>
        </w:tc>
        <w:tc>
          <w:tcPr>
            <w:tcW w:type="dxa" w:w="309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Java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Будущая реализация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Интерфейс</w:t>
            </w:r>
          </w:p>
        </w:tc>
        <w:tc>
          <w:tcPr>
            <w:tcW w:type="dxa" w:w="3096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JavaFX</w:t>
            </w:r>
          </w:p>
        </w:tc>
        <w:tc>
          <w:tcPr>
            <w:tcW w:type="dxa" w:w="446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Окна, формы, таблицы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Хранение</w:t>
            </w:r>
          </w:p>
        </w:tc>
        <w:tc>
          <w:tcPr>
            <w:tcW w:type="dxa" w:w="309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SQLite через JDBC/слой доступа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Локальная автономная версия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Email</w:t>
            </w:r>
          </w:p>
        </w:tc>
        <w:tc>
          <w:tcPr>
            <w:tcW w:type="dxa" w:w="3096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Сервисный слой и SMTP</w:t>
            </w:r>
          </w:p>
        </w:tc>
        <w:tc>
          <w:tcPr>
            <w:tcW w:type="dxa" w:w="446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События проектируются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Документация</w:t>
            </w:r>
          </w:p>
        </w:tc>
        <w:tc>
          <w:tcPr>
            <w:tcW w:type="dxa" w:w="3096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Word/PDF, UML, Figma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Следующие результаты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Версионирование</w:t>
            </w:r>
          </w:p>
        </w:tc>
        <w:tc>
          <w:tcPr>
            <w:tcW w:type="dxa" w:w="3096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Git/GitHub</w:t>
            </w:r>
          </w:p>
        </w:tc>
        <w:tc>
          <w:tcPr>
            <w:tcW w:type="dxa" w:w="4464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7"/>
              </w:rPr>
              <w:t>Организация материалов</w:t>
            </w:r>
          </w:p>
        </w:tc>
      </w:tr>
    </w:tbl>
    <w:p>
      <w:pPr>
        <w:spacing w:after="20"/>
      </w:pPr>
    </w:p>
    <w:p>
      <w:pPr>
        <w:pStyle w:val="BodyText"/>
      </w:pPr>
      <w:r>
        <w:t>Слоистая архитектура этапа 1 сохраняется: представление, прикладная логика, доменная модель, доступ к данным и инфраструктура. SRS задаёт ответственность и поведение, но не утверждает наличие этих компонентов в коде.</w:t>
      </w:r>
    </w:p>
    <w:p>
      <w:pPr>
        <w:pStyle w:val="Heading2"/>
      </w:pPr>
      <w:r>
        <w:t>14.1 Риски и ограничения</w:t>
      </w:r>
    </w:p>
    <w:p>
      <w:pPr>
        <w:pStyle w:val="ListBullet"/>
      </w:pPr>
      <w:r>
        <w:t>локальная SQLite не обеспечивает общую работу нескольких компьютеров;</w:t>
      </w:r>
    </w:p>
    <w:p>
      <w:pPr>
        <w:pStyle w:val="ListBullet"/>
      </w:pPr>
      <w:r>
        <w:t>ОС и почтовая инфраструктура требуют уточнения;</w:t>
      </w:r>
    </w:p>
    <w:p>
      <w:pPr>
        <w:pStyle w:val="ListBullet"/>
      </w:pPr>
      <w:r>
        <w:t>две роли достаточны для базового сценария, администрирование — расширение;</w:t>
      </w:r>
    </w:p>
    <w:p>
      <w:pPr>
        <w:pStyle w:val="ListBullet"/>
      </w:pPr>
      <w:r>
        <w:t>без кода нельзя подтвердить производительность, безопасность и доставку писем.</w:t>
      </w:r>
    </w:p>
    <w:p>
      <w:pPr>
        <w:pStyle w:val="Heading1"/>
      </w:pPr>
      <w:r>
        <w:t>Приложение А Словарь терминов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76"/>
        <w:gridCol w:w="5076"/>
      </w:tblGrid>
      <w:tr>
        <w:trPr>
          <w:tblHeader w:val="true"/>
        </w:trPr>
        <w:tc>
          <w:tcPr>
            <w:tcW w:type="dxa" w:w="259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Термин</w:t>
            </w:r>
          </w:p>
        </w:tc>
        <w:tc>
          <w:tcPr>
            <w:tcW w:type="dxa" w:w="676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Заявка / Ticket</w:t>
            </w:r>
          </w:p>
        </w:tc>
        <w:tc>
          <w:tcPr>
            <w:tcW w:type="dxa" w:w="676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Запись о технической проблеме пользователя.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Статус</w:t>
            </w:r>
          </w:p>
        </w:tc>
        <w:tc>
          <w:tcPr>
            <w:tcW w:type="dxa" w:w="676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Текущее состояние заявки.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Приоритет</w:t>
            </w:r>
          </w:p>
        </w:tc>
        <w:tc>
          <w:tcPr>
            <w:tcW w:type="dxa" w:w="676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Оценка срочности обработки.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Техник</w:t>
            </w:r>
          </w:p>
        </w:tc>
        <w:tc>
          <w:tcPr>
            <w:tcW w:type="dxa" w:w="676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Роль, обрабатывающая очередь и решающая заявки.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История / Audit</w:t>
            </w:r>
          </w:p>
        </w:tc>
        <w:tc>
          <w:tcPr>
            <w:tcW w:type="dxa" w:w="676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Последовательность неизменяемых событий.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SRS</w:t>
            </w:r>
          </w:p>
        </w:tc>
        <w:tc>
          <w:tcPr>
            <w:tcW w:type="dxa" w:w="676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Software Requirements Specification.</w:t>
            </w:r>
          </w:p>
        </w:tc>
      </w:tr>
      <w:tr>
        <w:trPr>
          <w:cantSplit/>
        </w:trPr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UML</w:t>
            </w:r>
          </w:p>
        </w:tc>
        <w:tc>
          <w:tcPr>
            <w:tcW w:type="dxa" w:w="6768"/>
            <w:vAlign w:val="center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Унифицированный язык моделирования.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Email-событие</w:t>
            </w:r>
          </w:p>
        </w:tc>
        <w:tc>
          <w:tcPr>
            <w:tcW w:type="dxa" w:w="6768"/>
            <w:vAlign w:val="center"/>
            <w:shd w:fill="F3F6F9"/>
          </w:tcPr>
          <w:p>
            <w:pPr>
              <w:spacing w:after="40" w:before="40"/>
            </w:pPr>
            <w:r/>
            <w:r>
              <w:rPr>
                <w:rFonts w:ascii="Aptos" w:hAnsi="Aptos"/>
                <w:sz w:val="18"/>
              </w:rPr>
              <w:t>Запись о необходимости уведомления; не факт доставки.</w:t>
            </w:r>
          </w:p>
        </w:tc>
      </w:tr>
    </w:tbl>
    <w:p>
      <w:pPr>
        <w:spacing w:after="20"/>
      </w:pPr>
    </w:p>
    <w:p>
      <w:pPr>
        <w:pStyle w:val="BodyText"/>
      </w:pPr>
      <w:r>
        <w:t>Конец документа. Все требования относятся к проектируемому настольному приложению и должны оставаться согласованными с будущими UML-диаграммами, прототипом Figma и последующей реализацией.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Planificarea aplicațiilor Desktop  •  Tcacenco Dmitrii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5A5A"/>
        <w:sz w:val="16"/>
      </w:rPr>
      <w:t>IT Ticket Manager  |  Этап 2  |  SRS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59" w:lineRule="auto"/>
    </w:pPr>
    <w:rPr>
      <w:rFonts w:ascii="Aptos" w:hAnsi="Aptos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